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1F4E5F"/>
          <w:sz w:val="40"/>
          <w:szCs w:val="40"/>
        </w:rPr>
        <w:t xml:space="preserve">Healthcare IoMT AI-Driven EDR Platform</w:t>
      </w:r>
    </w:p>
    <w:p>
      <w:pPr>
        <w:spacing w:after="60"/>
      </w:pPr>
      <w:r>
        <w:rPr>
          <w:color w:val="666666"/>
          <w:sz w:val="26"/>
          <w:szCs w:val="26"/>
        </w:rPr>
        <w:t xml:space="preserve">Architecture, Layer Documentation &amp; Project Status</w:t>
      </w:r>
    </w:p>
    <w:p>
      <w:pPr>
        <w:spacing w:after="40"/>
      </w:pPr>
      <w:r>
        <w:rPr>
          <w:i/>
          <w:iCs/>
          <w:color w:val="666666"/>
          <w:sz w:val="19"/>
          <w:szCs w:val="19"/>
        </w:rPr>
        <w:t xml:space="preserve">Kainat Zahra (Kinat Zahra Khalil), BDS  |  AI Operations Level 6 Diploma Capstone — Al Nafi International College</w:t>
      </w:r>
    </w:p>
    <w:p>
      <w:pPr>
        <w:spacing w:after="400"/>
      </w:pPr>
      <w:r>
        <w:rPr>
          <w:color w:val="666666"/>
          <w:sz w:val="19"/>
          <w:szCs w:val="19"/>
        </w:rPr>
        <w:t xml:space="preserve">August 2026</w:t>
      </w:r>
    </w:p>
    <w:p>
      <w:pPr>
        <w:pStyle w:val="Heading1"/>
        <w:spacing w:after="200" w:before="400"/>
      </w:pPr>
      <w:r>
        <w:t xml:space="preserve">1. Executive Summary</w:t>
      </w:r>
    </w:p>
    <w:p>
      <w:pPr>
        <w:spacing w:after="150"/>
      </w:pPr>
      <w:r>
        <w:t xml:space="preserve">This platform is an AI-driven Endpoint Detection and Response (EDR) system purpose-built for hospital IoMT (Internet of Medical Things) environments — infusion pumps, ventilators, patient monitors, imaging devices, and pharmacy dispensing cabinets. It combines native SIEM detection (Wazuh), machine-learning anomaly scoring, automated patient-safety-aware containment, SOC case management (TheHive), forensic investigation (Velociraptor), and a standardized detection-as-code layer (Sigma) mapped to HIPAA and MITRE ATT&amp;CK/ATT&amp;CK for ICS.</w:t>
      </w:r>
    </w:p>
    <w:p>
      <w:pPr>
        <w:spacing w:after="150"/>
      </w:pPr>
      <w:r>
        <w:t xml:space="preserve">The system runs across two machines: a Mac SOC server (192.168.1.5) hosting the Docker-based detection and case-management stack, and an Ubuntu endpoint (192.168.1.22) representing the monitored clinical device environment.</w:t>
      </w:r>
    </w:p>
    <w:p>
      <w:pPr>
        <w:pStyle w:val="Heading1"/>
        <w:spacing w:after="200" w:before="400"/>
      </w:pPr>
      <w:r>
        <w:t xml:space="preserve">2. High-Level Architecture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00"/>
      </w:tblGrid>
      <w:tr>
        <w:tc>
          <w:tcPr>
            <w:tcW w:type="dxa" w:w="10500"/>
            <w:shd w:fill="EAF1F1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1F4E5F"/>
                <w:sz w:val="22"/>
                <w:szCs w:val="22"/>
              </w:rPr>
              <w:t xml:space="preserve">Data Flow (left to right)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• Ubuntu Endpoint (192.168.1.22) — simulated/real IoMT device traffic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• Wazuh Manager (Docker, Mac SOC) — evaluates 35 custom detection rules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• alerts.json (Docker volume) — read directly by live_edr.py (Wazuh REST API returned empty results in testing, so direct file reads were adopted as the reliable path)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• live_edr.py — orchestrates ML scoring, containment, case creation, and audit logging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• TheHive + Cassandra — automatic SOC case creation per qualifying alert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• Velociraptor — forensic collection tied to the TheHive case, for investigation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• OpenSearch / Kibana Dashboards — the iomt-alerts* index for visual monitoring</w:t>
            </w:r>
          </w:p>
        </w:tc>
      </w:tr>
    </w:tbl>
    <w:p>
      <w:pPr>
        <w:pStyle w:val="Heading1"/>
        <w:spacing w:after="200" w:before="400"/>
      </w:pPr>
      <w:r>
        <w:t xml:space="preserve">3. Layer-by-Layer Breakdown</w:t>
      </w:r>
    </w:p>
    <w:p>
      <w:pPr>
        <w:pStyle w:val="Heading2"/>
        <w:spacing w:after="150" w:before="300"/>
      </w:pPr>
      <w:r>
        <w:t xml:space="preserve">Layer 1 — Detection (Wazuh native + Sigma detection-as-code)</w:t>
      </w:r>
    </w:p>
    <w:p>
      <w:pPr>
        <w:spacing w:after="150"/>
      </w:pPr>
      <w:r>
        <w:t xml:space="preserve">Native detection lives in two Wazuh rule files: iomt_custom_rules.xml (27 rules, IDs 100200-100226) and iomt_network_security_rules.xml (8 rules, IDs 100234-100241) — 35 rules total, covering network anomalies, protocol/device-integrity issues, device-category-specific patient-safety risks, DICOM/HL7-specific abuse, and correlation/escalation logic.</w:t>
      </w:r>
    </w:p>
    <w:p>
      <w:pPr>
        <w:spacing w:after="150"/>
      </w:pPr>
      <w:r>
        <w:t xml:space="preserve">On top of this, a Sigma detection-as-code layer (32 YAML rule files) re-expresses every one of the 35 Wazuh rules in the vendor-neutral Sigma format. Each Sigma rule carries a CVSS v3.1 score, a HIPAA citation, a MITRE ATT&amp;CK / ATT&amp;CK-for-ICS tag, and a mapped false-positive scenario. This layer does not replace Wazuh detection — Wazuh still fires the alert. Sigma's role is standardization and portability: the same detection logic can be demonstrated as Splunk SPL, Microsoft Sentinel KQL, or an OpenSearch query without rewriting the detection logic from scratch.</w:t>
      </w:r>
    </w:p>
    <w:p>
      <w:pPr>
        <w:pStyle w:val="Heading2"/>
        <w:spacing w:after="150" w:before="300"/>
      </w:pPr>
      <w:r>
        <w:t xml:space="preserve">Layer 2 — Structured Logging</w:t>
      </w:r>
    </w:p>
    <w:p>
      <w:pPr>
        <w:spacing w:after="150"/>
      </w:pPr>
      <w:r>
        <w:t xml:space="preserve">live_edr_iomt.py writes structured JSON logs (not just console output) alongside the print statements used for live demos. This gives every alert, ML score, and containment action a durable, machine-parseable record, which underpins both the AI-governance audit trail (Layer 8) and any downstream SIEM ingestion.</w:t>
      </w:r>
    </w:p>
    <w:p>
      <w:pPr>
        <w:pStyle w:val="Heading2"/>
        <w:spacing w:after="150" w:before="300"/>
      </w:pPr>
      <w:r>
        <w:t xml:space="preserve">Layer 3 — Machine Learning Overlay</w:t>
      </w:r>
    </w:p>
    <w:p>
      <w:pPr>
        <w:spacing w:after="150"/>
      </w:pPr>
      <w:r>
        <w:t xml:space="preserve">Two scikit-learn models — Isolation Forest (unsupervised anomaly detection) and Random Forest (supervised classification) — score each Wazuh alert for anomaly likelihood before it reaches the response layer. Predictions are logged with a confidence score, feeding into the AI-governance layer.</w:t>
      </w:r>
    </w:p>
    <w:p>
      <w:pPr>
        <w:pStyle w:val="Heading2"/>
        <w:spacing w:after="150" w:before="300"/>
      </w:pPr>
      <w:r>
        <w:t xml:space="preserve">Layer 4 — Response &amp; Orchestration</w:t>
      </w:r>
    </w:p>
    <w:p>
      <w:pPr>
        <w:spacing w:after="150"/>
      </w:pPr>
      <w:r>
        <w:t xml:space="preserve">auto_contain.py applies patient-safety-weighted containment logic — infusion pumps and ventilators are treated with the highest urgency given direct dosing/life-support risk. thehive_integration.py automatically opens a TheHive case for qualifying alerts (already confirmed working end-to-end in demo runs). Velociraptor is invoked alongside the TheHive case to pull forensic artefacts for investigation. Cortex was evaluated as an analyzer-orchestration layer but is not currently integrated — an arm64/amd64 Docker image incompatibility on the Mac SOC server blocked deployment; MISP was separately ruled out due to Docker RAM constraints on the same host.</w:t>
      </w:r>
    </w:p>
    <w:p>
      <w:pPr>
        <w:pStyle w:val="Heading2"/>
        <w:spacing w:after="150" w:before="300"/>
      </w:pPr>
      <w:r>
        <w:t xml:space="preserve">Layer 5 — Visualization</w:t>
      </w:r>
    </w:p>
    <w:p>
      <w:pPr>
        <w:spacing w:after="150"/>
      </w:pPr>
      <w:r>
        <w:t xml:space="preserve">OpenSearch Dashboards (referred to as "Kibana" throughout this project) is connected to the iomt-alerts* index. A severity-distribution donut chart is built and saved. Additional panels — a MITRE technique timeline and a patient-safety-vs-non-critical device split — are planned but not yet confirmed built as of this document.</w:t>
      </w:r>
    </w:p>
    <w:p>
      <w:pPr>
        <w:pStyle w:val="Heading2"/>
        <w:spacing w:after="150" w:before="300"/>
      </w:pPr>
      <w:r>
        <w:t xml:space="preserve">Layer 6 — Vendor / Third-Party Risk</w:t>
      </w:r>
    </w:p>
    <w:p>
      <w:pPr>
        <w:spacing w:after="150"/>
      </w:pPr>
      <w:r>
        <w:t xml:space="preserve">A per-device inventory (vendor, model, firmware version, last patch date) underpins vendor-risk logic, which is tested and working against live alerts (device_id matching against inventory is functionally correct; live alerts have not yet triggered a specific device match, which is expected given current demo traffic patterns, not a defect).</w:t>
      </w:r>
    </w:p>
    <w:p>
      <w:pPr>
        <w:pStyle w:val="Heading2"/>
        <w:spacing w:after="150" w:before="300"/>
      </w:pPr>
      <w:r>
        <w:t xml:space="preserve">Layer 7 — Compliance Reporting</w:t>
      </w:r>
    </w:p>
    <w:p>
      <w:pPr>
        <w:spacing w:after="150"/>
      </w:pPr>
      <w:r>
        <w:t xml:space="preserve">An automated compliance report maps findings to NIST CSF (1.1-2.0 bridge), HIPAA, and HITRUST domains, rendered as a colour-coded HTML report. A HIPAA §164.308(b) Business Associate / vendor-risk section and an update-mechanism security checklist (signed updates, TLS on update servers) are planned additions.</w:t>
      </w:r>
    </w:p>
    <w:p>
      <w:pPr>
        <w:pStyle w:val="Heading2"/>
        <w:spacing w:after="150" w:before="300"/>
      </w:pPr>
      <w:r>
        <w:t xml:space="preserve">Layer 8 — AI Governance &amp; Audit Trail</w:t>
      </w:r>
    </w:p>
    <w:p>
      <w:pPr>
        <w:spacing w:after="150"/>
      </w:pPr>
      <w:r>
        <w:t xml:space="preserve">Every ML prediction is logged with a confidence score and a human-review flag, establishing accountability that the ML layer is advisory only and that a human analyst makes the final call. This is mapped, at a light level, to the four NIST AI Risk Management Framework functions: Govern, Map, Measure, and Manage.</w:t>
      </w:r>
    </w:p>
    <w:p>
      <w:pPr>
        <w:pStyle w:val="Heading1"/>
        <w:spacing w:after="200" w:before="400"/>
      </w:pPr>
      <w:r>
        <w:t xml:space="preserve">4. Current Project Status</w:t>
      </w:r>
    </w:p>
    <w:p>
      <w:pPr>
        <w:spacing w:after="150"/>
      </w:pPr>
      <w:r>
        <w:t xml:space="preserve">Status as of this document. "Done" = confirmed built and tested. "Partial" = built but not fully verified/extended. "Pending" = not yet started.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800"/>
        <w:gridCol w:w="4200"/>
      </w:tblGrid>
      <w:tr>
        <w:trPr>
          <w:tblHeader/>
        </w:trPr>
        <w:tc>
          <w:tcPr>
            <w:tcW w:type="dxa" w:w="4500"/>
            <w:shd w:fill="1F4E5F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1800"/>
            <w:shd w:fill="1F4E5F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4200"/>
            <w:shd w:fill="1F4E5F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4500"/>
          </w:tcPr>
          <w:p>
            <w:r>
              <w:rPr>
                <w:sz w:val="19"/>
                <w:szCs w:val="19"/>
              </w:rPr>
              <w:t xml:space="preserve">Foundation — 3-machine SOC pipeline (Wazuh + TheHive + Velociraptor)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color w:val="1B7A3D"/>
                <w:sz w:val="19"/>
                <w:szCs w:val="19"/>
              </w:rPr>
              <w:t xml:space="preserve">Done</w:t>
            </w:r>
          </w:p>
        </w:tc>
        <w:tc>
          <w:tcPr>
            <w:tcW w:type="dxa" w:w="4200"/>
          </w:tcPr>
          <w:p>
            <w:r>
              <w:rPr>
                <w:color w:val="666666"/>
                <w:sz w:val="19"/>
                <w:szCs w:val="19"/>
              </w:rPr>
              <w:t xml:space="preserve">Cortex not integrated — arm64/amd64 incompatibility</w:t>
            </w:r>
          </w:p>
        </w:tc>
      </w:tr>
      <w:tr>
        <w:tc>
          <w:tcPr>
            <w:tcW w:type="dxa" w:w="4500"/>
          </w:tcPr>
          <w:p>
            <w:r>
              <w:rPr>
                <w:sz w:val="19"/>
                <w:szCs w:val="19"/>
              </w:rPr>
              <w:t xml:space="preserve">Forensic report pipeline (TShark + Volatility3, HTML)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color w:val="1B7A3D"/>
                <w:sz w:val="19"/>
                <w:szCs w:val="19"/>
              </w:rPr>
              <w:t xml:space="preserve">Done</w:t>
            </w:r>
          </w:p>
        </w:tc>
        <w:tc>
          <w:tcPr>
            <w:tcW w:type="dxa" w:w="4200"/>
          </w:tcPr>
          <w:p>
            <w:r>
              <w:rPr>
                <w:color w:val="666666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500"/>
          </w:tcPr>
          <w:p>
            <w:r>
              <w:rPr>
                <w:sz w:val="19"/>
                <w:szCs w:val="19"/>
              </w:rPr>
              <w:t xml:space="preserve">Compliance report (NIST/HIPAA/HITRUST, HTML)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color w:val="1B7A3D"/>
                <w:sz w:val="19"/>
                <w:szCs w:val="19"/>
              </w:rPr>
              <w:t xml:space="preserve">Done</w:t>
            </w:r>
          </w:p>
        </w:tc>
        <w:tc>
          <w:tcPr>
            <w:tcW w:type="dxa" w:w="4200"/>
          </w:tcPr>
          <w:p>
            <w:r>
              <w:rPr>
                <w:color w:val="666666"/>
                <w:sz w:val="19"/>
                <w:szCs w:val="19"/>
              </w:rPr>
              <w:t xml:space="preserve">Vendor-risk section (4.2) and update-mechanism checklist (4.3) pending</w:t>
            </w:r>
          </w:p>
        </w:tc>
      </w:tr>
      <w:tr>
        <w:tc>
          <w:tcPr>
            <w:tcW w:type="dxa" w:w="4500"/>
          </w:tcPr>
          <w:p>
            <w:r>
              <w:rPr>
                <w:sz w:val="19"/>
                <w:szCs w:val="19"/>
              </w:rPr>
              <w:t xml:space="preserve">35 MITRE-mapped Wazuh detection rules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color w:val="1B7A3D"/>
                <w:sz w:val="19"/>
                <w:szCs w:val="19"/>
              </w:rPr>
              <w:t xml:space="preserve">Done</w:t>
            </w:r>
          </w:p>
        </w:tc>
        <w:tc>
          <w:tcPr>
            <w:tcW w:type="dxa" w:w="4200"/>
          </w:tcPr>
          <w:p>
            <w:r>
              <w:rPr>
                <w:color w:val="666666"/>
                <w:sz w:val="19"/>
                <w:szCs w:val="19"/>
              </w:rPr>
              <w:t xml:space="preserve">100200-100226 + 100234-100241</w:t>
            </w:r>
          </w:p>
        </w:tc>
      </w:tr>
      <w:tr>
        <w:tc>
          <w:tcPr>
            <w:tcW w:type="dxa" w:w="4500"/>
          </w:tcPr>
          <w:p>
            <w:r>
              <w:rPr>
                <w:sz w:val="19"/>
                <w:szCs w:val="19"/>
              </w:rPr>
              <w:t xml:space="preserve">ML overlay (Isolation Forest + Random Forest)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color w:val="1B7A3D"/>
                <w:sz w:val="19"/>
                <w:szCs w:val="19"/>
              </w:rPr>
              <w:t xml:space="preserve">Done</w:t>
            </w:r>
          </w:p>
        </w:tc>
        <w:tc>
          <w:tcPr>
            <w:tcW w:type="dxa" w:w="4200"/>
          </w:tcPr>
          <w:p>
            <w:r>
              <w:rPr>
                <w:color w:val="666666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500"/>
          </w:tcPr>
          <w:p>
            <w:r>
              <w:rPr>
                <w:sz w:val="19"/>
                <w:szCs w:val="19"/>
              </w:rPr>
              <w:t xml:space="preserve">Patient-safety auto-contain logic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color w:val="1B7A3D"/>
                <w:sz w:val="19"/>
                <w:szCs w:val="19"/>
              </w:rPr>
              <w:t xml:space="preserve">Done</w:t>
            </w:r>
          </w:p>
        </w:tc>
        <w:tc>
          <w:tcPr>
            <w:tcW w:type="dxa" w:w="4200"/>
          </w:tcPr>
          <w:p>
            <w:r>
              <w:rPr>
                <w:color w:val="666666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500"/>
          </w:tcPr>
          <w:p>
            <w:r>
              <w:rPr>
                <w:sz w:val="19"/>
                <w:szCs w:val="19"/>
              </w:rPr>
              <w:t xml:space="preserve">Sigma detection-as-code layer (32 files, all 35 rule IDs)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color w:val="1B7A3D"/>
                <w:sz w:val="19"/>
                <w:szCs w:val="19"/>
              </w:rPr>
              <w:t xml:space="preserve">Done</w:t>
            </w:r>
          </w:p>
        </w:tc>
        <w:tc>
          <w:tcPr>
            <w:tcW w:type="dxa" w:w="4200"/>
          </w:tcPr>
          <w:p>
            <w:r>
              <w:rPr>
                <w:color w:val="666666"/>
                <w:sz w:val="19"/>
                <w:szCs w:val="19"/>
              </w:rPr>
              <w:t xml:space="preserve">CVSS v3.1 + HIPAA + MITRE tags on every rule</w:t>
            </w:r>
          </w:p>
        </w:tc>
      </w:tr>
      <w:tr>
        <w:tc>
          <w:tcPr>
            <w:tcW w:type="dxa" w:w="4500"/>
          </w:tcPr>
          <w:p>
            <w:r>
              <w:rPr>
                <w:sz w:val="19"/>
                <w:szCs w:val="19"/>
              </w:rPr>
              <w:t xml:space="preserve">Sigma → OpenSearch query conversion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color w:val="1B7A3D"/>
                <w:sz w:val="19"/>
                <w:szCs w:val="19"/>
              </w:rPr>
              <w:t xml:space="preserve">Done</w:t>
            </w:r>
          </w:p>
        </w:tc>
        <w:tc>
          <w:tcPr>
            <w:tcW w:type="dxa" w:w="4200"/>
          </w:tcPr>
          <w:p>
            <w:r>
              <w:rPr>
                <w:color w:val="666666"/>
                <w:sz w:val="19"/>
                <w:szCs w:val="19"/>
              </w:rPr>
              <w:t xml:space="preserve">sigma-cli + opensearch backend</w:t>
            </w:r>
          </w:p>
        </w:tc>
      </w:tr>
      <w:tr>
        <w:tc>
          <w:tcPr>
            <w:tcW w:type="dxa" w:w="4500"/>
          </w:tcPr>
          <w:p>
            <w:r>
              <w:rPr>
                <w:sz w:val="19"/>
                <w:szCs w:val="19"/>
              </w:rPr>
              <w:t xml:space="preserve">Sigma → Splunk SPL / Sentinel KQL conversion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color w:val="B03A2E"/>
                <w:sz w:val="19"/>
                <w:szCs w:val="19"/>
              </w:rPr>
              <w:t xml:space="preserve">Pending</w:t>
            </w:r>
          </w:p>
        </w:tc>
        <w:tc>
          <w:tcPr>
            <w:tcW w:type="dxa" w:w="4200"/>
          </w:tcPr>
          <w:p>
            <w:r>
              <w:rPr>
                <w:color w:val="666666"/>
                <w:sz w:val="19"/>
                <w:szCs w:val="19"/>
              </w:rPr>
              <w:t xml:space="preserve">Item 1.4</w:t>
            </w:r>
          </w:p>
        </w:tc>
      </w:tr>
      <w:tr>
        <w:tc>
          <w:tcPr>
            <w:tcW w:type="dxa" w:w="4500"/>
          </w:tcPr>
          <w:p>
            <w:r>
              <w:rPr>
                <w:sz w:val="19"/>
                <w:szCs w:val="19"/>
              </w:rPr>
              <w:t xml:space="preserve">ATT&amp;CK Navigator threat-coverage map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color w:val="B03A2E"/>
                <w:sz w:val="19"/>
                <w:szCs w:val="19"/>
              </w:rPr>
              <w:t xml:space="preserve">Pending</w:t>
            </w:r>
          </w:p>
        </w:tc>
        <w:tc>
          <w:tcPr>
            <w:tcW w:type="dxa" w:w="4200"/>
          </w:tcPr>
          <w:p>
            <w:r>
              <w:rPr>
                <w:color w:val="666666"/>
                <w:sz w:val="19"/>
                <w:szCs w:val="19"/>
              </w:rPr>
              <w:t xml:space="preserve">Item 1.6</w:t>
            </w:r>
          </w:p>
        </w:tc>
      </w:tr>
      <w:tr>
        <w:tc>
          <w:tcPr>
            <w:tcW w:type="dxa" w:w="4500"/>
          </w:tcPr>
          <w:p>
            <w:r>
              <w:rPr>
                <w:sz w:val="19"/>
                <w:szCs w:val="19"/>
              </w:rPr>
              <w:t xml:space="preserve">Structured JSON logging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color w:val="1B7A3D"/>
                <w:sz w:val="19"/>
                <w:szCs w:val="19"/>
              </w:rPr>
              <w:t xml:space="preserve">Done</w:t>
            </w:r>
          </w:p>
        </w:tc>
        <w:tc>
          <w:tcPr>
            <w:tcW w:type="dxa" w:w="4200"/>
          </w:tcPr>
          <w:p>
            <w:r>
              <w:rPr>
                <w:color w:val="666666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500"/>
          </w:tcPr>
          <w:p>
            <w:r>
              <w:rPr>
                <w:sz w:val="19"/>
                <w:szCs w:val="19"/>
              </w:rPr>
              <w:t xml:space="preserve">Kibana: severity/device-type dashboard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color w:val="1B7A3D"/>
                <w:sz w:val="19"/>
                <w:szCs w:val="19"/>
              </w:rPr>
              <w:t xml:space="preserve">Done</w:t>
            </w:r>
          </w:p>
        </w:tc>
        <w:tc>
          <w:tcPr>
            <w:tcW w:type="dxa" w:w="4200"/>
          </w:tcPr>
          <w:p>
            <w:r>
              <w:rPr>
                <w:color w:val="666666"/>
                <w:sz w:val="19"/>
                <w:szCs w:val="19"/>
              </w:rPr>
              <w:t xml:space="preserve">Saved as IoMT Security Dashboard</w:t>
            </w:r>
          </w:p>
        </w:tc>
      </w:tr>
      <w:tr>
        <w:tc>
          <w:tcPr>
            <w:tcW w:type="dxa" w:w="4500"/>
          </w:tcPr>
          <w:p>
            <w:r>
              <w:rPr>
                <w:sz w:val="19"/>
                <w:szCs w:val="19"/>
              </w:rPr>
              <w:t xml:space="preserve">Kibana: MITRE technique timeline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color w:val="B8860B"/>
                <w:sz w:val="19"/>
                <w:szCs w:val="19"/>
              </w:rPr>
              <w:t xml:space="preserve">Partial</w:t>
            </w:r>
          </w:p>
        </w:tc>
        <w:tc>
          <w:tcPr>
            <w:tcW w:type="dxa" w:w="4200"/>
          </w:tcPr>
          <w:p>
            <w:r>
              <w:rPr>
                <w:color w:val="666666"/>
                <w:sz w:val="19"/>
                <w:szCs w:val="19"/>
              </w:rPr>
              <w:t xml:space="preserve">Item 3.3 — confirm/build</w:t>
            </w:r>
          </w:p>
        </w:tc>
      </w:tr>
      <w:tr>
        <w:tc>
          <w:tcPr>
            <w:tcW w:type="dxa" w:w="4500"/>
          </w:tcPr>
          <w:p>
            <w:r>
              <w:rPr>
                <w:sz w:val="19"/>
                <w:szCs w:val="19"/>
              </w:rPr>
              <w:t xml:space="preserve">Kibana: patient-safety vs non-critical split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color w:val="B8860B"/>
                <w:sz w:val="19"/>
                <w:szCs w:val="19"/>
              </w:rPr>
              <w:t xml:space="preserve">Partial</w:t>
            </w:r>
          </w:p>
        </w:tc>
        <w:tc>
          <w:tcPr>
            <w:tcW w:type="dxa" w:w="4200"/>
          </w:tcPr>
          <w:p>
            <w:r>
              <w:rPr>
                <w:color w:val="666666"/>
                <w:sz w:val="19"/>
                <w:szCs w:val="19"/>
              </w:rPr>
              <w:t xml:space="preserve">Item 3.4 — confirm/build</w:t>
            </w:r>
          </w:p>
        </w:tc>
      </w:tr>
      <w:tr>
        <w:tc>
          <w:tcPr>
            <w:tcW w:type="dxa" w:w="4500"/>
          </w:tcPr>
          <w:p>
            <w:r>
              <w:rPr>
                <w:sz w:val="19"/>
                <w:szCs w:val="19"/>
              </w:rPr>
              <w:t xml:space="preserve">Compliance report severity charts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color w:val="B8860B"/>
                <w:sz w:val="19"/>
                <w:szCs w:val="19"/>
              </w:rPr>
              <w:t xml:space="preserve">Partial</w:t>
            </w:r>
          </w:p>
        </w:tc>
        <w:tc>
          <w:tcPr>
            <w:tcW w:type="dxa" w:w="4200"/>
          </w:tcPr>
          <w:p>
            <w:r>
              <w:rPr>
                <w:color w:val="666666"/>
                <w:sz w:val="19"/>
                <w:szCs w:val="19"/>
              </w:rPr>
              <w:t xml:space="preserve">Item 3.5 — confirm/build</w:t>
            </w:r>
          </w:p>
        </w:tc>
      </w:tr>
      <w:tr>
        <w:tc>
          <w:tcPr>
            <w:tcW w:type="dxa" w:w="4500"/>
          </w:tcPr>
          <w:p>
            <w:r>
              <w:rPr>
                <w:sz w:val="19"/>
                <w:szCs w:val="19"/>
              </w:rPr>
              <w:t xml:space="preserve">Device inventory + vendor-risk logic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color w:val="1B7A3D"/>
                <w:sz w:val="19"/>
                <w:szCs w:val="19"/>
              </w:rPr>
              <w:t xml:space="preserve">Done</w:t>
            </w:r>
          </w:p>
        </w:tc>
        <w:tc>
          <w:tcPr>
            <w:tcW w:type="dxa" w:w="4200"/>
          </w:tcPr>
          <w:p>
            <w:r>
              <w:rPr>
                <w:color w:val="666666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500"/>
          </w:tcPr>
          <w:p>
            <w:r>
              <w:rPr>
                <w:sz w:val="19"/>
                <w:szCs w:val="19"/>
              </w:rPr>
              <w:t xml:space="preserve">HIPAA §164.308(b) vendor-risk section in report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color w:val="B03A2E"/>
                <w:sz w:val="19"/>
                <w:szCs w:val="19"/>
              </w:rPr>
              <w:t xml:space="preserve">Pending</w:t>
            </w:r>
          </w:p>
        </w:tc>
        <w:tc>
          <w:tcPr>
            <w:tcW w:type="dxa" w:w="4200"/>
          </w:tcPr>
          <w:p>
            <w:r>
              <w:rPr>
                <w:color w:val="666666"/>
                <w:sz w:val="19"/>
                <w:szCs w:val="19"/>
              </w:rPr>
              <w:t xml:space="preserve">Item 4.2</w:t>
            </w:r>
          </w:p>
        </w:tc>
      </w:tr>
      <w:tr>
        <w:tc>
          <w:tcPr>
            <w:tcW w:type="dxa" w:w="4500"/>
          </w:tcPr>
          <w:p>
            <w:r>
              <w:rPr>
                <w:sz w:val="19"/>
                <w:szCs w:val="19"/>
              </w:rPr>
              <w:t xml:space="preserve">Update-mechanism checklist in report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color w:val="B03A2E"/>
                <w:sz w:val="19"/>
                <w:szCs w:val="19"/>
              </w:rPr>
              <w:t xml:space="preserve">Pending</w:t>
            </w:r>
          </w:p>
        </w:tc>
        <w:tc>
          <w:tcPr>
            <w:tcW w:type="dxa" w:w="4200"/>
          </w:tcPr>
          <w:p>
            <w:r>
              <w:rPr>
                <w:color w:val="666666"/>
                <w:sz w:val="19"/>
                <w:szCs w:val="19"/>
              </w:rPr>
              <w:t xml:space="preserve">Item 4.3</w:t>
            </w:r>
          </w:p>
        </w:tc>
      </w:tr>
      <w:tr>
        <w:tc>
          <w:tcPr>
            <w:tcW w:type="dxa" w:w="4500"/>
          </w:tcPr>
          <w:p>
            <w:r>
              <w:rPr>
                <w:sz w:val="19"/>
                <w:szCs w:val="19"/>
              </w:rPr>
              <w:t xml:space="preserve">Cortex analyzers (VirusTotal, AbuseIPDB, etc.)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color w:val="B03A2E"/>
                <w:sz w:val="19"/>
                <w:szCs w:val="19"/>
              </w:rPr>
              <w:t xml:space="preserve">Pending</w:t>
            </w:r>
          </w:p>
        </w:tc>
        <w:tc>
          <w:tcPr>
            <w:tcW w:type="dxa" w:w="4200"/>
          </w:tcPr>
          <w:p>
            <w:r>
              <w:rPr>
                <w:color w:val="666666"/>
                <w:sz w:val="19"/>
                <w:szCs w:val="19"/>
              </w:rPr>
              <w:t xml:space="preserve">Blocked on arm64/amd64 issue — Phase 5</w:t>
            </w:r>
          </w:p>
        </w:tc>
      </w:tr>
      <w:tr>
        <w:tc>
          <w:tcPr>
            <w:tcW w:type="dxa" w:w="4500"/>
          </w:tcPr>
          <w:p>
            <w:r>
              <w:rPr>
                <w:sz w:val="19"/>
                <w:szCs w:val="19"/>
              </w:rPr>
              <w:t xml:space="preserve">Velociraptor forensic collection tied to TheHive case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color w:val="1B7A3D"/>
                <w:sz w:val="19"/>
                <w:szCs w:val="19"/>
              </w:rPr>
              <w:t xml:space="preserve">Done</w:t>
            </w:r>
          </w:p>
        </w:tc>
        <w:tc>
          <w:tcPr>
            <w:tcW w:type="dxa" w:w="4200"/>
          </w:tcPr>
          <w:p>
            <w:r>
              <w:rPr>
                <w:color w:val="666666"/>
                <w:sz w:val="19"/>
                <w:szCs w:val="19"/>
              </w:rPr>
              <w:t xml:space="preserve">Confirmed working in demo</w:t>
            </w:r>
          </w:p>
        </w:tc>
      </w:tr>
      <w:tr>
        <w:tc>
          <w:tcPr>
            <w:tcW w:type="dxa" w:w="4500"/>
          </w:tcPr>
          <w:p>
            <w:r>
              <w:rPr>
                <w:sz w:val="19"/>
                <w:szCs w:val="19"/>
              </w:rPr>
              <w:t xml:space="preserve">Full investigation report per real case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color w:val="B8860B"/>
                <w:sz w:val="19"/>
                <w:szCs w:val="19"/>
              </w:rPr>
              <w:t xml:space="preserve">Partial</w:t>
            </w:r>
          </w:p>
        </w:tc>
        <w:tc>
          <w:tcPr>
            <w:tcW w:type="dxa" w:w="4200"/>
          </w:tcPr>
          <w:p>
            <w:r>
              <w:rPr>
                <w:color w:val="666666"/>
                <w:sz w:val="19"/>
                <w:szCs w:val="19"/>
              </w:rPr>
              <w:t xml:space="preserve">Item 6.2 — confirm/build</w:t>
            </w:r>
          </w:p>
        </w:tc>
      </w:tr>
      <w:tr>
        <w:tc>
          <w:tcPr>
            <w:tcW w:type="dxa" w:w="4500"/>
          </w:tcPr>
          <w:p>
            <w:r>
              <w:rPr>
                <w:sz w:val="19"/>
                <w:szCs w:val="19"/>
              </w:rPr>
              <w:t xml:space="preserve">Pcap cleartext PHI/credential leak check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color w:val="B03A2E"/>
                <w:sz w:val="19"/>
                <w:szCs w:val="19"/>
              </w:rPr>
              <w:t xml:space="preserve">Pending</w:t>
            </w:r>
          </w:p>
        </w:tc>
        <w:tc>
          <w:tcPr>
            <w:tcW w:type="dxa" w:w="4200"/>
          </w:tcPr>
          <w:p>
            <w:r>
              <w:rPr>
                <w:color w:val="666666"/>
                <w:sz w:val="19"/>
                <w:szCs w:val="19"/>
              </w:rPr>
              <w:t xml:space="preserve">Item 6.3</w:t>
            </w:r>
          </w:p>
        </w:tc>
      </w:tr>
      <w:tr>
        <w:tc>
          <w:tcPr>
            <w:tcW w:type="dxa" w:w="4500"/>
          </w:tcPr>
          <w:p>
            <w:r>
              <w:rPr>
                <w:sz w:val="19"/>
                <w:szCs w:val="19"/>
              </w:rPr>
              <w:t xml:space="preserve">AI governance / ML audit trail + NIST AI RMF mapping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color w:val="1B7A3D"/>
                <w:sz w:val="19"/>
                <w:szCs w:val="19"/>
              </w:rPr>
              <w:t xml:space="preserve">Done</w:t>
            </w:r>
          </w:p>
        </w:tc>
        <w:tc>
          <w:tcPr>
            <w:tcW w:type="dxa" w:w="4200"/>
          </w:tcPr>
          <w:p>
            <w:r>
              <w:rPr>
                <w:color w:val="666666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spacing w:after="200" w:before="400"/>
      </w:pPr>
      <w:r>
        <w:t xml:space="preserve">5. Key Architectural Decisions &amp; Why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Reading alerts.json directly instead of the Wazuh REST API — the REST API returned empty results in testing; the file-based approach is reliable and is the system of record for this project.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Cortex abandoned, not replaced — arm64/amd64 Docker incompatibility on the Mac SOC server. MISP was also ruled out (Docker RAM constraints on the same host).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TheHive organization reset — required after a container data-loss event; current case data reflects the post-reset organization.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Sigma layer is additive, not load-bearing — it does not sit in the alert → containment → case-creation path. It exists to demonstrate SIEM-agnostic detection engineering and to give a standardized, auditable mapping between Wazuh rule IDs and MITRE ATT&amp;CK / HIPAA citations.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Severity scale for Sigma rules follows the underlying Wazuh rule level: 14-15 → critical, 12-13 → high, 9-11 → medium, 7-8 → low, keeping the two layers consistent.</w:t>
      </w:r>
    </w:p>
    <w:p>
      <w:pPr>
        <w:pStyle w:val="Heading1"/>
        <w:spacing w:after="200" w:before="400"/>
      </w:pPr>
      <w:r>
        <w:t xml:space="preserve">6. Open Items (in priority order)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1.4 — Convert Sigma rules to Splunk SPL and Microsoft Sentinel KQL for portfolio breadth.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1.6 — Build an ATT&amp;CK Navigator coverage map showing which tactics/techniques are covered vs. gapped.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3.3-3.5 — Confirm or build: MITRE technique timeline panel, patient-safety vs non-critical device split panel, compliance-report severity charts.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4.2-4.3 — Add HIPAA §164.308(b) vendor-risk section and update-mechanism checklist to the compliance report.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6.2-6.3 — Run a full investigation report on a real demo-triggered case; add a cleartext PHI/credential leak check to pcap analysis.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Phase 5 (Cortex) — decide whether to pursue an arm64-compatible workaround or formally document it as an out-of-scope limitation.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2026-08-12T21:07:21.191Z</dcterms:created>
  <dcterms:modified xsi:type="dcterms:W3CDTF">2026-08-12T21:07:21.206Z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