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.NET MAUI | iOS &amp; Android | October-November 2026 Launch Window</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7 Phases</w:t>
              <w:br/>
              <w:t>Development Phases</w:t>
            </w:r>
          </w:p>
          <w:p>
            <w:pPr>
              <w:jc w:val="center"/>
            </w:pPr>
            <w:r>
              <w:rPr>
                <w:rFonts w:ascii="Arial" w:cs="Arial" w:eastAsia="Arial" w:hAnsi="Arial"/>
                <w:color w:val="AACCDD"/>
                <w:sz w:val="16"/>
                <w:szCs w:val="16"/>
              </w:rPr>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Phase 7 Active</w:t>
              <w:br/>
              <w:t>Engineering 0.7.0</w:t>
            </w:r>
          </w:p>
          <w:p>
            <w:pPr>
              <w:jc w:val="center"/>
            </w:pPr>
            <w:r>
              <w:rPr>
                <w:rFonts w:ascii="Arial" w:cs="Arial" w:eastAsia="Arial" w:hAnsi="Arial"/>
                <w:color w:val="AACCDD"/>
                <w:sz w:val="16"/>
                <w:szCs w:val="16"/>
              </w:rPr>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Oct-Nov 2026</w:t>
              <w:br/>
              <w:t>Public Launch Window</w:t>
            </w:r>
          </w:p>
          <w:p>
            <w:pPr>
              <w:jc w:val="center"/>
            </w:pPr>
            <w:r>
              <w:rPr>
                <w:rFonts w:ascii="Arial" w:cs="Arial" w:eastAsia="Arial" w:hAnsi="Arial"/>
                <w:color w:val="AACCDD"/>
                <w:sz w:val="16"/>
                <w:szCs w:val="16"/>
              </w:rPr>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iOS + Android</w:t>
              <w:br/>
              <w:t>Parallel Release</w:t>
            </w:r>
          </w:p>
          <w:p>
            <w:pPr>
              <w:jc w:val="center"/>
            </w:pPr>
            <w:r>
              <w:rPr>
                <w:rFonts w:ascii="Arial" w:cs="Arial" w:eastAsia="Arial" w:hAnsi="Arial"/>
                <w:color w:val="AACCDD"/>
                <w:sz w:val="16"/>
                <w:szCs w:val="16"/>
              </w:rPr>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October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This document defines the development roadmap for the Vitals mobile application through store beta and public production launch. The original September 2026 deadline has passed; as of October 6, 2026 the project has completed Phase 6 and entered Phase 7 at engineering version 0.7.0. The launch plan is now re-baselined around payment/entitlement completion, parallel iOS and Android store beta, and the store review/testing gates that follow.</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Dashboard + History management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Medications + Care Team</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Physician-grade PDF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LOESS + regression + derivatives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Jul–Oct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Aug-Oct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val="false"/>
                <w:color w:val="2E7D32"/>
                <w:sz w:val="18"/>
                <w:szCs w:val="18"/>
              </w:rPr>
              <w:t>✅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Subscriptions, Entitlements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Billing + access control + store beta</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Oct-Nov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E65100"/>
                <w:sz w:val="18"/>
                <w:szCs w:val="18"/>
              </w:rPr>
              <w:t>In Progress</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Vitals History Screen — scrollable history of past readings with date/time plus record-level management actions</w:t>
      </w:r>
    </w:p>
    <w:p>
      <w:pPr>
        <w:pStyle w:val="ListParagraph"/>
        <w:numPr>
          <w:ilvl w:val="0"/>
          <w:numId w:val="2"/>
        </w:numPr>
        <w:spacing w:after="40" w:before="40"/>
      </w:pPr>
      <w:r>
        <w:rPr>
          <w:rFonts w:ascii="Arial" w:cs="Arial" w:eastAsia="Arial" w:hAnsi="Arial"/>
          <w:b/>
          <w:bCs w:val="false"/>
          <w:color w:val="2E7D32"/>
          <w:sz w:val="18"/>
          <w:szCs w:val="20"/>
        </w:rPr>
        <w:t>✅ Completed enhancement (Oct 2026): historical vitals records now support edit, reassignment to another patient in the same household, and delete. Each reading uses a stable vital_id; notes/context are preserved through edits, and affected analysis caches are recomputed after record mutation.</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pStyle w:val="ListParagraph"/>
        <w:numPr>
          <w:ilvl w:val="0"/>
          <w:numId w:val="2"/>
        </w:numPr>
        <w:spacing w:after="40" w:before="40"/>
      </w:pPr>
      <w:r>
        <w:rPr>
          <w:rFonts w:ascii="Arial" w:cs="Arial" w:eastAsia="Arial" w:hAnsi="Arial"/>
          <w:b w:val="false"/>
          <w:bCs w:val="false"/>
          <w:sz w:val="20"/>
          <w:szCs w:val="20"/>
        </w:rPr>
        <w:t>Historical readings can be edited, reassigned, and deleted without stale analysis results or cross-household data leakage.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May–Jun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 xml:space="preserve">Pending Feature Decisions</w:t>
      </w:r>
    </w:p>
    <w:p>
      <w:pPr>
        <w:pStyle w:val="ListParagraph"/>
        <w:numPr>
          <w:ilvl w:val="0"/>
          <w:numId w:val="2"/>
        </w:numPr>
        <w:spacing w:after="40" w:before="40"/>
      </w:pPr>
      <w:r>
        <w:rPr>
          <w:rFonts w:ascii="Arial" w:cs="Arial" w:eastAsia="Arial" w:hAnsi="Arial"/>
          <w:b w:val="false"/>
          <w:bCs w:val="false"/>
          <w:sz w:val="20"/>
          <w:szCs w:val="20"/>
        </w:rPr>
        <w:t>Glucose tracking field (requested by Dr. Warren) - ✅ Complete and extended: patient-recorded glucose context, dedicated context-aware analysis, MAUI analysis UI, and clinician PDF reporting are implemented. See Phase 4, Glucose Analysis Extension.</w:t>
      </w:r>
    </w:p>
    <w:p>
      <w:pPr>
        <w:pStyle w:val="ListParagraph"/>
        <w:numPr>
          <w:ilvl w:val="0"/>
          <w:numId w:val="2"/>
        </w:numPr>
        <w:spacing w:after="40" w:before="40"/>
      </w:pPr>
      <w:r>
        <w:rPr>
          <w:rFonts w:ascii="Arial" w:cs="Arial" w:eastAsia="Arial" w:hAnsi="Arial"/>
          <w:b w:val="false"/>
          <w:bCs w:val="false"/>
          <w:sz w:val="20"/>
          <w:szCs w:val="20"/>
        </w:rPr>
        <w:t xml:space="preserve">Weight tracking field (requested by Amy RN)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Once Phase 3 is complete, the Dr. Warren distribution card can be designed and printed. The card requires: a working app in the App Store and Google Play, a QR code linking to Vitals signup and the 30-day full-access trial, and the PDF export as the demonstrated value proposition. Phase 3 completion triggers the distribution card sprint.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Jun–Jul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The visualization framework is reusable across tracked metrics, but each metric applies clinical constraints appropriate to its data. Blood pressure retains the four-layer framework above. Glucose now uses a dedicated context-aware contract so fasting, meal-related, bedtime, random, and unknown-context readings are not treated as one interchangeable time series.</w:t>
      </w:r>
    </w:p>
    <w:p>
      <w:pPr>
        <w:spacing w:after="100" w:before="0"/>
      </w:pPr>
      <w:r>
        <w:t xml:space="preserve"/>
      </w:r>
    </w:p>
    <w:p>
      <w:pPr>
        <w:keepNext/>
        <w:keepLines/>
        <w:spacing w:after="60" w:before="180"/>
      </w:pPr>
      <w:r>
        <w:rPr>
          <w:rFonts w:ascii="Arial" w:cs="Arial" w:eastAsia="Arial" w:hAnsi="Arial"/>
          <w:b/>
          <w:bCs/>
          <w:color w:val="00B4C8"/>
          <w:sz w:val="22"/>
          <w:szCs w:val="22"/>
        </w:rPr>
        <w:t>Glucose Analysis Extension - Part A (Complete, Oct 2, 2026)</w:t>
      </w:r>
    </w:p>
    <w:p>
      <w:pPr>
        <w:keepLines/>
        <w:spacing w:after="60" w:before="60"/>
      </w:pPr>
      <w:r>
        <w:rPr>
          <w:rFonts w:ascii="Arial" w:cs="Arial" w:eastAsia="Arial" w:hAnsi="Arial"/>
          <w:sz w:val="20"/>
          <w:szCs w:val="20"/>
        </w:rPr>
        <w:t>Part A is the production implementation for patient-recorded blood glucose. It adds measurement context, a dedicated analysis contract, patient-facing analysis, and clinician PDF reporting while preserving legacy glucose rows and keeping unsupported clinical conclusions explicitly gated.</w:t>
      </w:r>
    </w:p>
    <w:p>
      <w:pPr>
        <w:keepNext/>
        <w:keepLines/>
        <w:spacing w:after="60" w:before="180"/>
      </w:pPr>
      <w:r>
        <w:rPr>
          <w:rFonts w:ascii="Arial" w:cs="Arial" w:eastAsia="Arial" w:hAnsi="Arial"/>
          <w:b/>
          <w:bCs/>
          <w:color w:val="00B4C8"/>
          <w:sz w:val="22"/>
          <w:szCs w:val="22"/>
        </w:rPr>
        <w:t>Implemented Data Foundation</w:t>
      </w:r>
    </w:p>
    <w:p>
      <w:pPr>
        <w:pStyle w:val="ListParagraph"/>
        <w:keepLines/>
        <w:numPr>
          <w:ilvl w:val="0"/>
          <w:numId w:val="2"/>
        </w:numPr>
        <w:spacing w:after="40" w:before="40"/>
      </w:pPr>
      <w:r>
        <w:rPr>
          <w:rFonts w:ascii="Arial" w:cs="Arial" w:eastAsia="Arial" w:hAnsi="Arial"/>
          <w:b w:val="false"/>
          <w:bCs w:val="false"/>
          <w:sz w:val="20"/>
          <w:szCs w:val="20"/>
        </w:rPr>
        <w:t>Normalized glucose remains in vitals.blood_glucose (mg/dL). Context metadata is stored one-to-one in glucose_context keyed by vital_id.</w:t>
      </w:r>
    </w:p>
    <w:p>
      <w:pPr>
        <w:pStyle w:val="ListParagraph"/>
        <w:keepLines/>
        <w:numPr>
          <w:ilvl w:val="0"/>
          <w:numId w:val="2"/>
        </w:numPr>
        <w:spacing w:after="40" w:before="40"/>
      </w:pPr>
      <w:r>
        <w:rPr>
          <w:rFonts w:ascii="Arial" w:cs="Arial" w:eastAsia="Arial" w:hAnsi="Arial"/>
          <w:b w:val="false"/>
          <w:bCs w:val="false"/>
          <w:sz w:val="20"/>
          <w:szCs w:val="20"/>
        </w:rPr>
        <w:t>Recorded contexts: fasting, pre-meal, post-meal, bedtime, random, other, and unknown. Meal-related readings can also record breakfast/lunch/dinner/snack and optional minutes after the meal.</w:t>
      </w:r>
    </w:p>
    <w:p>
      <w:pPr>
        <w:pStyle w:val="ListParagraph"/>
        <w:keepLines/>
        <w:numPr>
          <w:ilvl w:val="0"/>
          <w:numId w:val="2"/>
        </w:numPr>
        <w:spacing w:after="40" w:before="40"/>
      </w:pPr>
      <w:r>
        <w:rPr>
          <w:rFonts w:ascii="Arial" w:cs="Arial" w:eastAsia="Arial" w:hAnsi="Arial"/>
          <w:b w:val="false"/>
          <w:bCs w:val="false"/>
          <w:sz w:val="20"/>
          <w:szCs w:val="20"/>
        </w:rPr>
        <w:t>Source metadata supports manual/BGM now and preserves contract space for CGM, import, other source types, original value/unit, and source device.</w:t>
      </w:r>
    </w:p>
    <w:p>
      <w:pPr>
        <w:pStyle w:val="ListParagraph"/>
        <w:keepLines/>
        <w:numPr>
          <w:ilvl w:val="0"/>
          <w:numId w:val="2"/>
        </w:numPr>
        <w:spacing w:after="40" w:before="40"/>
      </w:pPr>
      <w:r>
        <w:rPr>
          <w:rFonts w:ascii="Arial" w:cs="Arial" w:eastAsia="Arial" w:hAnsi="Arial"/>
          <w:b w:val="false"/>
          <w:bCs w:val="false"/>
          <w:sz w:val="20"/>
          <w:szCs w:val="20"/>
        </w:rPr>
        <w:t>Legacy readings without a glucose_context row remain visible and are treated as unknown context rather than discarded.</w:t>
      </w:r>
    </w:p>
    <w:p>
      <w:pPr>
        <w:pStyle w:val="ListParagraph"/>
        <w:keepLines/>
        <w:numPr>
          <w:ilvl w:val="0"/>
          <w:numId w:val="2"/>
        </w:numPr>
        <w:spacing w:after="40" w:before="40"/>
      </w:pPr>
      <w:r>
        <w:rPr>
          <w:rFonts w:ascii="Arial" w:cs="Arial" w:eastAsia="Arial" w:hAnsi="Arial"/>
          <w:b w:val="false"/>
          <w:bCs w:val="false"/>
          <w:sz w:val="20"/>
          <w:szCs w:val="20"/>
        </w:rPr>
        <w:t>The dedicated Glucose analysis contract is version 2. Cache versioning forces stale generic Glucose analysis JSON to recompute under the new contract.</w:t>
      </w:r>
    </w:p>
    <w:p>
      <w:pPr>
        <w:pStyle w:val="ListParagraph"/>
        <w:keepLines/>
        <w:numPr>
          <w:ilvl w:val="0"/>
          <w:numId w:val="2"/>
        </w:numPr>
        <w:spacing w:after="40" w:before="40"/>
      </w:pPr>
      <w:r>
        <w:rPr>
          <w:rFonts w:ascii="Arial" w:cs="Arial" w:eastAsia="Arial" w:hAnsi="Arial"/>
          <w:b w:val="false"/>
          <w:bCs w:val="false"/>
          <w:sz w:val="20"/>
          <w:szCs w:val="20"/>
        </w:rPr>
        <w:t>Patient-scoped show_glucose preference is the source of truth for Dashboard, Vitals Entry, Vitals Analysis, and clinician PDF inclusion.</w:t>
      </w:r>
    </w:p>
    <w:p>
      <w:pPr>
        <w:keepNext/>
        <w:keepLines/>
        <w:spacing w:after="60" w:before="180"/>
      </w:pPr>
      <w:r>
        <w:rPr>
          <w:rFonts w:ascii="Arial" w:cs="Arial" w:eastAsia="Arial" w:hAnsi="Arial"/>
          <w:b/>
          <w:bCs/>
          <w:color w:val="00B4C8"/>
          <w:sz w:val="22"/>
          <w:szCs w:val="22"/>
        </w:rPr>
        <w:t>Glucose Mathematics and Analysis Contract</w:t>
      </w:r>
    </w:p>
    <w:p>
      <w:pPr>
        <w:pStyle w:val="ListParagraph"/>
        <w:keepLines/>
        <w:numPr>
          <w:ilvl w:val="0"/>
          <w:numId w:val="2"/>
        </w:numPr>
        <w:spacing w:after="40" w:before="40"/>
      </w:pPr>
      <w:r>
        <w:rPr>
          <w:rFonts w:ascii="Arial" w:cs="Arial" w:eastAsia="Arial" w:hAnsi="Arial"/>
          <w:b w:val="false"/>
          <w:bCs w:val="false"/>
          <w:sz w:val="20"/>
          <w:szCs w:val="20"/>
        </w:rPr>
        <w:t>Overall descriptive summary: Mean, median, minimum, and maximum are calculated across logged readings, but this mixed-context block is intentionally neutral and is never interpreted as a universal glucose target.</w:t>
      </w:r>
    </w:p>
    <w:p>
      <w:pPr>
        <w:pStyle w:val="ListParagraph"/>
        <w:keepLines/>
        <w:numPr>
          <w:ilvl w:val="0"/>
          <w:numId w:val="2"/>
        </w:numPr>
        <w:spacing w:after="40" w:before="40"/>
      </w:pPr>
      <w:r>
        <w:rPr>
          <w:rFonts w:ascii="Arial" w:cs="Arial" w:eastAsia="Arial" w:hAnsi="Arial"/>
          <w:b w:val="false"/>
          <w:bCs w:val="false"/>
          <w:sz w:val="20"/>
          <w:szCs w:val="20"/>
        </w:rPr>
        <w:t>Context-specific descriptive summary: A fasting/pre-meal/post-meal/bedtime/random context becomes available at &gt;=3 readings in that same context. Output includes n, distinct days, observed span, mean, median, minimum, and maximum.</w:t>
      </w:r>
    </w:p>
    <w:p>
      <w:pPr>
        <w:pStyle w:val="ListParagraph"/>
        <w:keepLines/>
        <w:numPr>
          <w:ilvl w:val="0"/>
          <w:numId w:val="2"/>
        </w:numPr>
        <w:spacing w:after="40" w:before="40"/>
      </w:pPr>
      <w:r>
        <w:rPr>
          <w:rFonts w:ascii="Arial" w:cs="Arial" w:eastAsia="Arial" w:hAnsi="Arial"/>
          <w:b w:val="false"/>
          <w:bCs w:val="false"/>
          <w:sz w:val="20"/>
          <w:szCs w:val="20"/>
        </w:rPr>
        <w:t>Context-specific OLS trend: Directional trend becomes available at &gt;=5 same-context readings across at least 2 distinct days and &gt;=7 days of observed span. OLS returns slope in mg/dL/day, modeled change across the observed span, and R-squared when calculable.</w:t>
      </w:r>
    </w:p>
    <w:p>
      <w:pPr>
        <w:pStyle w:val="ListParagraph"/>
        <w:keepLines/>
        <w:numPr>
          <w:ilvl w:val="0"/>
          <w:numId w:val="2"/>
        </w:numPr>
        <w:spacing w:after="40" w:before="40"/>
      </w:pPr>
      <w:r>
        <w:rPr>
          <w:rFonts w:ascii="Arial" w:cs="Arial" w:eastAsia="Arial" w:hAnsi="Arial"/>
          <w:b w:val="false"/>
          <w:bCs w:val="false"/>
          <w:sz w:val="20"/>
          <w:szCs w:val="20"/>
        </w:rPr>
        <w:t>Regression significance gate: p-value is exposed only when the same context has &gt;=10 readings and &gt;=14 days of span. Direction/slope can be shown with less support; statistical significance cannot.</w:t>
      </w:r>
    </w:p>
    <w:p>
      <w:pPr>
        <w:pStyle w:val="ListParagraph"/>
        <w:keepLines/>
        <w:numPr>
          <w:ilvl w:val="0"/>
          <w:numId w:val="2"/>
        </w:numPr>
        <w:spacing w:after="40" w:before="40"/>
      </w:pPr>
      <w:r>
        <w:rPr>
          <w:rFonts w:ascii="Arial" w:cs="Arial" w:eastAsia="Arial" w:hAnsi="Arial"/>
          <w:b w:val="false"/>
          <w:bCs w:val="false"/>
          <w:sz w:val="20"/>
          <w:szCs w:val="20"/>
        </w:rPr>
        <w:t>LOESS: Each qualifying context receives a separate LOESS curve using frac=0.6. No LOESS or OLS fit is run through a mixture of fasting, meal-related, bedtime, and random values.</w:t>
      </w:r>
    </w:p>
    <w:p>
      <w:pPr>
        <w:pStyle w:val="ListParagraph"/>
        <w:keepLines/>
        <w:numPr>
          <w:ilvl w:val="0"/>
          <w:numId w:val="2"/>
        </w:numPr>
        <w:spacing w:after="40" w:before="40"/>
      </w:pPr>
      <w:r>
        <w:rPr>
          <w:rFonts w:ascii="Arial" w:cs="Arial" w:eastAsia="Arial" w:hAnsi="Arial"/>
          <w:b w:val="false"/>
          <w:bCs w:val="false"/>
          <w:sz w:val="20"/>
          <w:szCs w:val="20"/>
        </w:rPr>
        <w:t>Low-glucose observations: Level 1 is 54-69 mg/dL and Level 2 is &lt;54 mg/dL. Counts and events are reported directly from recorded values. The engine does not infer symptoms or numeric "Level 3" severity.</w:t>
      </w:r>
    </w:p>
    <w:p>
      <w:pPr>
        <w:pStyle w:val="ListParagraph"/>
        <w:keepLines/>
        <w:numPr>
          <w:ilvl w:val="0"/>
          <w:numId w:val="2"/>
        </w:numPr>
        <w:spacing w:after="40" w:before="40"/>
      </w:pPr>
      <w:r>
        <w:rPr>
          <w:rFonts w:ascii="Arial" w:cs="Arial" w:eastAsia="Arial" w:hAnsi="Arial"/>
          <w:b w:val="false"/>
          <w:bCs w:val="false"/>
          <w:sz w:val="20"/>
          <w:szCs w:val="20"/>
        </w:rPr>
        <w:t>Meal excursion pairing: Prefer an explicit meal_event_id. A fallback pair is allowed only when there is exactly one pre-meal and one post-meal reading for the same local date and meal, the post-meal reading occurs later, and post-meal minutes are recorded.</w:t>
      </w:r>
    </w:p>
    <w:p>
      <w:pPr>
        <w:pStyle w:val="ListParagraph"/>
        <w:keepLines/>
        <w:numPr>
          <w:ilvl w:val="0"/>
          <w:numId w:val="2"/>
        </w:numPr>
        <w:spacing w:after="40" w:before="40"/>
      </w:pPr>
      <w:r>
        <w:rPr>
          <w:rFonts w:ascii="Arial" w:cs="Arial" w:eastAsia="Arial" w:hAnsi="Arial"/>
          <w:b w:val="false"/>
          <w:bCs w:val="false"/>
          <w:sz w:val="20"/>
          <w:szCs w:val="20"/>
        </w:rPr>
        <w:t>Meal excursion summaries: Excursion = post-meal glucose - pre-meal glucose. Different post-meal intervals are not averaged together; meal type plus exact minutes-after-meal is the grouping key. Mean/median/range summaries require &gt;=3 comparable pairs.</w:t>
      </w:r>
    </w:p>
    <w:p>
      <w:pPr>
        <w:pStyle w:val="ListParagraph"/>
        <w:keepLines/>
        <w:numPr>
          <w:ilvl w:val="0"/>
          <w:numId w:val="2"/>
        </w:numPr>
        <w:spacing w:after="40" w:before="40"/>
      </w:pPr>
      <w:r>
        <w:rPr>
          <w:rFonts w:ascii="Arial" w:cs="Arial" w:eastAsia="Arial" w:hAnsi="Arial"/>
          <w:b w:val="false"/>
          <w:bCs w:val="false"/>
          <w:sz w:val="20"/>
          <w:szCs w:val="20"/>
        </w:rPr>
        <w:t>Variability by context: &gt;=5 comparable readings enables descriptive SD, IQR, minimum, and maximum. Coefficient of variation is calculated only at &gt;=10 readings and is presented descriptively, not against CGM CV targets.</w:t>
      </w:r>
    </w:p>
    <w:p>
      <w:pPr>
        <w:pStyle w:val="ListParagraph"/>
        <w:keepLines/>
        <w:numPr>
          <w:ilvl w:val="0"/>
          <w:numId w:val="2"/>
        </w:numPr>
        <w:spacing w:after="40" w:before="40"/>
      </w:pPr>
      <w:r>
        <w:rPr>
          <w:rFonts w:ascii="Arial" w:cs="Arial" w:eastAsia="Arial" w:hAnsi="Arial"/>
          <w:b w:val="false"/>
          <w:bCs w:val="false"/>
          <w:sz w:val="20"/>
          <w:szCs w:val="20"/>
        </w:rPr>
        <w:t>Time-of-day analysis: Local-time buckets are morning 04:00-11:59, afternoon 12:00-16:59, evening 17:00-21:59, and overnight otherwise. A bucket requires &gt;=3 same-context readings; pattern comparison requires at least 2 qualifying buckets.</w:t>
      </w:r>
    </w:p>
    <w:p>
      <w:pPr>
        <w:pStyle w:val="ListParagraph"/>
        <w:keepLines/>
        <w:numPr>
          <w:ilvl w:val="0"/>
          <w:numId w:val="2"/>
        </w:numPr>
        <w:spacing w:after="40" w:before="40"/>
      </w:pPr>
      <w:r>
        <w:rPr>
          <w:rFonts w:ascii="Arial" w:cs="Arial" w:eastAsia="Arial" w:hAnsi="Arial"/>
          <w:b w:val="false"/>
          <w:bCs w:val="false"/>
          <w:sz w:val="20"/>
          <w:szCs w:val="20"/>
        </w:rPr>
        <w:t>Medication-change association: For each recorded medication change, the engine compares the same glucose context during the 14 days before versus the 14 days after. Both sides require &gt;=5 readings. Output includes mean/median deltas and before/after OLS slopes. This is observational association, not causation.</w:t>
      </w:r>
    </w:p>
    <w:p>
      <w:pPr>
        <w:pStyle w:val="ListParagraph"/>
        <w:keepLines/>
        <w:numPr>
          <w:ilvl w:val="0"/>
          <w:numId w:val="2"/>
        </w:numPr>
        <w:spacing w:after="40" w:before="40"/>
      </w:pPr>
      <w:r>
        <w:rPr>
          <w:rFonts w:ascii="Arial" w:cs="Arial" w:eastAsia="Arial" w:hAnsi="Arial"/>
          <w:b w:val="false"/>
          <w:bCs w:val="false"/>
          <w:sz w:val="20"/>
          <w:szCs w:val="20"/>
        </w:rPr>
        <w:t>Data-support state: snapshot, descriptive, or trend support is returned with n, distinct days, span, context completeness, explicit unavailable-analysis reason codes, and interpretation limitations.</w:t>
      </w:r>
    </w:p>
    <w:p>
      <w:pPr>
        <w:keepNext/>
        <w:keepLines/>
        <w:spacing w:after="60" w:before="180"/>
      </w:pPr>
      <w:r>
        <w:rPr>
          <w:rFonts w:ascii="Arial" w:cs="Arial" w:eastAsia="Arial" w:hAnsi="Arial"/>
          <w:b/>
          <w:bCs/>
          <w:color w:val="00B4C8"/>
          <w:sz w:val="22"/>
          <w:szCs w:val="22"/>
        </w:rPr>
        <w:t>GMI and Capability Gating</w:t>
      </w:r>
    </w:p>
    <w:p>
      <w:pPr>
        <w:pStyle w:val="ListParagraph"/>
        <w:keepLines/>
        <w:numPr>
          <w:ilvl w:val="0"/>
          <w:numId w:val="2"/>
        </w:numPr>
        <w:spacing w:after="40" w:before="40"/>
      </w:pPr>
      <w:r>
        <w:rPr>
          <w:rFonts w:ascii="Arial" w:cs="Arial" w:eastAsia="Arial" w:hAnsi="Arial"/>
          <w:b w:val="false"/>
          <w:bCs w:val="false"/>
          <w:sz w:val="20"/>
          <w:szCs w:val="20"/>
        </w:rPr>
        <w:t>GMI formula is defined as: GMI (%) = 3.31 + 0.02392 x mean CGM glucose (mg/dL).</w:t>
      </w:r>
    </w:p>
    <w:p>
      <w:pPr>
        <w:pStyle w:val="ListParagraph"/>
        <w:keepLines/>
        <w:numPr>
          <w:ilvl w:val="0"/>
          <w:numId w:val="2"/>
        </w:numPr>
        <w:spacing w:after="40" w:before="40"/>
      </w:pPr>
      <w:r>
        <w:rPr>
          <w:rFonts w:ascii="Arial" w:cs="Arial" w:eastAsia="Arial" w:hAnsi="Arial"/>
          <w:b w:val="false"/>
          <w:bCs w:val="false"/>
          <w:sz w:val="20"/>
          <w:szCs w:val="20"/>
        </w:rPr>
        <w:t>Manual/BGM spot readings are never used to calculate GMI. GMI requires qualified dense CGM data with at least 14 days represented and &gt;=70% active coverage.</w:t>
      </w:r>
    </w:p>
    <w:p>
      <w:pPr>
        <w:pStyle w:val="ListParagraph"/>
        <w:keepLines/>
        <w:numPr>
          <w:ilvl w:val="0"/>
          <w:numId w:val="2"/>
        </w:numPr>
        <w:spacing w:after="40" w:before="40"/>
      </w:pPr>
      <w:r>
        <w:rPr>
          <w:rFonts w:ascii="Arial" w:cs="Arial" w:eastAsia="Arial" w:hAnsi="Arial"/>
          <w:b w:val="false"/>
          <w:bCs w:val="false"/>
          <w:sz w:val="20"/>
          <w:szCs w:val="20"/>
        </w:rPr>
        <w:t>The GMI block remains visible even when unavailable so the app and PDF can explain what is required. It explicitly states that GMI is not a laboratory A1C and may differ from measured A1C.</w:t>
      </w:r>
    </w:p>
    <w:p>
      <w:pPr>
        <w:pStyle w:val="ListParagraph"/>
        <w:keepLines/>
        <w:numPr>
          <w:ilvl w:val="0"/>
          <w:numId w:val="2"/>
        </w:numPr>
        <w:spacing w:after="40" w:before="40"/>
      </w:pPr>
      <w:r>
        <w:rPr>
          <w:rFonts w:ascii="Arial" w:cs="Arial" w:eastAsia="Arial" w:hAnsi="Arial"/>
          <w:b w:val="false"/>
          <w:bCs w:val="false"/>
          <w:sz w:val="20"/>
          <w:szCs w:val="20"/>
        </w:rPr>
        <w:t>Current limitation: the contract and UI/PDF readiness state are implemented, but standardized CGM/GMI calculation remains unavailable until CGM ingestion includes active-coverage metadata.</w:t>
      </w:r>
    </w:p>
    <w:p>
      <w:pPr>
        <w:pStyle w:val="ListParagraph"/>
        <w:keepLines/>
        <w:numPr>
          <w:ilvl w:val="0"/>
          <w:numId w:val="2"/>
        </w:numPr>
        <w:spacing w:after="40" w:before="40"/>
      </w:pPr>
      <w:r>
        <w:rPr>
          <w:rFonts w:ascii="Arial" w:cs="Arial" w:eastAsia="Arial" w:hAnsi="Arial"/>
          <w:b w:val="false"/>
          <w:bCs w:val="false"/>
          <w:sz w:val="20"/>
          <w:szCs w:val="20"/>
        </w:rPr>
        <w:t>Logged Readings in Target is deliberately unavailable until a patient-specific glucose target profile exists. Sparse manual readings are not labeled CGM Time in Range and are not classified against a universal high/out-of-target threshold.</w:t>
      </w:r>
    </w:p>
    <w:p>
      <w:pPr>
        <w:keepNext/>
        <w:keepLines/>
        <w:spacing w:after="60" w:before="180"/>
      </w:pPr>
      <w:r>
        <w:rPr>
          <w:rFonts w:ascii="Arial" w:cs="Arial" w:eastAsia="Arial" w:hAnsi="Arial"/>
          <w:b/>
          <w:bCs/>
          <w:color w:val="00B4C8"/>
          <w:sz w:val="22"/>
          <w:szCs w:val="22"/>
        </w:rPr>
        <w:t>Patient and Clinician Presentation</w:t>
      </w:r>
    </w:p>
    <w:p>
      <w:pPr>
        <w:pStyle w:val="ListParagraph"/>
        <w:keepLines/>
        <w:numPr>
          <w:ilvl w:val="0"/>
          <w:numId w:val="2"/>
        </w:numPr>
        <w:spacing w:after="40" w:before="40"/>
      </w:pPr>
      <w:r>
        <w:rPr>
          <w:rFonts w:ascii="Arial" w:cs="Arial" w:eastAsia="Arial" w:hAnsi="Arial"/>
          <w:b w:val="false"/>
          <w:bCs w:val="false"/>
          <w:sz w:val="20"/>
          <w:szCs w:val="20"/>
        </w:rPr>
        <w:t>Vitals Analysis uses a dedicated GlucoseAnalysis model and shows the latest value with measurement context, meal/timing, and source; context completeness; context summaries; context trends; low-glucose observations; GMI readiness; data confidence; unavailable analyses; and interpretation limits.</w:t>
      </w:r>
    </w:p>
    <w:p>
      <w:pPr>
        <w:pStyle w:val="ListParagraph"/>
        <w:keepLines/>
        <w:numPr>
          <w:ilvl w:val="0"/>
          <w:numId w:val="2"/>
        </w:numPr>
        <w:spacing w:after="40" w:before="40"/>
      </w:pPr>
      <w:r>
        <w:rPr>
          <w:rFonts w:ascii="Arial" w:cs="Arial" w:eastAsia="Arial" w:hAnsi="Arial"/>
          <w:b w:val="false"/>
          <w:bCs w:val="false"/>
          <w:sz w:val="20"/>
          <w:szCs w:val="20"/>
        </w:rPr>
        <w:t>Logged Reading Summary uses a compact Mean / Median / Min / Max layout with mg/dL shown once. Mixed-context values remain visually neutral.</w:t>
      </w:r>
    </w:p>
    <w:p>
      <w:pPr>
        <w:pStyle w:val="ListParagraph"/>
        <w:keepLines/>
        <w:numPr>
          <w:ilvl w:val="0"/>
          <w:numId w:val="2"/>
        </w:numPr>
        <w:spacing w:after="40" w:before="40"/>
      </w:pPr>
      <w:r>
        <w:rPr>
          <w:rFonts w:ascii="Arial" w:cs="Arial" w:eastAsia="Arial" w:hAnsi="Arial"/>
          <w:b w:val="false"/>
          <w:bCs w:val="false"/>
          <w:sz w:val="20"/>
          <w:szCs w:val="20"/>
        </w:rPr>
        <w:t>Low-glucose risk styling is used only where the engine has explicit numeric support: Level 1 receives amber emphasis and Level 2 red emphasis, with text labels so color is never the only signal.</w:t>
      </w:r>
    </w:p>
    <w:p>
      <w:pPr>
        <w:pStyle w:val="ListParagraph"/>
        <w:keepLines/>
        <w:numPr>
          <w:ilvl w:val="0"/>
          <w:numId w:val="2"/>
        </w:numPr>
        <w:spacing w:after="40" w:before="40"/>
      </w:pPr>
      <w:r>
        <w:rPr>
          <w:rFonts w:ascii="Arial" w:cs="Arial" w:eastAsia="Arial" w:hAnsi="Arial"/>
          <w:b w:val="false"/>
          <w:bCs w:val="false"/>
          <w:sz w:val="20"/>
          <w:szCs w:val="20"/>
        </w:rPr>
        <w:t>The clinician PDF has a dedicated Blood Glucose Clinical Analysis section using the same v2 contract: latest/context/source, report window, source/context coverage, descriptive and context-specific tables, trends, low events, meal excursions, medication-change comparisons, GMI readiness, support state, and limitations.</w:t>
      </w:r>
    </w:p>
    <w:p>
      <w:pPr>
        <w:pStyle w:val="ListParagraph"/>
        <w:keepLines/>
        <w:numPr>
          <w:ilvl w:val="0"/>
          <w:numId w:val="2"/>
        </w:numPr>
        <w:spacing w:after="40" w:before="40"/>
      </w:pPr>
      <w:r>
        <w:rPr>
          <w:rFonts w:ascii="Arial" w:cs="Arial" w:eastAsia="Arial" w:hAnsi="Arial"/>
          <w:b w:val="false"/>
          <w:bCs w:val="false"/>
          <w:sz w:val="20"/>
          <w:szCs w:val="20"/>
        </w:rPr>
        <w:t>When Glucose is enabled but no readings exist, the PDF renders an explicit No Glucose Data Yet section rather than silently omitting Glucose.</w:t>
      </w:r>
    </w:p>
    <w:p>
      <w:pPr>
        <w:pStyle w:val="ListParagraph"/>
        <w:keepLines/>
        <w:numPr>
          <w:ilvl w:val="0"/>
          <w:numId w:val="2"/>
        </w:numPr>
        <w:spacing w:after="40" w:before="40"/>
      </w:pPr>
      <w:r>
        <w:rPr>
          <w:rFonts w:ascii="Arial" w:cs="Arial" w:eastAsia="Arial" w:hAnsi="Arial"/>
          <w:b w:val="false"/>
          <w:bCs w:val="false"/>
          <w:sz w:val="20"/>
          <w:szCs w:val="20"/>
        </w:rPr>
        <w:t>Production verification (Oct 2, 2026): merged Glucose work was deployed and a generated clinician PDF was confirmed to reflect the Glucose analysis data.</w:t>
      </w:r>
    </w:p>
    <w:p>
      <w:pPr>
        <w:keepNext/>
        <w:keepLines/>
        <w:spacing w:after="60" w:before="180"/>
      </w:pPr>
      <w:r>
        <w:rPr>
          <w:rFonts w:ascii="Arial" w:cs="Arial" w:eastAsia="Arial" w:hAnsi="Arial"/>
          <w:b/>
          <w:bCs/>
          <w:color w:val="00B4C8"/>
          <w:sz w:val="22"/>
          <w:szCs w:val="22"/>
        </w:rPr>
        <w:t>Implementation Record</w:t>
      </w:r>
    </w:p>
    <w:p>
      <w:pPr>
        <w:pStyle w:val="ListParagraph"/>
        <w:keepLines/>
        <w:numPr>
          <w:ilvl w:val="0"/>
          <w:numId w:val="2"/>
        </w:numPr>
        <w:spacing w:after="40" w:before="40"/>
      </w:pPr>
      <w:r>
        <w:rPr>
          <w:rFonts w:ascii="Arial" w:cs="Arial" w:eastAsia="Arial" w:hAnsi="Arial"/>
          <w:b w:val="false"/>
          <w:bCs w:val="false"/>
          <w:sz w:val="20"/>
          <w:szCs w:val="20"/>
        </w:rPr>
        <w:t>PR #23 - glucose_context data foundation and Vitals Entry context capture - merged.</w:t>
      </w:r>
    </w:p>
    <w:p>
      <w:pPr>
        <w:pStyle w:val="ListParagraph"/>
        <w:keepLines/>
        <w:numPr>
          <w:ilvl w:val="0"/>
          <w:numId w:val="2"/>
        </w:numPr>
        <w:spacing w:after="40" w:before="40"/>
      </w:pPr>
      <w:r>
        <w:rPr>
          <w:rFonts w:ascii="Arial" w:cs="Arial" w:eastAsia="Arial" w:hAnsi="Arial"/>
          <w:b w:val="false"/>
          <w:bCs w:val="false"/>
          <w:sz w:val="20"/>
          <w:szCs w:val="20"/>
        </w:rPr>
        <w:t>PR #24 - dedicated context-aware Glucose analysis engine - merged.</w:t>
      </w:r>
    </w:p>
    <w:p>
      <w:pPr>
        <w:pStyle w:val="ListParagraph"/>
        <w:keepLines/>
        <w:numPr>
          <w:ilvl w:val="0"/>
          <w:numId w:val="2"/>
        </w:numPr>
        <w:spacing w:after="40" w:before="40"/>
      </w:pPr>
      <w:r>
        <w:rPr>
          <w:rFonts w:ascii="Arial" w:cs="Arial" w:eastAsia="Arial" w:hAnsi="Arial"/>
          <w:b w:val="false"/>
          <w:bCs w:val="false"/>
          <w:sz w:val="20"/>
          <w:szCs w:val="20"/>
        </w:rPr>
        <w:t>PR #25 - GMI readiness state, qualification requirement, disclosure, and analysis contract v2 - merged.</w:t>
      </w:r>
    </w:p>
    <w:p>
      <w:pPr>
        <w:pStyle w:val="ListParagraph"/>
        <w:keepLines/>
        <w:numPr>
          <w:ilvl w:val="0"/>
          <w:numId w:val="2"/>
        </w:numPr>
        <w:spacing w:after="40" w:before="40"/>
      </w:pPr>
      <w:r>
        <w:rPr>
          <w:rFonts w:ascii="Arial" w:cs="Arial" w:eastAsia="Arial" w:hAnsi="Arial"/>
          <w:b w:val="false"/>
          <w:bCs w:val="false"/>
          <w:sz w:val="20"/>
          <w:szCs w:val="20"/>
        </w:rPr>
        <w:t>PR #26 - dedicated MAUI Glucose Analysis model/view and patient-facing presentation - merged.</w:t>
      </w:r>
    </w:p>
    <w:p>
      <w:pPr>
        <w:pStyle w:val="ListParagraph"/>
        <w:keepLines/>
        <w:numPr>
          <w:ilvl w:val="0"/>
          <w:numId w:val="2"/>
        </w:numPr>
        <w:spacing w:after="40" w:before="40"/>
      </w:pPr>
      <w:r>
        <w:rPr>
          <w:rFonts w:ascii="Arial" w:cs="Arial" w:eastAsia="Arial" w:hAnsi="Arial"/>
          <w:b w:val="false"/>
          <w:bCs w:val="false"/>
          <w:sz w:val="20"/>
          <w:szCs w:val="20"/>
        </w:rPr>
        <w:t>PR #27 - logged-summary presentation refinement and explicit Level 1/Level 2 low-glucose styling - merged.</w:t>
      </w:r>
    </w:p>
    <w:p>
      <w:pPr>
        <w:pStyle w:val="ListParagraph"/>
        <w:keepLines/>
        <w:numPr>
          <w:ilvl w:val="0"/>
          <w:numId w:val="2"/>
        </w:numPr>
        <w:spacing w:after="40" w:before="40"/>
      </w:pPr>
      <w:r>
        <w:rPr>
          <w:rFonts w:ascii="Arial" w:cs="Arial" w:eastAsia="Arial" w:hAnsi="Arial"/>
          <w:b w:val="false"/>
          <w:bCs w:val="false"/>
          <w:sz w:val="20"/>
          <w:szCs w:val="20"/>
        </w:rPr>
        <w:t>PR #28 - dedicated clinician PDF Glucose analysis renderer - merged and production-verified.</w:t>
      </w:r>
    </w:p>
    <w:p>
      <w:pPr>
        <w:keepNext/>
        <w:keepLines/>
        <w:spacing w:after="60" w:before="180"/>
      </w:pPr>
      <w:r>
        <w:rPr>
          <w:rFonts w:ascii="Arial" w:cs="Arial" w:eastAsia="Arial" w:hAnsi="Arial"/>
          <w:b/>
          <w:bCs/>
          <w:color w:val="00B4C8"/>
          <w:sz w:val="22"/>
          <w:szCs w:val="22"/>
        </w:rPr>
        <w:t>Glucose Part B - Clinical Results / Doctor Visit (Deferred Post-Launch - Nice to Have)</w:t>
      </w:r>
    </w:p>
    <w:p>
      <w:pPr>
        <w:keepLines/>
        <w:spacing w:after="60" w:before="60"/>
      </w:pPr>
      <w:r>
        <w:rPr>
          <w:rFonts w:ascii="Arial" w:cs="Arial" w:eastAsia="Arial" w:hAnsi="Arial"/>
          <w:sz w:val="20"/>
          <w:szCs w:val="20"/>
        </w:rPr>
        <w:t>Product decision (Oct 3, 2026): Part B is a nice-to-have post-launch enhancement, not a minimum product requirement and not a blocker for Phase 6 closure, Phase 7, or the Android MVP launch. The engineering specification is retained below so this capability can be implemented later without rediscovering the data model, API, MAUI, analysis, PDF, security, and deployment requirements. When implemented, Part B will add physician- and laboratory-reported clinical results to the existing Visit Log while keeping those results distinct from patient-recorded home glucose and allowing dated laboratory checkpoints - especially A1C - to appear alongside the Glucose analysis and clinician PDF.</w:t>
      </w:r>
    </w:p>
    <w:p>
      <w:pPr>
        <w:keepNext/>
        <w:keepLines/>
        <w:spacing w:after="60" w:before="180"/>
      </w:pPr>
      <w:r>
        <w:rPr>
          <w:rFonts w:ascii="Arial" w:cs="Arial" w:eastAsia="Arial" w:hAnsi="Arial"/>
          <w:b/>
          <w:bCs/>
          <w:color w:val="00B4C8"/>
          <w:sz w:val="22"/>
          <w:szCs w:val="22"/>
        </w:rPr>
        <w:t>Part B Result Scope</w:t>
      </w:r>
    </w:p>
    <w:p>
      <w:pPr>
        <w:pStyle w:val="ListParagraph"/>
        <w:keepLines/>
        <w:numPr>
          <w:ilvl w:val="0"/>
          <w:numId w:val="2"/>
        </w:numPr>
        <w:spacing w:after="40" w:before="40"/>
      </w:pPr>
      <w:r>
        <w:rPr>
          <w:rFonts w:ascii="Arial" w:cs="Arial" w:eastAsia="Arial" w:hAnsi="Arial"/>
          <w:b w:val="false"/>
          <w:bCs w:val="false"/>
          <w:sz w:val="20"/>
          <w:szCs w:val="20"/>
        </w:rPr>
        <w:t>A1C / HbA1c.</w:t>
      </w:r>
    </w:p>
    <w:p>
      <w:pPr>
        <w:pStyle w:val="ListParagraph"/>
        <w:keepLines/>
        <w:numPr>
          <w:ilvl w:val="0"/>
          <w:numId w:val="2"/>
        </w:numPr>
        <w:spacing w:after="40" w:before="40"/>
      </w:pPr>
      <w:r>
        <w:rPr>
          <w:rFonts w:ascii="Arial" w:cs="Arial" w:eastAsia="Arial" w:hAnsi="Arial"/>
          <w:b w:val="false"/>
          <w:bCs w:val="false"/>
          <w:sz w:val="20"/>
          <w:szCs w:val="20"/>
        </w:rPr>
        <w:t>Cholesterol / lipid panel: total cholesterol, LDL-C, HDL-C, triglycerides.</w:t>
      </w:r>
    </w:p>
    <w:p>
      <w:pPr>
        <w:pStyle w:val="ListParagraph"/>
        <w:keepLines/>
        <w:numPr>
          <w:ilvl w:val="0"/>
          <w:numId w:val="2"/>
        </w:numPr>
        <w:spacing w:after="40" w:before="40"/>
      </w:pPr>
      <w:r>
        <w:rPr>
          <w:rFonts w:ascii="Arial" w:cs="Arial" w:eastAsia="Arial" w:hAnsi="Arial"/>
          <w:b w:val="false"/>
          <w:bCs w:val="false"/>
          <w:sz w:val="20"/>
          <w:szCs w:val="20"/>
        </w:rPr>
        <w:t>Glucose laboratory results: fasting plasma glucose and other physician/lab-reported glucose values.</w:t>
      </w:r>
    </w:p>
    <w:p>
      <w:pPr>
        <w:pStyle w:val="ListParagraph"/>
        <w:keepLines/>
        <w:numPr>
          <w:ilvl w:val="0"/>
          <w:numId w:val="2"/>
        </w:numPr>
        <w:spacing w:after="40" w:before="40"/>
      </w:pPr>
      <w:r>
        <w:rPr>
          <w:rFonts w:ascii="Arial" w:cs="Arial" w:eastAsia="Arial" w:hAnsi="Arial"/>
          <w:b w:val="false"/>
          <w:bCs w:val="false"/>
          <w:sz w:val="20"/>
          <w:szCs w:val="20"/>
        </w:rPr>
        <w:t>Kidney labs: creatinine, eGFR, BUN, and urine albumin/creatinine ratio when reported.</w:t>
      </w:r>
    </w:p>
    <w:p>
      <w:pPr>
        <w:pStyle w:val="ListParagraph"/>
        <w:keepLines/>
        <w:numPr>
          <w:ilvl w:val="0"/>
          <w:numId w:val="2"/>
        </w:numPr>
        <w:spacing w:after="40" w:before="40"/>
      </w:pPr>
      <w:r>
        <w:rPr>
          <w:rFonts w:ascii="Arial" w:cs="Arial" w:eastAsia="Arial" w:hAnsi="Arial"/>
          <w:b w:val="false"/>
          <w:bCs w:val="false"/>
          <w:sz w:val="20"/>
          <w:szCs w:val="20"/>
        </w:rPr>
        <w:t>Liver labs: ALT, AST, alkaline phosphatase, total bilirubin.</w:t>
      </w:r>
    </w:p>
    <w:p>
      <w:pPr>
        <w:pStyle w:val="ListParagraph"/>
        <w:keepLines/>
        <w:numPr>
          <w:ilvl w:val="0"/>
          <w:numId w:val="2"/>
        </w:numPr>
        <w:spacing w:after="40" w:before="40"/>
      </w:pPr>
      <w:r>
        <w:rPr>
          <w:rFonts w:ascii="Arial" w:cs="Arial" w:eastAsia="Arial" w:hAnsi="Arial"/>
          <w:b w:val="false"/>
          <w:bCs w:val="false"/>
          <w:sz w:val="20"/>
          <w:szCs w:val="20"/>
        </w:rPr>
        <w:t>CBC: WBC, RBC, hemoglobin, hematocrit, platelets.</w:t>
      </w:r>
    </w:p>
    <w:p>
      <w:pPr>
        <w:pStyle w:val="ListParagraph"/>
        <w:keepLines/>
        <w:numPr>
          <w:ilvl w:val="0"/>
          <w:numId w:val="2"/>
        </w:numPr>
        <w:spacing w:after="40" w:before="40"/>
      </w:pPr>
      <w:r>
        <w:rPr>
          <w:rFonts w:ascii="Arial" w:cs="Arial" w:eastAsia="Arial" w:hAnsi="Arial"/>
          <w:b w:val="false"/>
          <w:bCs w:val="false"/>
          <w:sz w:val="20"/>
          <w:szCs w:val="20"/>
        </w:rPr>
        <w:t>Thyroid: TSH and free T4.</w:t>
      </w:r>
    </w:p>
    <w:p>
      <w:pPr>
        <w:pStyle w:val="ListParagraph"/>
        <w:keepLines/>
        <w:numPr>
          <w:ilvl w:val="0"/>
          <w:numId w:val="2"/>
        </w:numPr>
        <w:spacing w:after="40" w:before="40"/>
      </w:pPr>
      <w:r>
        <w:rPr>
          <w:rFonts w:ascii="Arial" w:cs="Arial" w:eastAsia="Arial" w:hAnsi="Arial"/>
          <w:b w:val="false"/>
          <w:bCs w:val="false"/>
          <w:sz w:val="20"/>
          <w:szCs w:val="20"/>
        </w:rPr>
        <w:t>Other physician-reported test results through an extensible custom test name/code rather than a closed hard-coded list.</w:t>
      </w:r>
    </w:p>
    <w:p>
      <w:pPr>
        <w:keepNext/>
        <w:keepLines/>
        <w:spacing w:after="60" w:before="180"/>
      </w:pPr>
      <w:r>
        <w:rPr>
          <w:rFonts w:ascii="Arial" w:cs="Arial" w:eastAsia="Arial" w:hAnsi="Arial"/>
          <w:b/>
          <w:bCs/>
          <w:color w:val="00B4C8"/>
          <w:sz w:val="22"/>
          <w:szCs w:val="22"/>
        </w:rPr>
        <w:t>Existing Visit Foundation to Reuse</w:t>
      </w:r>
    </w:p>
    <w:p>
      <w:pPr>
        <w:pStyle w:val="ListParagraph"/>
        <w:keepLines/>
        <w:numPr>
          <w:ilvl w:val="0"/>
          <w:numId w:val="2"/>
        </w:numPr>
        <w:spacing w:after="40" w:before="40"/>
      </w:pPr>
      <w:r>
        <w:rPr>
          <w:rFonts w:ascii="Arial" w:cs="Arial" w:eastAsia="Arial" w:hAnsi="Arial"/>
          <w:b w:val="false"/>
          <w:bCs w:val="false"/>
          <w:sz w:val="20"/>
          <w:szCs w:val="20"/>
        </w:rPr>
        <w:t>visit_logs already exists with patient_id, household_id, doctor_id, visit date/time, reason, notes, follow-up date, timestamps, and soft-active state.</w:t>
      </w:r>
    </w:p>
    <w:p>
      <w:pPr>
        <w:pStyle w:val="ListParagraph"/>
        <w:keepLines/>
        <w:numPr>
          <w:ilvl w:val="0"/>
          <w:numId w:val="2"/>
        </w:numPr>
        <w:spacing w:after="40" w:before="40"/>
      </w:pPr>
      <w:r>
        <w:rPr>
          <w:rFonts w:ascii="Arial" w:cs="Arial" w:eastAsia="Arial" w:hAnsi="Arial"/>
          <w:b w:val="false"/>
          <w:bCs w:val="false"/>
          <w:sz w:val="20"/>
          <w:szCs w:val="20"/>
        </w:rPr>
        <w:t>Existing endpoints already provide GET /api/visits, POST /api/visits, PATCH /api/visits/{visit_id}, and GET /api/visits/latest with household/patient scoping.</w:t>
      </w:r>
    </w:p>
    <w:p>
      <w:pPr>
        <w:pStyle w:val="ListParagraph"/>
        <w:keepLines/>
        <w:numPr>
          <w:ilvl w:val="0"/>
          <w:numId w:val="2"/>
        </w:numPr>
        <w:spacing w:after="40" w:before="40"/>
      </w:pPr>
      <w:r>
        <w:rPr>
          <w:rFonts w:ascii="Arial" w:cs="Arial" w:eastAsia="Arial" w:hAnsi="Arial"/>
          <w:b w:val="false"/>
          <w:bCs w:val="false"/>
          <w:sz w:val="20"/>
          <w:szCs w:val="20"/>
        </w:rPr>
        <w:t>The MAUI Visit Log, visit detail popup, doctor picker, follow-up fields, and optional office vitals snapshot are already operational. Part B should extend this workflow rather than create a duplicate visit subsystem.</w:t>
      </w:r>
    </w:p>
    <w:p>
      <w:pPr>
        <w:pStyle w:val="ListParagraph"/>
        <w:keepLines/>
        <w:numPr>
          <w:ilvl w:val="0"/>
          <w:numId w:val="2"/>
        </w:numPr>
        <w:spacing w:after="40" w:before="40"/>
      </w:pPr>
      <w:r>
        <w:rPr>
          <w:rFonts w:ascii="Arial" w:cs="Arial" w:eastAsia="Arial" w:hAnsi="Arial"/>
          <w:b w:val="false"/>
          <w:bCs w:val="false"/>
          <w:sz w:val="20"/>
          <w:szCs w:val="20"/>
        </w:rPr>
        <w:t>Use visit_logs as the canonical encounter table. The older doctor_visits table should not become a second source of truth for Part B.</w:t>
      </w:r>
    </w:p>
    <w:p>
      <w:pPr>
        <w:keepNext/>
        <w:keepLines/>
        <w:spacing w:after="60" w:before="180"/>
      </w:pPr>
      <w:r>
        <w:rPr>
          <w:rFonts w:ascii="Arial" w:cs="Arial" w:eastAsia="Arial" w:hAnsi="Arial"/>
          <w:b/>
          <w:bCs/>
          <w:color w:val="00B4C8"/>
          <w:sz w:val="22"/>
          <w:szCs w:val="22"/>
        </w:rPr>
        <w:t>New clinical_results Data Model</w:t>
      </w:r>
    </w:p>
    <w:p>
      <w:pPr>
        <w:pStyle w:val="ListParagraph"/>
        <w:keepLines/>
        <w:numPr>
          <w:ilvl w:val="0"/>
          <w:numId w:val="2"/>
        </w:numPr>
        <w:spacing w:after="40" w:before="40"/>
      </w:pPr>
      <w:r>
        <w:rPr>
          <w:rFonts w:ascii="Arial" w:cs="Arial" w:eastAsia="Arial" w:hAnsi="Arial"/>
          <w:b w:val="false"/>
          <w:bCs w:val="false"/>
          <w:sz w:val="20"/>
          <w:szCs w:val="20"/>
        </w:rPr>
        <w:t>Create public.clinical_results with result_id UUID primary key; patient_id and household_id required; visit_id optional foreign key to visit_logs; doctor_id optional for results entered without a linked visit.</w:t>
      </w:r>
    </w:p>
    <w:p>
      <w:pPr>
        <w:pStyle w:val="ListParagraph"/>
        <w:keepLines/>
        <w:numPr>
          <w:ilvl w:val="0"/>
          <w:numId w:val="2"/>
        </w:numPr>
        <w:spacing w:after="40" w:before="40"/>
      </w:pPr>
      <w:r>
        <w:rPr>
          <w:rFonts w:ascii="Arial" w:cs="Arial" w:eastAsia="Arial" w:hAnsi="Arial"/>
          <w:b w:val="false"/>
          <w:bCs w:val="false"/>
          <w:sz w:val="20"/>
          <w:szCs w:val="20"/>
        </w:rPr>
        <w:t>Result identity fields: category/panel, canonical test_code, display test_name, and result_date/observed_at. Canonical codes drive analysis; display names preserve human-readable lab wording.</w:t>
      </w:r>
    </w:p>
    <w:p>
      <w:pPr>
        <w:pStyle w:val="ListParagraph"/>
        <w:keepLines/>
        <w:numPr>
          <w:ilvl w:val="0"/>
          <w:numId w:val="2"/>
        </w:numPr>
        <w:spacing w:after="40" w:before="40"/>
      </w:pPr>
      <w:r>
        <w:rPr>
          <w:rFonts w:ascii="Arial" w:cs="Arial" w:eastAsia="Arial" w:hAnsi="Arial"/>
          <w:b w:val="false"/>
          <w:bCs w:val="false"/>
          <w:sz w:val="20"/>
          <w:szCs w:val="20"/>
        </w:rPr>
        <w:t>Value fields: value_numeric and value_text (at least one required), reported unit, optional reference_low/reference_high and reference_text, and optional abnormal_flag/status as reported by the lab.</w:t>
      </w:r>
    </w:p>
    <w:p>
      <w:pPr>
        <w:pStyle w:val="ListParagraph"/>
        <w:keepLines/>
        <w:numPr>
          <w:ilvl w:val="0"/>
          <w:numId w:val="2"/>
        </w:numPr>
        <w:spacing w:after="40" w:before="40"/>
      </w:pPr>
      <w:r>
        <w:rPr>
          <w:rFonts w:ascii="Arial" w:cs="Arial" w:eastAsia="Arial" w:hAnsi="Arial"/>
          <w:b w:val="false"/>
          <w:bCs w:val="false"/>
          <w:sz w:val="20"/>
          <w:szCs w:val="20"/>
        </w:rPr>
        <w:t>Preserve provenance: original_value/original_unit when normalization occurs, normalized_value/normalized_unit when a safe canonical conversion exists, source_type (manual, portal, lab report, import), optional source_lab, and notes.</w:t>
      </w:r>
    </w:p>
    <w:p>
      <w:pPr>
        <w:pStyle w:val="ListParagraph"/>
        <w:keepLines/>
        <w:numPr>
          <w:ilvl w:val="0"/>
          <w:numId w:val="2"/>
        </w:numPr>
        <w:spacing w:after="40" w:before="40"/>
      </w:pPr>
      <w:r>
        <w:rPr>
          <w:rFonts w:ascii="Arial" w:cs="Arial" w:eastAsia="Arial" w:hAnsi="Arial"/>
          <w:b w:val="false"/>
          <w:bCs w:val="false"/>
          <w:sz w:val="20"/>
          <w:szCs w:val="20"/>
        </w:rPr>
        <w:t>Audit fields: created_by_user_id, created_at, updated_at, is_active. Corrections should update or supersede the prior record without destroying auditability.</w:t>
      </w:r>
    </w:p>
    <w:p>
      <w:pPr>
        <w:pStyle w:val="ListParagraph"/>
        <w:keepLines/>
        <w:numPr>
          <w:ilvl w:val="0"/>
          <w:numId w:val="2"/>
        </w:numPr>
        <w:spacing w:after="40" w:before="40"/>
      </w:pPr>
      <w:r>
        <w:rPr>
          <w:rFonts w:ascii="Arial" w:cs="Arial" w:eastAsia="Arial" w:hAnsi="Arial"/>
          <w:b w:val="false"/>
          <w:bCs w:val="false"/>
          <w:sz w:val="20"/>
          <w:szCs w:val="20"/>
        </w:rPr>
        <w:t>Indexes required at minimum: (patient_id, result_date), (patient_id, test_code, result_date), visit_id, and household_id. Foreign keys should cascade or set null deliberately so patient/household ownership cannot orphan records.</w:t>
      </w:r>
    </w:p>
    <w:p>
      <w:pPr>
        <w:pStyle w:val="ListParagraph"/>
        <w:keepLines/>
        <w:numPr>
          <w:ilvl w:val="0"/>
          <w:numId w:val="2"/>
        </w:numPr>
        <w:spacing w:after="40" w:before="40"/>
      </w:pPr>
      <w:r>
        <w:rPr>
          <w:rFonts w:ascii="Arial" w:cs="Arial" w:eastAsia="Arial" w:hAnsi="Arial"/>
          <w:b w:val="false"/>
          <w:bCs w:val="false"/>
          <w:sz w:val="20"/>
          <w:szCs w:val="20"/>
        </w:rPr>
        <w:t>No automatic backfill should parse old free-text visit notes into lab results. Existing visit history remains valid and Part B starts with structured results entered after deployment unless a deliberate migration is later approved.</w:t>
      </w:r>
    </w:p>
    <w:p>
      <w:pPr>
        <w:keepNext/>
        <w:keepLines/>
        <w:spacing w:after="60" w:before="180"/>
      </w:pPr>
      <w:r>
        <w:rPr>
          <w:rFonts w:ascii="Arial" w:cs="Arial" w:eastAsia="Arial" w:hAnsi="Arial"/>
          <w:b/>
          <w:bCs/>
          <w:color w:val="00B4C8"/>
          <w:sz w:val="22"/>
          <w:szCs w:val="22"/>
        </w:rPr>
        <w:t>Part B API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ClinicalResultCreate / ClinicalResultUpdate request models with server-side validation for patient, visit, result type, numeric/text value, units, dates, reference range, provenance, and active state.</w:t>
      </w:r>
    </w:p>
    <w:p>
      <w:pPr>
        <w:pStyle w:val="ListParagraph"/>
        <w:keepLines/>
        <w:numPr>
          <w:ilvl w:val="0"/>
          <w:numId w:val="2"/>
        </w:numPr>
        <w:spacing w:after="40" w:before="40"/>
      </w:pPr>
      <w:r>
        <w:rPr>
          <w:rFonts w:ascii="Arial" w:cs="Arial" w:eastAsia="Arial" w:hAnsi="Arial"/>
          <w:b w:val="false"/>
          <w:bCs w:val="false"/>
          <w:sz w:val="20"/>
          <w:szCs w:val="20"/>
        </w:rPr>
        <w:t>Add GET /api/clinical-results?patient_id=... with optional visit_id, category/test_code, and date filters; POST /api/clinical-results; PATCH /api/clinical-results/{result_id}; and soft-delete/deactivate support.</w:t>
      </w:r>
    </w:p>
    <w:p>
      <w:pPr>
        <w:pStyle w:val="ListParagraph"/>
        <w:keepLines/>
        <w:numPr>
          <w:ilvl w:val="0"/>
          <w:numId w:val="2"/>
        </w:numPr>
        <w:spacing w:after="40" w:before="40"/>
      </w:pPr>
      <w:r>
        <w:rPr>
          <w:rFonts w:ascii="Arial" w:cs="Arial" w:eastAsia="Arial" w:hAnsi="Arial"/>
          <w:b w:val="false"/>
          <w:bCs w:val="false"/>
          <w:sz w:val="20"/>
          <w:szCs w:val="20"/>
        </w:rPr>
        <w:t>Add visit-detail retrieval that can return the visit plus its clinical_results, or provide an equivalent visit_id filter that the MAUI detail view can load in one predictable workflow.</w:t>
      </w:r>
    </w:p>
    <w:p>
      <w:pPr>
        <w:pStyle w:val="ListParagraph"/>
        <w:keepLines/>
        <w:numPr>
          <w:ilvl w:val="0"/>
          <w:numId w:val="2"/>
        </w:numPr>
        <w:spacing w:after="40" w:before="40"/>
      </w:pPr>
      <w:r>
        <w:rPr>
          <w:rFonts w:ascii="Arial" w:cs="Arial" w:eastAsia="Arial" w:hAnsi="Arial"/>
          <w:b w:val="false"/>
          <w:bCs w:val="false"/>
          <w:sz w:val="20"/>
          <w:szCs w:val="20"/>
        </w:rPr>
        <w:t>Allow POST /api/visits to accept an optional clinical_results collection and persist the visit plus submitted results in one database transaction. Direct result endpoints remain necessary for results received or corrected after the visit.</w:t>
      </w:r>
    </w:p>
    <w:p>
      <w:pPr>
        <w:pStyle w:val="ListParagraph"/>
        <w:keepLines/>
        <w:numPr>
          <w:ilvl w:val="0"/>
          <w:numId w:val="2"/>
        </w:numPr>
        <w:spacing w:after="40" w:before="40"/>
      </w:pPr>
      <w:r>
        <w:rPr>
          <w:rFonts w:ascii="Arial" w:cs="Arial" w:eastAsia="Arial" w:hAnsi="Arial"/>
          <w:b w:val="false"/>
          <w:bCs w:val="false"/>
          <w:sz w:val="20"/>
          <w:szCs w:val="20"/>
        </w:rPr>
        <w:t>Every result operation must verify that patient_id belongs to the authenticated household and that any linked visit_id belongs to that same patient and household. Record IDs alone are never sufficient authorization.</w:t>
      </w:r>
    </w:p>
    <w:p>
      <w:pPr>
        <w:pStyle w:val="ListParagraph"/>
        <w:keepLines/>
        <w:numPr>
          <w:ilvl w:val="0"/>
          <w:numId w:val="2"/>
        </w:numPr>
        <w:spacing w:after="40" w:before="40"/>
      </w:pPr>
      <w:r>
        <w:rPr>
          <w:rFonts w:ascii="Arial" w:cs="Arial" w:eastAsia="Arial" w:hAnsi="Arial"/>
          <w:b w:val="false"/>
          <w:bCs w:val="false"/>
          <w:sz w:val="20"/>
          <w:szCs w:val="20"/>
        </w:rPr>
        <w:t>Only normalize units when the conversion is explicit and lossless for the canonical test. Always retain the originally reported value/unit. Unknown/custom tests remain reportable even when no normalization rule exists.</w:t>
      </w:r>
    </w:p>
    <w:p>
      <w:pPr>
        <w:pStyle w:val="ListParagraph"/>
        <w:keepLines/>
        <w:numPr>
          <w:ilvl w:val="0"/>
          <w:numId w:val="2"/>
        </w:numPr>
        <w:spacing w:after="40" w:before="40"/>
      </w:pPr>
      <w:r>
        <w:rPr>
          <w:rFonts w:ascii="Arial" w:cs="Arial" w:eastAsia="Arial" w:hAnsi="Arial"/>
          <w:b w:val="false"/>
          <w:bCs w:val="false"/>
          <w:sz w:val="20"/>
          <w:szCs w:val="20"/>
        </w:rPr>
        <w:t>If A1C or Glucose analysis begins consuming clinical_results, create/update/deactivate operations must invalidate the affected patient Glucose analysis cache and bump the Glucose analysis contract version so stale cached output cannot survive a schema/contract change.</w:t>
      </w:r>
    </w:p>
    <w:p>
      <w:pPr>
        <w:keepNext/>
        <w:keepLines/>
        <w:spacing w:after="60" w:before="180"/>
      </w:pPr>
      <w:r>
        <w:rPr>
          <w:rFonts w:ascii="Arial" w:cs="Arial" w:eastAsia="Arial" w:hAnsi="Arial"/>
          <w:b/>
          <w:bCs/>
          <w:color w:val="00B4C8"/>
          <w:sz w:val="22"/>
          <w:szCs w:val="22"/>
        </w:rPr>
        <w:t>Part B MAUI Requirements</w:t>
      </w:r>
    </w:p>
    <w:p>
      <w:pPr>
        <w:pStyle w:val="ListParagraph"/>
        <w:keepLines/>
        <w:numPr>
          <w:ilvl w:val="0"/>
          <w:numId w:val="2"/>
        </w:numPr>
        <w:spacing w:after="40" w:before="40"/>
      </w:pPr>
      <w:r>
        <w:rPr>
          <w:rFonts w:ascii="Arial" w:cs="Arial" w:eastAsia="Arial" w:hAnsi="Arial"/>
          <w:b w:val="false"/>
          <w:bCs w:val="false"/>
          <w:sz w:val="20"/>
          <w:szCs w:val="20"/>
        </w:rPr>
        <w:t>Add ClinicalResult and response/request models plus ApiService methods for patient result history and visit-linked CRUD.</w:t>
      </w:r>
    </w:p>
    <w:p>
      <w:pPr>
        <w:pStyle w:val="ListParagraph"/>
        <w:keepLines/>
        <w:numPr>
          <w:ilvl w:val="0"/>
          <w:numId w:val="2"/>
        </w:numPr>
        <w:spacing w:after="40" w:before="40"/>
      </w:pPr>
      <w:r>
        <w:rPr>
          <w:rFonts w:ascii="Arial" w:cs="Arial" w:eastAsia="Arial" w:hAnsi="Arial"/>
          <w:b w:val="false"/>
          <w:bCs w:val="false"/>
          <w:sz w:val="20"/>
          <w:szCs w:val="20"/>
        </w:rPr>
        <w:t>Extend VisitDetailViewModel / VisitDetailPopup with a Clinical Results section that loads existing results and supports add, edit, and deactivate/delete actions.</w:t>
      </w:r>
    </w:p>
    <w:p>
      <w:pPr>
        <w:pStyle w:val="ListParagraph"/>
        <w:keepLines/>
        <w:numPr>
          <w:ilvl w:val="0"/>
          <w:numId w:val="2"/>
        </w:numPr>
        <w:spacing w:after="40" w:before="40"/>
      </w:pPr>
      <w:r>
        <w:rPr>
          <w:rFonts w:ascii="Arial" w:cs="Arial" w:eastAsia="Arial" w:hAnsi="Arial"/>
          <w:b w:val="false"/>
          <w:bCs w:val="false"/>
          <w:sz w:val="20"/>
          <w:szCs w:val="20"/>
        </w:rPr>
        <w:t>Provide fast structured entry for common panels while retaining a custom Other result path. Required entry fields are result/test, date, value, and unit when applicable; visit/provider, reference range, abnormal flag, source lab, and notes are optional.</w:t>
      </w:r>
    </w:p>
    <w:p>
      <w:pPr>
        <w:pStyle w:val="ListParagraph"/>
        <w:keepLines/>
        <w:numPr>
          <w:ilvl w:val="0"/>
          <w:numId w:val="2"/>
        </w:numPr>
        <w:spacing w:after="40" w:before="40"/>
      </w:pPr>
      <w:r>
        <w:rPr>
          <w:rFonts w:ascii="Arial" w:cs="Arial" w:eastAsia="Arial" w:hAnsi="Arial"/>
          <w:b w:val="false"/>
          <w:bCs w:val="false"/>
          <w:sz w:val="20"/>
          <w:szCs w:val="20"/>
        </w:rPr>
        <w:t>A1C should be a first-class quick-entry choice. Lipids, kidney, liver, CBC, and thyroid panels should offer known test rows so users do not repeatedly type common analyte names.</w:t>
      </w:r>
    </w:p>
    <w:p>
      <w:pPr>
        <w:pStyle w:val="ListParagraph"/>
        <w:keepLines/>
        <w:numPr>
          <w:ilvl w:val="0"/>
          <w:numId w:val="2"/>
        </w:numPr>
        <w:spacing w:after="40" w:before="40"/>
      </w:pPr>
      <w:r>
        <w:rPr>
          <w:rFonts w:ascii="Arial" w:cs="Arial" w:eastAsia="Arial" w:hAnsi="Arial"/>
          <w:b w:val="false"/>
          <w:bCs w:val="false"/>
          <w:sz w:val="20"/>
          <w:szCs w:val="20"/>
        </w:rPr>
        <w:t>Provide patient-level Clinical Results history accessible from the Visit Log workflow so serial A1C or other repeated tests can be reviewed without opening every encounter individually.</w:t>
      </w:r>
    </w:p>
    <w:p>
      <w:pPr>
        <w:pStyle w:val="ListParagraph"/>
        <w:keepLines/>
        <w:numPr>
          <w:ilvl w:val="0"/>
          <w:numId w:val="2"/>
        </w:numPr>
        <w:spacing w:after="40" w:before="40"/>
      </w:pPr>
      <w:r>
        <w:rPr>
          <w:rFonts w:ascii="Arial" w:cs="Arial" w:eastAsia="Arial" w:hAnsi="Arial"/>
          <w:b w:val="false"/>
          <w:bCs w:val="false"/>
          <w:sz w:val="20"/>
          <w:szCs w:val="20"/>
        </w:rPr>
        <w:t>The visit list/detail should make it visible when structured clinical results are attached, including result count and the most clinically relevant dated summary when space permits.</w:t>
      </w:r>
    </w:p>
    <w:p>
      <w:pPr>
        <w:pStyle w:val="ListParagraph"/>
        <w:keepLines/>
        <w:numPr>
          <w:ilvl w:val="0"/>
          <w:numId w:val="2"/>
        </w:numPr>
        <w:spacing w:after="40" w:before="40"/>
      </w:pPr>
      <w:r>
        <w:rPr>
          <w:rFonts w:ascii="Arial" w:cs="Arial" w:eastAsia="Arial" w:hAnsi="Arial"/>
          <w:b w:val="false"/>
          <w:bCs w:val="false"/>
          <w:sz w:val="20"/>
          <w:szCs w:val="20"/>
        </w:rPr>
        <w:t>Do not reuse the home Blood Glucose entry control for laboratory glucose. A lab glucose belongs in clinical_results. The existing office vitals snapshot may continue to record point-of-care vitals, but it must remain distinguishable from laboratory results.</w:t>
      </w:r>
    </w:p>
    <w:p>
      <w:pPr>
        <w:keepNext/>
        <w:keepLines/>
        <w:spacing w:after="60" w:before="180"/>
      </w:pPr>
      <w:r>
        <w:rPr>
          <w:rFonts w:ascii="Arial" w:cs="Arial" w:eastAsia="Arial" w:hAnsi="Arial"/>
          <w:b/>
          <w:bCs/>
          <w:color w:val="00B4C8"/>
          <w:sz w:val="22"/>
          <w:szCs w:val="22"/>
        </w:rPr>
        <w:t>Part B Glucose Analysis and PDF Integration</w:t>
      </w:r>
    </w:p>
    <w:p>
      <w:pPr>
        <w:pStyle w:val="ListParagraph"/>
        <w:keepLines/>
        <w:numPr>
          <w:ilvl w:val="0"/>
          <w:numId w:val="2"/>
        </w:numPr>
        <w:spacing w:after="40" w:before="40"/>
      </w:pPr>
      <w:r>
        <w:rPr>
          <w:rFonts w:ascii="Arial" w:cs="Arial" w:eastAsia="Arial" w:hAnsi="Arial"/>
          <w:b w:val="false"/>
          <w:bCs w:val="false"/>
          <w:sz w:val="20"/>
          <w:szCs w:val="20"/>
        </w:rPr>
        <w:t>Laboratory A1C is a dated clinical checkpoint and must never be inserted into vitals.blood_glucose or mixed into fasting/pre-meal/post-meal home-reading OLS/LOESS calculations.</w:t>
      </w:r>
    </w:p>
    <w:p>
      <w:pPr>
        <w:pStyle w:val="ListParagraph"/>
        <w:keepLines/>
        <w:numPr>
          <w:ilvl w:val="0"/>
          <w:numId w:val="2"/>
        </w:numPr>
        <w:spacing w:after="40" w:before="40"/>
      </w:pPr>
      <w:r>
        <w:rPr>
          <w:rFonts w:ascii="Arial" w:cs="Arial" w:eastAsia="Arial" w:hAnsi="Arial"/>
          <w:b w:val="false"/>
          <w:bCs w:val="false"/>
          <w:sz w:val="20"/>
          <w:szCs w:val="20"/>
        </w:rPr>
        <w:t>Expose latest A1C and prior A1C history to the Glucose analysis contract with result date and provenance. At minimum show latest, previous, absolute change, and elapsed time when two comparable results exist.</w:t>
      </w:r>
    </w:p>
    <w:p>
      <w:pPr>
        <w:pStyle w:val="ListParagraph"/>
        <w:keepLines/>
        <w:numPr>
          <w:ilvl w:val="0"/>
          <w:numId w:val="2"/>
        </w:numPr>
        <w:spacing w:after="40" w:before="40"/>
      </w:pPr>
      <w:r>
        <w:rPr>
          <w:rFonts w:ascii="Arial" w:cs="Arial" w:eastAsia="Arial" w:hAnsi="Arial"/>
          <w:b w:val="false"/>
          <w:bCs w:val="false"/>
          <w:sz w:val="20"/>
          <w:szCs w:val="20"/>
        </w:rPr>
        <w:t>If qualified CGM data later produces GMI, display GMI and laboratory A1C side by side with their dates/basis and preserve the disclosure that GMI is an estimate from mean CGM glucose, not a laboratory A1C.</w:t>
      </w:r>
    </w:p>
    <w:p>
      <w:pPr>
        <w:pStyle w:val="ListParagraph"/>
        <w:keepLines/>
        <w:numPr>
          <w:ilvl w:val="0"/>
          <w:numId w:val="2"/>
        </w:numPr>
        <w:spacing w:after="40" w:before="40"/>
      </w:pPr>
      <w:r>
        <w:rPr>
          <w:rFonts w:ascii="Arial" w:cs="Arial" w:eastAsia="Arial" w:hAnsi="Arial"/>
          <w:b w:val="false"/>
          <w:bCs w:val="false"/>
          <w:sz w:val="20"/>
          <w:szCs w:val="20"/>
        </w:rPr>
        <w:t>Physician/lab glucose values remain separate clinical_results. They may be shown as dated chart annotations/checkpoints, but they are not blended into the home-reading trend unless a future clinically reviewed rule explicitly defines such a comparison.</w:t>
      </w:r>
    </w:p>
    <w:p>
      <w:pPr>
        <w:pStyle w:val="ListParagraph"/>
        <w:keepLines/>
        <w:numPr>
          <w:ilvl w:val="0"/>
          <w:numId w:val="2"/>
        </w:numPr>
        <w:spacing w:after="40" w:before="40"/>
      </w:pPr>
      <w:r>
        <w:rPr>
          <w:rFonts w:ascii="Arial" w:cs="Arial" w:eastAsia="Arial" w:hAnsi="Arial"/>
          <w:b w:val="false"/>
          <w:bCs w:val="false"/>
          <w:sz w:val="20"/>
          <w:szCs w:val="20"/>
        </w:rPr>
        <w:t>The clinician PDF should add a Clinical Results section containing test date, test/panel, value/unit, reference range or reported flag when available, linked provider/visit, and notes/provenance as appropriate.</w:t>
      </w:r>
    </w:p>
    <w:p>
      <w:pPr>
        <w:pStyle w:val="ListParagraph"/>
        <w:keepLines/>
        <w:numPr>
          <w:ilvl w:val="0"/>
          <w:numId w:val="2"/>
        </w:numPr>
        <w:spacing w:after="40" w:before="40"/>
      </w:pPr>
      <w:r>
        <w:rPr>
          <w:rFonts w:ascii="Arial" w:cs="Arial" w:eastAsia="Arial" w:hAnsi="Arial"/>
          <w:b w:val="false"/>
          <w:bCs w:val="false"/>
          <w:sz w:val="20"/>
          <w:szCs w:val="20"/>
        </w:rPr>
        <w:t>The dedicated Blood Glucose Clinical Analysis PDF section should surface the latest laboratory A1C (and prior A1C/change when available) so the clinician can see home glucose patterns and laboratory glycemic checkpoints in the same report without conflating them.</w:t>
      </w:r>
    </w:p>
    <w:p>
      <w:pPr>
        <w:pStyle w:val="ListParagraph"/>
        <w:keepLines/>
        <w:numPr>
          <w:ilvl w:val="0"/>
          <w:numId w:val="2"/>
        </w:numPr>
        <w:spacing w:after="40" w:before="40"/>
      </w:pPr>
      <w:r>
        <w:rPr>
          <w:rFonts w:ascii="Arial" w:cs="Arial" w:eastAsia="Arial" w:hAnsi="Arial"/>
          <w:b w:val="false"/>
          <w:bCs w:val="false"/>
          <w:sz w:val="20"/>
          <w:szCs w:val="20"/>
        </w:rPr>
        <w:t>For non-glucose result families, the initial Part B implementation should provide structured capture, history, and report presentation. Do not infer diagnoses or apply universal abnormal thresholds when the lab has not supplied a reference range/flag.</w:t>
      </w:r>
    </w:p>
    <w:p>
      <w:pPr>
        <w:keepNext/>
        <w:keepLines/>
        <w:spacing w:after="60" w:before="180"/>
      </w:pPr>
      <w:r>
        <w:rPr>
          <w:rFonts w:ascii="Arial" w:cs="Arial" w:eastAsia="Arial" w:hAnsi="Arial"/>
          <w:b/>
          <w:bCs/>
          <w:color w:val="00B4C8"/>
          <w:sz w:val="22"/>
          <w:szCs w:val="22"/>
        </w:rPr>
        <w:t>Part B Security, Integrity, and Validation</w:t>
      </w:r>
    </w:p>
    <w:p>
      <w:pPr>
        <w:pStyle w:val="ListParagraph"/>
        <w:keepLines/>
        <w:numPr>
          <w:ilvl w:val="0"/>
          <w:numId w:val="2"/>
        </w:numPr>
        <w:spacing w:after="40" w:before="40"/>
      </w:pPr>
      <w:r>
        <w:rPr>
          <w:rFonts w:ascii="Arial" w:cs="Arial" w:eastAsia="Arial" w:hAnsi="Arial"/>
          <w:b w:val="false"/>
          <w:bCs w:val="false"/>
          <w:sz w:val="20"/>
          <w:szCs w:val="20"/>
        </w:rPr>
        <w:t>Maintain the existing cross-household isolation rule for all clinical_results reads and writes. Add explicit tests proving one household cannot fetch or modify another household's result by result_id, patient_id, or visit_id.</w:t>
      </w:r>
    </w:p>
    <w:p>
      <w:pPr>
        <w:pStyle w:val="ListParagraph"/>
        <w:keepLines/>
        <w:numPr>
          <w:ilvl w:val="0"/>
          <w:numId w:val="2"/>
        </w:numPr>
        <w:spacing w:after="40" w:before="40"/>
      </w:pPr>
      <w:r>
        <w:rPr>
          <w:rFonts w:ascii="Arial" w:cs="Arial" w:eastAsia="Arial" w:hAnsi="Arial"/>
          <w:b w:val="false"/>
          <w:bCs w:val="false"/>
          <w:sz w:val="20"/>
          <w:szCs w:val="20"/>
        </w:rPr>
        <w:t>Validate dates, numeric ranges where medically/technically safe, allowed source types, and required unit semantics for canonical tests. Do not silently coerce an unknown unit into a normalized value.</w:t>
      </w:r>
    </w:p>
    <w:p>
      <w:pPr>
        <w:pStyle w:val="ListParagraph"/>
        <w:keepLines/>
        <w:numPr>
          <w:ilvl w:val="0"/>
          <w:numId w:val="2"/>
        </w:numPr>
        <w:spacing w:after="40" w:before="40"/>
      </w:pPr>
      <w:r>
        <w:rPr>
          <w:rFonts w:ascii="Arial" w:cs="Arial" w:eastAsia="Arial" w:hAnsi="Arial"/>
          <w:b w:val="false"/>
          <w:bCs w:val="false"/>
          <w:sz w:val="20"/>
          <w:szCs w:val="20"/>
        </w:rPr>
        <w:t>Prevent a clinical_result from linking to a visit belonging to a different patient. If visit_id is supplied, patient_id and household_id must match the visit before insert/update.</w:t>
      </w:r>
    </w:p>
    <w:p>
      <w:pPr>
        <w:pStyle w:val="ListParagraph"/>
        <w:keepLines/>
        <w:numPr>
          <w:ilvl w:val="0"/>
          <w:numId w:val="2"/>
        </w:numPr>
        <w:spacing w:after="40" w:before="40"/>
      </w:pPr>
      <w:r>
        <w:rPr>
          <w:rFonts w:ascii="Arial" w:cs="Arial" w:eastAsia="Arial" w:hAnsi="Arial"/>
          <w:b w:val="false"/>
          <w:bCs w:val="false"/>
          <w:sz w:val="20"/>
          <w:szCs w:val="20"/>
        </w:rPr>
        <w:t>Use soft deactivation/audit semantics for corrected or removed results so a mistaken lab entry can be corrected without losing provenance.</w:t>
      </w:r>
    </w:p>
    <w:p>
      <w:pPr>
        <w:pStyle w:val="ListParagraph"/>
        <w:keepLines/>
        <w:numPr>
          <w:ilvl w:val="0"/>
          <w:numId w:val="2"/>
        </w:numPr>
        <w:spacing w:after="40" w:before="40"/>
      </w:pPr>
      <w:r>
        <w:rPr>
          <w:rFonts w:ascii="Arial" w:cs="Arial" w:eastAsia="Arial" w:hAnsi="Arial"/>
          <w:b w:val="false"/>
          <w:bCs w:val="false"/>
          <w:sz w:val="20"/>
          <w:szCs w:val="20"/>
        </w:rPr>
        <w:t>Add API tests for CRUD, filters, authorization, visit/result transaction rollback, unit normalization, cache invalidation, and legacy visits with no clinical results.</w:t>
      </w:r>
    </w:p>
    <w:p>
      <w:pPr>
        <w:pStyle w:val="ListParagraph"/>
        <w:keepLines/>
        <w:numPr>
          <w:ilvl w:val="0"/>
          <w:numId w:val="2"/>
        </w:numPr>
        <w:spacing w:after="40" w:before="40"/>
      </w:pPr>
      <w:r>
        <w:rPr>
          <w:rFonts w:ascii="Arial" w:cs="Arial" w:eastAsia="Arial" w:hAnsi="Arial"/>
          <w:b w:val="false"/>
          <w:bCs w:val="false"/>
          <w:sz w:val="20"/>
          <w:szCs w:val="20"/>
        </w:rPr>
        <w:t>Add MAUI smoke tests on Android and iOS for adding a visit with multiple results, editing a result, viewing result history, patient switching, offline/error handling, and PDF parity.</w:t>
      </w:r>
    </w:p>
    <w:p>
      <w:pPr>
        <w:keepNext/>
        <w:keepLines/>
        <w:spacing w:after="60" w:before="180"/>
      </w:pPr>
      <w:r>
        <w:rPr>
          <w:rFonts w:ascii="Arial" w:cs="Arial" w:eastAsia="Arial" w:hAnsi="Arial"/>
          <w:b/>
          <w:bCs/>
          <w:color w:val="00B4C8"/>
          <w:sz w:val="22"/>
          <w:szCs w:val="22"/>
        </w:rPr>
        <w:t>Part B Migration and Deployment Order</w:t>
      </w:r>
    </w:p>
    <w:p>
      <w:pPr>
        <w:pStyle w:val="ListParagraph"/>
        <w:keepLines/>
        <w:numPr>
          <w:ilvl w:val="0"/>
          <w:numId w:val="2"/>
        </w:numPr>
        <w:spacing w:after="40" w:before="40"/>
      </w:pPr>
      <w:r>
        <w:rPr>
          <w:rFonts w:ascii="Arial" w:cs="Arial" w:eastAsia="Arial" w:hAnsi="Arial"/>
          <w:b w:val="false"/>
          <w:bCs w:val="false"/>
          <w:sz w:val="20"/>
          <w:szCs w:val="20"/>
        </w:rPr>
        <w:t>1. Add SQL migration for clinical_results, constraints, foreign keys, grants, and indexes; update SQL/VitalsDB.sql schema snapshot.</w:t>
      </w:r>
    </w:p>
    <w:p>
      <w:pPr>
        <w:pStyle w:val="ListParagraph"/>
        <w:keepLines/>
        <w:numPr>
          <w:ilvl w:val="0"/>
          <w:numId w:val="2"/>
        </w:numPr>
        <w:spacing w:after="40" w:before="40"/>
      </w:pPr>
      <w:r>
        <w:rPr>
          <w:rFonts w:ascii="Arial" w:cs="Arial" w:eastAsia="Arial" w:hAnsi="Arial"/>
          <w:b w:val="false"/>
          <w:bCs w:val="false"/>
          <w:sz w:val="20"/>
          <w:szCs w:val="20"/>
        </w:rPr>
        <w:t>2. Deploy database migration before API code that writes clinical_results.</w:t>
      </w:r>
    </w:p>
    <w:p>
      <w:pPr>
        <w:pStyle w:val="ListParagraph"/>
        <w:keepLines/>
        <w:numPr>
          <w:ilvl w:val="0"/>
          <w:numId w:val="2"/>
        </w:numPr>
        <w:spacing w:after="40" w:before="40"/>
      </w:pPr>
      <w:r>
        <w:rPr>
          <w:rFonts w:ascii="Arial" w:cs="Arial" w:eastAsia="Arial" w:hAnsi="Arial"/>
          <w:b w:val="false"/>
          <w:bCs w:val="false"/>
          <w:sz w:val="20"/>
          <w:szCs w:val="20"/>
        </w:rPr>
        <w:t>3. Deploy API models/endpoints, visit integration, result serialization, analysis/cache changes, and PDF rendering; restart vitals-api.</w:t>
      </w:r>
    </w:p>
    <w:p>
      <w:pPr>
        <w:pStyle w:val="ListParagraph"/>
        <w:keepLines/>
        <w:numPr>
          <w:ilvl w:val="0"/>
          <w:numId w:val="2"/>
        </w:numPr>
        <w:spacing w:after="40" w:before="40"/>
      </w:pPr>
      <w:r>
        <w:rPr>
          <w:rFonts w:ascii="Arial" w:cs="Arial" w:eastAsia="Arial" w:hAnsi="Arial"/>
          <w:b w:val="false"/>
          <w:bCs w:val="false"/>
          <w:sz w:val="20"/>
          <w:szCs w:val="20"/>
        </w:rPr>
        <w:t>4. Rebuild/reinstall the MAUI app with ClinicalResult models, ApiService methods, Visit Log/result UI, and Glucose/A1C presentation.</w:t>
      </w:r>
    </w:p>
    <w:p>
      <w:pPr>
        <w:pStyle w:val="ListParagraph"/>
        <w:keepLines/>
        <w:numPr>
          <w:ilvl w:val="0"/>
          <w:numId w:val="2"/>
        </w:numPr>
        <w:spacing w:after="40" w:before="40"/>
      </w:pPr>
      <w:r>
        <w:rPr>
          <w:rFonts w:ascii="Arial" w:cs="Arial" w:eastAsia="Arial" w:hAnsi="Arial"/>
          <w:b w:val="false"/>
          <w:bCs w:val="false"/>
          <w:sz w:val="20"/>
          <w:szCs w:val="20"/>
        </w:rPr>
        <w:t>5. Production smoke test: create a doctor visit, enter A1C plus at least one additional panel result, reopen the visit, edit one value, confirm household isolation, confirm A1C appears in Glucose analysis where designed, and generate a PDF showing the same result/provenance.</w:t>
      </w:r>
    </w:p>
    <w:p>
      <w:pPr>
        <w:keepNext/>
        <w:keepLines/>
        <w:spacing w:after="60" w:before="180"/>
      </w:pPr>
      <w:r>
        <w:rPr>
          <w:rFonts w:ascii="Arial" w:cs="Arial" w:eastAsia="Arial" w:hAnsi="Arial"/>
          <w:b/>
          <w:bCs/>
          <w:color w:val="00B4C8"/>
          <w:sz w:val="22"/>
          <w:szCs w:val="22"/>
        </w:rPr>
        <w:t>Part B Definition of Done</w:t>
      </w:r>
    </w:p>
    <w:p>
      <w:pPr>
        <w:pStyle w:val="ListParagraph"/>
        <w:keepLines/>
        <w:numPr>
          <w:ilvl w:val="0"/>
          <w:numId w:val="2"/>
        </w:numPr>
        <w:spacing w:after="40" w:before="40"/>
      </w:pPr>
      <w:r>
        <w:rPr>
          <w:rFonts w:ascii="Arial" w:cs="Arial" w:eastAsia="Arial" w:hAnsi="Arial"/>
          <w:b w:val="false"/>
          <w:bCs w:val="false"/>
          <w:sz w:val="20"/>
          <w:szCs w:val="20"/>
        </w:rPr>
        <w:t>A user can log a doctor visit and attach one or many structured clinical results, including A1C, lipids, glucose labs, kidney, liver, CBC, thyroid, and custom results.</w:t>
      </w:r>
    </w:p>
    <w:p>
      <w:pPr>
        <w:pStyle w:val="ListParagraph"/>
        <w:keepLines/>
        <w:numPr>
          <w:ilvl w:val="0"/>
          <w:numId w:val="2"/>
        </w:numPr>
        <w:spacing w:after="40" w:before="40"/>
      </w:pPr>
      <w:r>
        <w:rPr>
          <w:rFonts w:ascii="Arial" w:cs="Arial" w:eastAsia="Arial" w:hAnsi="Arial"/>
          <w:b w:val="false"/>
          <w:bCs w:val="false"/>
          <w:sz w:val="20"/>
          <w:szCs w:val="20"/>
        </w:rPr>
        <w:t>Results persist with patient/household/visit ownership, provenance, units, reference information, audit timestamps, and safe correction/deactivation behavior.</w:t>
      </w:r>
    </w:p>
    <w:p>
      <w:pPr>
        <w:pStyle w:val="ListParagraph"/>
        <w:keepLines/>
        <w:numPr>
          <w:ilvl w:val="0"/>
          <w:numId w:val="2"/>
        </w:numPr>
        <w:spacing w:after="40" w:before="40"/>
      </w:pPr>
      <w:r>
        <w:rPr>
          <w:rFonts w:ascii="Arial" w:cs="Arial" w:eastAsia="Arial" w:hAnsi="Arial"/>
          <w:b w:val="false"/>
          <w:bCs w:val="false"/>
          <w:sz w:val="20"/>
          <w:szCs w:val="20"/>
        </w:rPr>
        <w:t>Results can be retrieved longitudinally by patient and within a specific visit; patient switching never leaks another patient or household's data.</w:t>
      </w:r>
    </w:p>
    <w:p>
      <w:pPr>
        <w:pStyle w:val="ListParagraph"/>
        <w:keepLines/>
        <w:numPr>
          <w:ilvl w:val="0"/>
          <w:numId w:val="2"/>
        </w:numPr>
        <w:spacing w:after="40" w:before="40"/>
      </w:pPr>
      <w:r>
        <w:rPr>
          <w:rFonts w:ascii="Arial" w:cs="Arial" w:eastAsia="Arial" w:hAnsi="Arial"/>
          <w:b w:val="false"/>
          <w:bCs w:val="false"/>
          <w:sz w:val="20"/>
          <w:szCs w:val="20"/>
        </w:rPr>
        <w:t>Laboratory A1C is visible as a dated Glucose clinical checkpoint without being mixed into the home glucose time series. Lab glucose is likewise kept separate from home BGM/CGM analysis.</w:t>
      </w:r>
    </w:p>
    <w:p>
      <w:pPr>
        <w:pStyle w:val="ListParagraph"/>
        <w:keepLines/>
        <w:numPr>
          <w:ilvl w:val="0"/>
          <w:numId w:val="2"/>
        </w:numPr>
        <w:spacing w:after="40" w:before="40"/>
      </w:pPr>
      <w:r>
        <w:rPr>
          <w:rFonts w:ascii="Arial" w:cs="Arial" w:eastAsia="Arial" w:hAnsi="Arial"/>
          <w:b w:val="false"/>
          <w:bCs w:val="false"/>
          <w:sz w:val="20"/>
          <w:szCs w:val="20"/>
        </w:rPr>
        <w:t>Vitals Analysis and the clinician PDF show the same supported A1C/clinical-result information with matching dates, values, units, and provenance.</w:t>
      </w:r>
    </w:p>
    <w:p>
      <w:pPr>
        <w:pStyle w:val="ListParagraph"/>
        <w:keepLines/>
        <w:numPr>
          <w:ilvl w:val="0"/>
          <w:numId w:val="2"/>
        </w:numPr>
        <w:spacing w:after="40" w:before="40"/>
      </w:pPr>
      <w:r>
        <w:rPr>
          <w:rFonts w:ascii="Arial" w:cs="Arial" w:eastAsia="Arial" w:hAnsi="Arial"/>
          <w:b w:val="false"/>
          <w:bCs w:val="false"/>
          <w:sz w:val="20"/>
          <w:szCs w:val="20"/>
        </w:rPr>
        <w:t>Any analysis contract/cache changes are versioned and invalidated correctly after clinical-result create/update/deactivate actions.</w:t>
      </w:r>
    </w:p>
    <w:p>
      <w:pPr>
        <w:pStyle w:val="ListParagraph"/>
        <w:keepLines/>
        <w:numPr>
          <w:ilvl w:val="0"/>
          <w:numId w:val="2"/>
        </w:numPr>
        <w:spacing w:after="40" w:before="40"/>
      </w:pPr>
      <w:r>
        <w:rPr>
          <w:rFonts w:ascii="Arial" w:cs="Arial" w:eastAsia="Arial" w:hAnsi="Arial"/>
          <w:b w:val="false"/>
          <w:bCs w:val="false"/>
          <w:sz w:val="20"/>
          <w:szCs w:val="20"/>
        </w:rPr>
        <w:t>End-to-end physical-device and generated-PDF smoke tests pass before Part B is marked complete.</w:t>
      </w:r>
    </w:p>
    <w:p>
      <w:pPr>
        <w:spacing w:after="100" w:before="0"/>
      </w:pP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Smoothed trend line renders correctly on all chart types</w:t>
      </w:r>
    </w:p>
    <w:p>
      <w:pPr>
        <w:pStyle w:val="ListParagraph"/>
        <w:numPr>
          <w:ilvl w:val="0"/>
          <w:numId w:val="2"/>
        </w:numPr>
        <w:spacing w:after="40" w:before="40"/>
      </w:pPr>
      <w:r>
        <w:rPr>
          <w:rFonts w:ascii="Arial" w:cs="Arial" w:eastAsia="Arial" w:hAnsi="Arial"/>
          <w:b w:val="false"/>
          <w:bCs w:val="false"/>
          <w:sz w:val="20"/>
          <w:szCs w:val="20"/>
        </w:rPr>
        <w:t xml:space="preserve">Regression outputs (slope, R-squared, p-value) calculate correctly and display in plain language</w:t>
      </w:r>
    </w:p>
    <w:p>
      <w:pPr>
        <w:pStyle w:val="ListParagraph"/>
        <w:numPr>
          <w:ilvl w:val="0"/>
          <w:numId w:val="2"/>
        </w:numPr>
        <w:spacing w:after="40" w:before="40"/>
      </w:pPr>
      <w:r>
        <w:rPr>
          <w:rFonts w:ascii="Arial" w:cs="Arial" w:eastAsia="Arial" w:hAnsi="Arial"/>
          <w:b w:val="false"/>
          <w:bCs w:val="false"/>
          <w:sz w:val="20"/>
          <w:szCs w:val="20"/>
        </w:rPr>
        <w:t xml:space="preserve">Goal range bands render correctly and update when customized</w:t>
      </w:r>
    </w:p>
    <w:p>
      <w:pPr>
        <w:pStyle w:val="ListParagraph"/>
        <w:numPr>
          <w:ilvl w:val="0"/>
          <w:numId w:val="2"/>
        </w:numPr>
        <w:spacing w:after="40" w:before="40"/>
      </w:pPr>
      <w:r>
        <w:rPr>
          <w:rFonts w:ascii="Arial" w:cs="Arial" w:eastAsia="Arial" w:hAnsi="Arial"/>
          <w:b w:val="false"/>
          <w:bCs w:val="false"/>
          <w:sz w:val="20"/>
          <w:szCs w:val="20"/>
        </w:rPr>
        <w:t xml:space="preserve">Medication timeline correctly maps to BP chart timeline</w:t>
      </w:r>
    </w:p>
    <w:p>
      <w:pPr>
        <w:pStyle w:val="ListParagraph"/>
        <w:numPr>
          <w:ilvl w:val="0"/>
          <w:numId w:val="2"/>
        </w:numPr>
        <w:spacing w:after="40" w:before="40"/>
      </w:pPr>
      <w:r>
        <w:rPr>
          <w:rFonts w:ascii="Arial" w:cs="Arial" w:eastAsia="Arial" w:hAnsi="Arial"/>
          <w:b w:val="false"/>
          <w:bCs w:val="false"/>
          <w:sz w:val="20"/>
          <w:szCs w:val="20"/>
        </w:rPr>
        <w:t xml:space="preserve">All mathematical outputs match expected values against test data set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Timeline Jul–Oct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t>Status ✅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spacing w:after="60" w:before="180"/>
      </w:pPr>
      <w:r>
        <w:rPr>
          <w:rFonts w:ascii="Arial" w:cs="Arial" w:eastAsia="Arial" w:hAnsi="Arial"/>
          <w:b/>
          <w:bCs/>
          <w:color w:val="2E7D32"/>
          <w:sz w:val="18"/>
          <w:szCs w:val="22"/>
        </w:rPr>
        <w:t>✅ Authentication complete (Oct 6, 2026): email/password with verification, Google OAuth, and native Sign in with Apple are implemented end to end. Apple supports verified-email account linking and first-time account creation/onboarding; production iOS Keychain/SecureStorage persistence was validated on a physical iPad running iPadOS 17.7.11.</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JWT/bearer token authentication — ✅ Complete and enforced across authenticated API requests</w:t>
      </w:r>
    </w:p>
    <w:p>
      <w:pPr>
        <w:pStyle w:val="ListParagraph"/>
        <w:numPr>
          <w:ilvl w:val="0"/>
          <w:numId w:val="2"/>
        </w:numPr>
        <w:spacing w:after="40" w:before="40"/>
      </w:pPr>
      <w:r>
        <w:rPr>
          <w:rFonts w:ascii="Arial" w:cs="Arial" w:eastAsia="Arial" w:hAnsi="Arial"/>
          <w:b w:val="false"/>
          <w:bCs w:val="false"/>
          <w:sz w:val="20"/>
          <w:szCs w:val="20"/>
        </w:rPr>
        <w:t>SecureStorage for token persistence on device — ✅ Complete; physical iOS Keychain persistence validated after app termination/relaunch</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Session persistence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Email/password, Google, and Apple authentication all pass end-to-end validation; Apple sign-in is verified on physical iOS hardware with real provisioning, entitlements, and Keychain persistence.</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Aug-Oct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rPr>
          <w:b/>
          <w:color w:val="2E7D32"/>
          <w:sz w:val="18"/>
        </w:rPr>
        <w:t>✅ Phase 6 complete (Oct 6, 2026): onboarding acceptance passed across email/password, Google, and Apple ID signup/sign-in paths. The final Phase 6 milestone build was alpha 0.69; the Phase 7 engineering baseline is 0.7.0.</w:t>
      </w:r>
    </w:p>
    <w:p>
      <w:pPr>
        <w:spacing w:after="60" w:before="180"/>
      </w:pPr>
      <w:r>
        <w:rPr>
          <w:rFonts w:ascii="Arial" w:cs="Arial" w:eastAsia="Arial" w:hAnsi="Arial"/>
          <w:b/>
          <w:bCs/>
          <w:color w:val="00B4C8"/>
          <w:sz w:val="22"/>
          <w:szCs w:val="22"/>
        </w:rPr>
        <w:t>Completed Scope</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same preference keys the real Settings screen uses, so choices made here immediately apply app-wide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0"/>
          <w:bCs w:val="false"/>
          <w:sz w:val="20"/>
          <w:szCs w:val="20"/>
        </w:rPr>
        <w:t xml:space="preserve">Login Screen (added scope) — email/password, Google sign-in, and native Apple sign-in on iOS, with a 'New to Vitals? Sign up here' link. All supported methods are functional; Android intentionally omits the Apple control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Sign Up Screen (added scope) — email/password/confirm plus Google and Apple on iOS. New and existing accounts route correctly, including Apple verified-email linking and first-time onboarding — </w:t>
      </w:r>
      <w:r>
        <w:rPr>
          <w:rFonts w:ascii="Arial" w:cs="Arial" w:eastAsia="Arial" w:hAnsi="Arial"/>
          <w:b/>
          <w:bCs w:val="false"/>
          <w:color w:val="2E7D32"/>
          <w:sz w:val="20"/>
          <w:szCs w:val="20"/>
        </w:rPr>
        <w:t>✅ Built</w:t>
      </w:r>
    </w:p>
    <w:p>
      <w:pPr>
        <w:pStyle w:val="ListParagraph"/>
        <w:numPr>
          <w:ilvl w:val="0"/>
          <w:numId w:val="2"/>
        </w:numPr>
        <w:spacing w:after="40" w:before="40"/>
      </w:pPr>
      <w:r>
        <w:rPr>
          <w:rFonts w:ascii="Arial" w:cs="Arial" w:eastAsia="Arial" w:hAnsi="Arial"/>
          <w:b w:val="0"/>
          <w:bCs w:val="false"/>
          <w:sz w:val="20"/>
          <w:szCs w:val="20"/>
        </w:rPr>
        <w:t xml:space="preserve">Apple ID Sign-In/Sign-Up — native AuthenticationServices flow with nonce/state protection, backend Apple token validation, existing-account linking by verified email, new-user onboarding, and returning sign-in. Cancellation behavior and production Keychain session persistence were validated on a physical iPad — </w:t>
      </w:r>
      <w:r>
        <w:rPr>
          <w:rFonts w:ascii="Arial" w:cs="Arial" w:eastAsia="Arial" w:hAnsi="Arial"/>
          <w:b/>
          <w:bCs w:val="false"/>
          <w:color w:val="2E7D32"/>
          <w:sz w:val="20"/>
          <w:szCs w:val="20"/>
        </w:rPr>
        <w:t>✅ Complete (Oct 6, 2026)</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keepNext/>
        <w:keepLines/>
        <w:spacing w:after="60" w:before="180"/>
      </w:pPr>
      <w:r>
        <w:rPr>
          <w:rFonts w:ascii="Arial" w:cs="Arial" w:eastAsia="Arial" w:hAnsi="Arial"/>
          <w:b/>
          <w:bCs/>
          <w:color w:val="00B4C8"/>
          <w:sz w:val="22"/>
          <w:szCs w:val="22"/>
        </w:rPr>
        <w:t>Resolved Issue</w:t>
      </w:r>
    </w:p>
    <w:p>
      <w:pPr>
        <w:pStyle w:val="ListParagraph"/>
        <w:numPr>
          <w:ilvl w:val="0"/>
          <w:numId w:val="2"/>
        </w:numPr>
        <w:spacing w:after="40" w:before="40"/>
      </w:pPr>
      <w:r>
        <w:rPr>
          <w:rFonts w:ascii="Arial" w:cs="Arial" w:eastAsia="Arial" w:hAnsi="Arial"/>
          <w:b w:val="false"/>
          <w:bCs w:val="false"/>
          <w:sz w:val="20"/>
          <w:szCs w:val="20"/>
        </w:rPr>
        <w:t>Vital preference display consistency - ✅ Resolved (Oct 3, 2026). Dashboard, Vitals Entry, Vitals Analysis, Vitals History, and the clinician PDF now honor the selected patient's persisted optional-vital preferences. History supports Weight and Blood Glucose and hides disabled optional metrics.</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Phase 6 Scope Decision</w:t>
      </w:r>
    </w:p>
    <w:p>
      <w:pPr>
        <w:spacing w:after="60" w:before="60"/>
      </w:pPr>
      <w:r>
        <w:rPr>
          <w:rFonts w:ascii="Arial" w:cs="Arial" w:eastAsia="Arial" w:hAnsi="Arial"/>
          <w:sz w:val="20"/>
          <w:szCs w:val="20"/>
        </w:rPr>
        <w:t>Local scheduled notifications were removed from the MVP/Phase 6 acceptance scope on Oct 6, 2026. They are a retention feature rather than a dependency of Vitals' core logging, analysis, history, medication/care-team, or PDF workflows, and are now tracked under Post-Launch Development Priorities.</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Onboarding acceptance validated end to end across email/password, Google, and Apple ID; Google signup was also independently exercised during alpha testing.</w:t>
      </w:r>
    </w:p>
    <w:p>
      <w:pPr>
        <w:pStyle w:val="ListParagraph"/>
        <w:numPr>
          <w:ilvl w:val="0"/>
          <w:numId w:val="2"/>
        </w:numPr>
        <w:spacing w:after="40" w:before="40"/>
      </w:pPr>
      <w:r>
        <w:rPr>
          <w:rFonts w:ascii="Arial" w:cs="Arial" w:eastAsia="Arial" w:hAnsi="Arial"/>
          <w:b w:val="false"/>
          <w:bCs w:val="false"/>
          <w:sz w:val="20"/>
          <w:szCs w:val="20"/>
        </w:rPr>
        <w:t>✅ Sample dashboard correctly demonstrates the app's value and guides users into first use.</w:t>
      </w:r>
    </w:p>
    <w:p>
      <w:pPr>
        <w:pStyle w:val="ListParagraph"/>
        <w:numPr>
          <w:ilvl w:val="0"/>
          <w:numId w:val="2"/>
        </w:numPr>
        <w:spacing w:after="40" w:before="40"/>
      </w:pPr>
      <w:r>
        <w:rPr>
          <w:rFonts w:ascii="Arial" w:cs="Arial" w:eastAsia="Arial" w:hAnsi="Arial"/>
          <w:b w:val="false"/>
          <w:bCs w:val="false"/>
          <w:sz w:val="20"/>
          <w:szCs w:val="20"/>
        </w:rPr>
        <w:t>✅ Personalization correctly configures individual vs. caregiver/multi-patient setup.</w:t>
      </w:r>
    </w:p>
    <w:p>
      <w:pPr>
        <w:pStyle w:val="ListParagraph"/>
        <w:numPr>
          <w:ilvl w:val="0"/>
          <w:numId w:val="2"/>
        </w:numPr>
        <w:spacing w:after="40" w:before="40"/>
      </w:pPr>
      <w:r>
        <w:rPr>
          <w:rFonts w:ascii="Arial" w:cs="Arial" w:eastAsia="Arial" w:hAnsi="Arial"/>
          <w:b w:val="false"/>
          <w:bCs w:val="false"/>
          <w:sz w:val="20"/>
          <w:szCs w:val="20"/>
        </w:rPr>
        <w:t>✅ First-vitals entry, patient-scoped vital preferences, and household onboarding/join flows operate correctly.</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Phase 7</w:t>
            </w:r>
          </w:p>
          <w:p>
            <w:pPr>
              <w:jc w:val="center"/>
            </w:pPr>
            <w:r>
              <w:rPr>
                <w:rFonts w:ascii="Arial" w:cs="Arial" w:eastAsia="Arial" w:hAnsi="Arial"/>
                <w:b/>
                <w:bCs/>
                <w:color w:val="FFFFFF"/>
                <w:sz w:val="48"/>
                <w:szCs w:val="48"/>
              </w:rPr>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Subscriptions, Entitlements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Timeline</w:t>
              <w:br/>
              <w:t>Oct-Nov 2026</w:t>
            </w:r>
          </w:p>
          <w:p>
            <w:pPr>
              <w:jc w:val="center"/>
            </w:pPr>
            <w:r>
              <w:rPr>
                <w:rFonts w:ascii="Arial" w:cs="Arial" w:eastAsia="Arial" w:hAnsi="Arial"/>
                <w:b/>
                <w:bCs/>
                <w:color w:val="1B2A4A"/>
                <w:sz w:val="20"/>
                <w:szCs w:val="20"/>
              </w:rPr>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Status</w:t>
              <w:br/>
              <w:t>In Progress</w:t>
              <w:br/>
              <w:t>0.7.0</w:t>
            </w:r>
          </w:p>
          <w:p>
            <w:pPr>
              <w:jc w:val="center"/>
            </w:pPr>
            <w:r>
              <w:rPr>
                <w:rFonts w:ascii="Arial" w:cs="Arial" w:eastAsia="Arial" w:hAnsi="Arial"/>
                <w:b/>
                <w:bCs/>
                <w:color w:val="E65100"/>
                <w:sz w:val="18"/>
                <w:szCs w:val="18"/>
              </w:rPr>
            </w:r>
          </w:p>
        </w:tc>
      </w:tr>
    </w:tbl>
    <w:p>
      <w:pPr>
        <w:spacing w:after="120" w:before="480"/>
        <w:jc w:val="center"/>
      </w:pPr>
      <w:r/>
    </w:p>
    <w:p>
      <w:pPr>
        <w:spacing w:after="60" w:before="180"/>
      </w:pPr>
      <w:r>
        <w:rPr>
          <w:rFonts w:ascii="Arial" w:cs="Arial" w:eastAsia="Arial" w:hAnsi="Arial"/>
          <w:b/>
          <w:bCs/>
          <w:color w:val="00B4C8"/>
          <w:sz w:val="22"/>
          <w:szCs w:val="22"/>
        </w:rPr>
        <w:t>Objective</w:t>
      </w:r>
    </w:p>
    <w:p>
      <w:pPr>
        <w:spacing w:after="60" w:before="60"/>
      </w:pPr>
      <w:r>
        <w:rPr>
          <w:rFonts w:ascii="Arial" w:cs="Arial" w:eastAsia="Arial" w:hAnsi="Arial"/>
          <w:sz w:val="20"/>
          <w:szCs w:val="20"/>
        </w:rPr>
        <w:t>Convert Vitals from a feature-complete alpha into a production-ready subscription product, validate payment and entitlement behavior on physical iOS and Android hardware, enter both store beta programs in parallel, and then release publicly. Public launch is defined as general availability outside beta in both the Apple App Store and Google Play - not the start of TestFlight or Google closed testing.</w:t>
      </w:r>
    </w:p>
    <w:p>
      <w:pPr>
        <w:spacing w:after="60" w:before="180"/>
      </w:pPr>
      <w:r>
        <w:rPr>
          <w:rFonts w:ascii="Arial" w:cs="Arial" w:eastAsia="Arial" w:hAnsi="Arial"/>
          <w:b/>
          <w:bCs/>
          <w:color w:val="00B4C8"/>
          <w:sz w:val="22"/>
          <w:szCs w:val="22"/>
        </w:rPr>
        <w:t>Phase 7 Baseline &amp; Launch Re-Baseline</w:t>
      </w:r>
    </w:p>
    <w:p>
      <w:pPr>
        <w:pStyle w:val="ListParagraph"/>
        <w:numPr>
          <w:ilvl w:val="0"/>
          <w:numId w:val="2"/>
        </w:numPr>
        <w:spacing w:after="40" w:before="40"/>
      </w:pPr>
      <w:r>
        <w:rPr>
          <w:rFonts w:ascii="Arial" w:cs="Arial" w:eastAsia="Arial" w:hAnsi="Arial"/>
          <w:b w:val="false"/>
          <w:bCs w:val="false"/>
          <w:sz w:val="20"/>
          <w:szCs w:val="20"/>
        </w:rPr>
        <w:t>Current engineering version: 0.7.0. Phase 7 has been entered; no Phase 7 milestone implementation has started yet.</w:t>
      </w:r>
    </w:p>
    <w:p>
      <w:pPr>
        <w:pStyle w:val="ListParagraph"/>
        <w:numPr>
          <w:ilvl w:val="0"/>
          <w:numId w:val="2"/>
        </w:numPr>
        <w:spacing w:after="40" w:before="40"/>
      </w:pPr>
      <w:r>
        <w:rPr>
          <w:rFonts w:ascii="Arial" w:cs="Arial" w:eastAsia="Arial" w:hAnsi="Arial"/>
          <w:b w:val="false"/>
          <w:bCs w:val="false"/>
          <w:sz w:val="20"/>
          <w:szCs w:val="20"/>
        </w:rPr>
        <w:t>The September 2026 launch deadline was missed. The working public-launch window is October-November 2026 and is gated by completion of payment/entitlement work plus store testing and review.</w:t>
      </w:r>
    </w:p>
    <w:p>
      <w:pPr>
        <w:pStyle w:val="ListParagraph"/>
        <w:numPr>
          <w:ilvl w:val="0"/>
          <w:numId w:val="2"/>
        </w:numPr>
        <w:spacing w:after="40" w:before="40"/>
      </w:pPr>
      <w:r>
        <w:rPr>
          <w:rFonts w:ascii="Arial" w:cs="Arial" w:eastAsia="Arial" w:hAnsi="Arial"/>
          <w:b w:val="false"/>
          <w:bCs w:val="false"/>
          <w:sz w:val="20"/>
          <w:szCs w:val="20"/>
        </w:rPr>
        <w:t>iOS and Android now move in parallel. Apple is no longer a deferred fast-follow: Apple Developer enrollment, provisioning, native Apple ID sign-in, Google sign-in on iPad, and physical-device iOS validation are already complete.</w:t>
      </w:r>
    </w:p>
    <w:p>
      <w:pPr>
        <w:pStyle w:val="ListParagraph"/>
        <w:numPr>
          <w:ilvl w:val="0"/>
          <w:numId w:val="2"/>
        </w:numPr>
        <w:spacing w:after="40" w:before="40"/>
      </w:pPr>
      <w:r>
        <w:rPr>
          <w:rFonts w:ascii="Arial" w:cs="Arial" w:eastAsia="Arial" w:hAnsi="Arial"/>
          <w:b w:val="false"/>
          <w:bCs w:val="false"/>
          <w:sz w:val="20"/>
          <w:szCs w:val="20"/>
        </w:rPr>
        <w:t>Store Beta is a release-candidate milestone, not launch. Production Launch occurs only when Vitals is publicly available in both stores.</w:t>
      </w:r>
    </w:p>
    <w:p>
      <w:pPr>
        <w:spacing w:after="60" w:before="180"/>
      </w:pPr>
      <w:r>
        <w:rPr>
          <w:rFonts w:ascii="Arial" w:cs="Arial" w:eastAsia="Arial" w:hAnsi="Arial"/>
          <w:b/>
          <w:bCs/>
          <w:color w:val="00B4C8"/>
          <w:sz w:val="22"/>
          <w:szCs w:val="22"/>
        </w:rPr>
        <w:t>Commercial Access Model</w:t>
      </w:r>
    </w:p>
    <w:p>
      <w:pPr>
        <w:pStyle w:val="ListParagraph"/>
        <w:numPr>
          <w:ilvl w:val="0"/>
          <w:numId w:val="2"/>
        </w:numPr>
        <w:spacing w:after="40" w:before="40"/>
      </w:pPr>
      <w:r>
        <w:rPr>
          <w:rFonts w:ascii="Arial" w:cs="Arial" w:eastAsia="Arial" w:hAnsi="Arial"/>
          <w:b w:val="false"/>
          <w:bCs w:val="false"/>
          <w:sz w:val="20"/>
          <w:szCs w:val="20"/>
        </w:rPr>
        <w:t>One-time household trial: every newly created household receives 30 days of full Premium access with no payment method or subscription required. The trial begins when the household is created and can never be restarted for that household.</w:t>
      </w:r>
    </w:p>
    <w:p>
      <w:pPr>
        <w:pStyle w:val="ListParagraph"/>
        <w:numPr>
          <w:ilvl w:val="0"/>
          <w:numId w:val="2"/>
        </w:numPr>
        <w:spacing w:after="40" w:before="40"/>
      </w:pPr>
      <w:r>
        <w:rPr>
          <w:rFonts w:ascii="Arial" w:cs="Arial" w:eastAsia="Arial" w:hAnsi="Arial"/>
          <w:b w:val="false"/>
          <w:bCs w:val="false"/>
          <w:sz w:val="20"/>
          <w:szCs w:val="20"/>
        </w:rPr>
        <w:t>Trial capacity: up to 5 patient profiles and the complete Premium feature set so Vitals can prove its value before asking the household to pay.</w:t>
      </w:r>
    </w:p>
    <w:p>
      <w:pPr>
        <w:pStyle w:val="ListParagraph"/>
        <w:numPr>
          <w:ilvl w:val="0"/>
          <w:numId w:val="2"/>
        </w:numPr>
        <w:spacing w:after="40" w:before="40"/>
      </w:pPr>
      <w:r>
        <w:rPr>
          <w:rFonts w:ascii="Arial" w:cs="Arial" w:eastAsia="Arial" w:hAnsi="Arial"/>
          <w:b w:val="false"/>
          <w:bCs w:val="false"/>
          <w:sz w:val="20"/>
          <w:szCs w:val="20"/>
        </w:rPr>
        <w:t>Onboarding keeps plan CTAs but also offers a clear decide-later path: the user can continue without choosing a paid plan and is told that the household has 30 days of full access before falling back to Basic.</w:t>
      </w:r>
    </w:p>
    <w:p>
      <w:pPr>
        <w:pStyle w:val="ListParagraph"/>
        <w:numPr>
          <w:ilvl w:val="0"/>
          <w:numId w:val="2"/>
        </w:numPr>
        <w:spacing w:after="40" w:before="40"/>
      </w:pPr>
      <w:r>
        <w:rPr>
          <w:rFonts w:ascii="Arial" w:cs="Arial" w:eastAsia="Arial" w:hAnsi="Arial"/>
          <w:b w:val="false"/>
          <w:bCs w:val="false"/>
          <w:sz w:val="20"/>
          <w:szCs w:val="20"/>
        </w:rPr>
        <w:t>Monthly and annual paid subscriptions are offered at launch. Standard pricing remains $10/month or $89/year; Family remains $20/month or $189/year. Vitals intends the same advertised U.S. price on Apple and Google and absorbs platform commission differences.</w:t>
      </w:r>
    </w:p>
    <w:p>
      <w:pPr>
        <w:spacing w:after="60" w:before="180"/>
      </w:pPr>
      <w:r>
        <w:rPr>
          <w:rFonts w:ascii="Arial" w:cs="Arial" w:eastAsia="Arial" w:hAnsi="Arial"/>
          <w:b/>
          <w:bCs/>
          <w:color w:val="00B4C8"/>
          <w:sz w:val="22"/>
          <w:szCs w:val="22"/>
        </w:rPr>
        <w:t>Plan Definitions</w:t>
      </w:r>
    </w:p>
    <w:p>
      <w:pPr>
        <w:pStyle w:val="ListParagraph"/>
        <w:numPr>
          <w:ilvl w:val="0"/>
          <w:numId w:val="2"/>
        </w:numPr>
        <w:spacing w:after="40" w:before="40"/>
      </w:pPr>
      <w:r>
        <w:rPr>
          <w:rFonts w:ascii="Arial" w:cs="Arial" w:eastAsia="Arial" w:hAnsi="Arial"/>
          <w:b w:val="false"/>
          <w:bCs w:val="false"/>
          <w:sz w:val="20"/>
          <w:szCs w:val="20"/>
        </w:rPr>
        <w:t>Basic - 2 active patients. Core vitals entry/history, medication tracking, and care-team tracking remain available. Medication and provider counts are not artificially capped.</w:t>
      </w:r>
    </w:p>
    <w:p>
      <w:pPr>
        <w:pStyle w:val="ListParagraph"/>
        <w:numPr>
          <w:ilvl w:val="0"/>
          <w:numId w:val="2"/>
        </w:numPr>
        <w:spacing w:after="40" w:before="40"/>
      </w:pPr>
      <w:r>
        <w:rPr>
          <w:rFonts w:ascii="Arial" w:cs="Arial" w:eastAsia="Arial" w:hAnsi="Arial"/>
          <w:b w:val="false"/>
          <w:bCs w:val="false"/>
          <w:sz w:val="20"/>
          <w:szCs w:val="20"/>
        </w:rPr>
        <w:t>Standard - replaces the former Individual tier. Supports 2 patient profiles, full Premium features, and one household manager: the household owner. Both patients may have their own Vitals user login through the household invite flow, but only the owner can invite/manage the household.</w:t>
      </w:r>
    </w:p>
    <w:p>
      <w:pPr>
        <w:pStyle w:val="ListParagraph"/>
        <w:numPr>
          <w:ilvl w:val="0"/>
          <w:numId w:val="2"/>
        </w:numPr>
        <w:spacing w:after="40" w:before="40"/>
      </w:pPr>
      <w:r>
        <w:rPr>
          <w:rFonts w:ascii="Arial" w:cs="Arial" w:eastAsia="Arial" w:hAnsi="Arial"/>
          <w:b w:val="false"/>
          <w:bCs w:val="false"/>
          <w:sz w:val="20"/>
          <w:szCs w:val="20"/>
        </w:rPr>
        <w:t>Family - supports up to 5 patient profiles with the same Premium feature set as Standard. The household owner may grant household-management permission to other Family members.</w:t>
      </w:r>
    </w:p>
    <w:p>
      <w:pPr>
        <w:pStyle w:val="ListParagraph"/>
        <w:numPr>
          <w:ilvl w:val="0"/>
          <w:numId w:val="2"/>
        </w:numPr>
        <w:spacing w:after="40" w:before="40"/>
      </w:pPr>
      <w:r>
        <w:rPr>
          <w:rFonts w:ascii="Arial" w:cs="Arial" w:eastAsia="Arial" w:hAnsi="Arial"/>
          <w:b w:val="false"/>
          <w:bCs w:val="false"/>
          <w:sz w:val="20"/>
          <w:szCs w:val="20"/>
        </w:rPr>
        <w:t>The difference between Standard and Family is household capacity and management delegation, not clinical features. Standard and Family receive the same Premium feature set.</w:t>
      </w:r>
    </w:p>
    <w:p>
      <w:pPr>
        <w:spacing w:after="60" w:before="180"/>
      </w:pPr>
      <w:r>
        <w:rPr>
          <w:rFonts w:ascii="Arial" w:cs="Arial" w:eastAsia="Arial" w:hAnsi="Arial"/>
          <w:b/>
          <w:bCs/>
          <w:color w:val="00B4C8"/>
          <w:sz w:val="22"/>
          <w:szCs w:val="22"/>
        </w:rPr>
        <w:t>Basic Downgrade &amp; Premium Gating</w:t>
      </w:r>
    </w:p>
    <w:p>
      <w:pPr>
        <w:pStyle w:val="ListParagraph"/>
        <w:numPr>
          <w:ilvl w:val="0"/>
          <w:numId w:val="2"/>
        </w:numPr>
        <w:spacing w:after="40" w:before="40"/>
      </w:pPr>
      <w:r>
        <w:rPr>
          <w:rFonts w:ascii="Arial" w:cs="Arial" w:eastAsia="Arial" w:hAnsi="Arial"/>
          <w:b w:val="false"/>
          <w:bCs w:val="false"/>
          <w:sz w:val="20"/>
          <w:szCs w:val="20"/>
        </w:rPr>
        <w:t>When Trial or paid Premium access ends, the household falls to Basic. No patient or clinical data is deleted as a consequence of plan downgrade.</w:t>
      </w:r>
    </w:p>
    <w:p>
      <w:pPr>
        <w:pStyle w:val="ListParagraph"/>
        <w:numPr>
          <w:ilvl w:val="0"/>
          <w:numId w:val="2"/>
        </w:numPr>
        <w:spacing w:after="40" w:before="40"/>
      </w:pPr>
      <w:r>
        <w:rPr>
          <w:rFonts w:ascii="Arial" w:cs="Arial" w:eastAsia="Arial" w:hAnsi="Arial"/>
          <w:b w:val="false"/>
          <w:bCs w:val="false"/>
          <w:sz w:val="20"/>
          <w:szCs w:val="20"/>
        </w:rPr>
        <w:t>Premium-only areas are hidden or gated with an upgrade CTA: clinical analysis, graphs, new PDF generation, incident logging, doctor-visit logging, notes, and other Premium workflows.</w:t>
      </w:r>
    </w:p>
    <w:p>
      <w:pPr>
        <w:pStyle w:val="ListParagraph"/>
        <w:numPr>
          <w:ilvl w:val="0"/>
          <w:numId w:val="2"/>
        </w:numPr>
        <w:spacing w:after="40" w:before="40"/>
      </w:pPr>
      <w:r>
        <w:rPr>
          <w:rFonts w:ascii="Arial" w:cs="Arial" w:eastAsia="Arial" w:hAnsi="Arial"/>
          <w:b w:val="false"/>
          <w:bCs w:val="false"/>
          <w:sz w:val="20"/>
          <w:szCs w:val="20"/>
        </w:rPr>
        <w:t>Previously generated PDFs that were already saved to a device remain accessible as local files. Attempting to generate a new PDF requires Premium and triggers the upgrade CTA.</w:t>
      </w:r>
    </w:p>
    <w:p>
      <w:pPr>
        <w:pStyle w:val="ListParagraph"/>
        <w:numPr>
          <w:ilvl w:val="0"/>
          <w:numId w:val="2"/>
        </w:numPr>
        <w:spacing w:after="40" w:before="40"/>
      </w:pPr>
      <w:r>
        <w:rPr>
          <w:rFonts w:ascii="Arial" w:cs="Arial" w:eastAsia="Arial" w:hAnsi="Arial"/>
          <w:b w:val="false"/>
          <w:bCs w:val="false"/>
          <w:sz w:val="20"/>
          <w:szCs w:val="20"/>
        </w:rPr>
        <w:t>If more than 2 patients exist when the household falls to Basic, the household owner must choose exactly 2 patients to remain active. Before saving, Vitals displays a stern confirmation that the selection is permanent while on Basic/Standard and that the other patient profiles will be inaccessible without a Family subscription.</w:t>
      </w:r>
    </w:p>
    <w:p>
      <w:pPr>
        <w:pStyle w:val="ListParagraph"/>
        <w:numPr>
          <w:ilvl w:val="0"/>
          <w:numId w:val="2"/>
        </w:numPr>
        <w:spacing w:after="40" w:before="40"/>
      </w:pPr>
      <w:r>
        <w:rPr>
          <w:rFonts w:ascii="Arial" w:cs="Arial" w:eastAsia="Arial" w:hAnsi="Arial"/>
          <w:b w:val="false"/>
          <w:bCs w:val="false"/>
          <w:sz w:val="20"/>
          <w:szCs w:val="20"/>
        </w:rPr>
        <w:t>The unselected patient profiles and all of their historical data remain stored but locked. Upgrading to Family restores access; Standard remains a 2-patient plan and does not permit swapping the archived patients back in.</w:t>
      </w:r>
    </w:p>
    <w:p>
      <w:pPr>
        <w:spacing w:after="60" w:before="180"/>
      </w:pPr>
      <w:r>
        <w:rPr>
          <w:rFonts w:ascii="Arial" w:cs="Arial" w:eastAsia="Arial" w:hAnsi="Arial"/>
          <w:b/>
          <w:bCs/>
          <w:color w:val="00B4C8"/>
          <w:sz w:val="22"/>
          <w:szCs w:val="22"/>
        </w:rPr>
        <w:t>Household Governance &amp; Billing Ownership</w:t>
      </w:r>
    </w:p>
    <w:p>
      <w:pPr>
        <w:pStyle w:val="ListParagraph"/>
        <w:numPr>
          <w:ilvl w:val="0"/>
          <w:numId w:val="2"/>
        </w:numPr>
        <w:spacing w:after="40" w:before="40"/>
      </w:pPr>
      <w:r>
        <w:rPr>
          <w:rFonts w:ascii="Arial" w:cs="Arial" w:eastAsia="Arial" w:hAnsi="Arial"/>
          <w:b w:val="false"/>
          <w:bCs w:val="false"/>
          <w:sz w:val="20"/>
          <w:szCs w:val="20"/>
        </w:rPr>
        <w:t>Household entitlement is the source of truth for Trial, Basic, Standard, and Family access. The entitlement applies to every signed-in device associated with that household.</w:t>
      </w:r>
    </w:p>
    <w:p>
      <w:pPr>
        <w:pStyle w:val="ListParagraph"/>
        <w:numPr>
          <w:ilvl w:val="0"/>
          <w:numId w:val="2"/>
        </w:numPr>
        <w:spacing w:after="40" w:before="40"/>
      </w:pPr>
      <w:r>
        <w:rPr>
          <w:rFonts w:ascii="Arial" w:cs="Arial" w:eastAsia="Arial" w:hAnsi="Arial"/>
          <w:b w:val="false"/>
          <w:bCs w:val="false"/>
          <w:sz w:val="20"/>
          <w:szCs w:val="20"/>
        </w:rPr>
        <w:t>Vitals distinguishes Household Owner, delegated Household Manager, Billing Owner, and the underlying Apple/Google Store Account. These roles are related but not interchangeable.</w:t>
      </w:r>
    </w:p>
    <w:p>
      <w:pPr>
        <w:pStyle w:val="ListParagraph"/>
        <w:numPr>
          <w:ilvl w:val="0"/>
          <w:numId w:val="2"/>
        </w:numPr>
        <w:spacing w:after="40" w:before="40"/>
      </w:pPr>
      <w:r>
        <w:rPr>
          <w:rFonts w:ascii="Arial" w:cs="Arial" w:eastAsia="Arial" w:hAnsi="Arial"/>
          <w:b w:val="false"/>
          <w:bCs w:val="false"/>
          <w:sz w:val="20"/>
          <w:szCs w:val="20"/>
        </w:rPr>
        <w:t>Standard: the household owner is the sole household manager. Ownership may be transferred to another user, which ends the former owner's household-management authority.</w:t>
      </w:r>
    </w:p>
    <w:p>
      <w:pPr>
        <w:pStyle w:val="ListParagraph"/>
        <w:numPr>
          <w:ilvl w:val="0"/>
          <w:numId w:val="2"/>
        </w:numPr>
        <w:spacing w:after="40" w:before="40"/>
      </w:pPr>
      <w:r>
        <w:rPr>
          <w:rFonts w:ascii="Arial" w:cs="Arial" w:eastAsia="Arial" w:hAnsi="Arial"/>
          <w:b w:val="false"/>
          <w:bCs w:val="false"/>
          <w:sz w:val="20"/>
          <w:szCs w:val="20"/>
        </w:rPr>
        <w:t>Family: the owner may delegate household-management permission. If no paid subscription exists, any authorized manager may purchase and upgrade the entire household; that purchaser becomes the Billing Owner for that store subscription.</w:t>
      </w:r>
    </w:p>
    <w:p>
      <w:pPr>
        <w:pStyle w:val="ListParagraph"/>
        <w:numPr>
          <w:ilvl w:val="0"/>
          <w:numId w:val="2"/>
        </w:numPr>
        <w:spacing w:after="40" w:before="40"/>
      </w:pPr>
      <w:r>
        <w:rPr>
          <w:rFonts w:ascii="Arial" w:cs="Arial" w:eastAsia="Arial" w:hAnsi="Arial"/>
          <w:b w:val="false"/>
          <w:bCs w:val="false"/>
          <w:sz w:val="20"/>
          <w:szCs w:val="20"/>
        </w:rPr>
        <w:t>A store subscription remains tied to the Apple or Google account that purchased it. Transferring Vitals household ownership does not transfer the underlying store payment method or store subscription ownership.</w:t>
      </w:r>
    </w:p>
    <w:p>
      <w:pPr>
        <w:pStyle w:val="ListParagraph"/>
        <w:numPr>
          <w:ilvl w:val="0"/>
          <w:numId w:val="2"/>
        </w:numPr>
        <w:spacing w:after="40" w:before="40"/>
      </w:pPr>
      <w:r>
        <w:rPr>
          <w:rFonts w:ascii="Arial" w:cs="Arial" w:eastAsia="Arial" w:hAnsi="Arial"/>
          <w:b w:val="false"/>
          <w:bCs w:val="false"/>
          <w:sz w:val="20"/>
          <w:szCs w:val="20"/>
        </w:rPr>
        <w:t>One active Apple/Google subscription may be associated with only one Vitals household unless explicitly migrated through support. Restore Purchases must verify store ownership and attach the entitlement only when it is valid and safe for the currently authenticated household.</w:t>
      </w:r>
    </w:p>
    <w:p>
      <w:pPr>
        <w:spacing w:after="60" w:before="180"/>
      </w:pPr>
      <w:r>
        <w:rPr>
          <w:rFonts w:ascii="Arial" w:cs="Arial" w:eastAsia="Arial" w:hAnsi="Arial"/>
          <w:b/>
          <w:bCs/>
          <w:color w:val="00B4C8"/>
          <w:sz w:val="22"/>
          <w:szCs w:val="22"/>
        </w:rPr>
        <w:t>Payment Architecture</w:t>
      </w:r>
    </w:p>
    <w:p>
      <w:pPr>
        <w:pStyle w:val="ListParagraph"/>
        <w:numPr>
          <w:ilvl w:val="0"/>
          <w:numId w:val="2"/>
        </w:numPr>
        <w:spacing w:after="40" w:before="40"/>
      </w:pPr>
      <w:r>
        <w:rPr>
          <w:rFonts w:ascii="Arial" w:cs="Arial" w:eastAsia="Arial" w:hAnsi="Arial"/>
          <w:b w:val="false"/>
          <w:bCs w:val="false"/>
          <w:sz w:val="20"/>
          <w:szCs w:val="20"/>
        </w:rPr>
        <w:t>iOS/iPadOS: Apple In-App Purchase using StoreKit. Apple Pay is not used for the digital Vitals subscription.</w:t>
      </w:r>
    </w:p>
    <w:p>
      <w:pPr>
        <w:pStyle w:val="ListParagraph"/>
        <w:numPr>
          <w:ilvl w:val="0"/>
          <w:numId w:val="2"/>
        </w:numPr>
        <w:spacing w:after="40" w:before="40"/>
      </w:pPr>
      <w:r>
        <w:rPr>
          <w:rFonts w:ascii="Arial" w:cs="Arial" w:eastAsia="Arial" w:hAnsi="Arial"/>
          <w:b w:val="false"/>
          <w:bCs w:val="false"/>
          <w:sz w:val="20"/>
          <w:szCs w:val="20"/>
        </w:rPr>
        <w:t>Android: Google Play Billing for digital subscription purchases.</w:t>
      </w:r>
    </w:p>
    <w:p>
      <w:pPr>
        <w:pStyle w:val="ListParagraph"/>
        <w:numPr>
          <w:ilvl w:val="0"/>
          <w:numId w:val="2"/>
        </w:numPr>
        <w:spacing w:after="40" w:before="40"/>
      </w:pPr>
      <w:r>
        <w:rPr>
          <w:rFonts w:ascii="Arial" w:cs="Arial" w:eastAsia="Arial" w:hAnsi="Arial"/>
          <w:b w:val="false"/>
          <w:bCs w:val="false"/>
          <w:sz w:val="20"/>
          <w:szCs w:val="20"/>
        </w:rPr>
        <w:t>Stripe is removed from the mobile MVP and moved to post-launch development for future direct/web billing. Phase 7 does not embed Stripe checkout in the iOS or Android app.</w:t>
      </w:r>
    </w:p>
    <w:p>
      <w:pPr>
        <w:pStyle w:val="ListParagraph"/>
        <w:numPr>
          <w:ilvl w:val="0"/>
          <w:numId w:val="2"/>
        </w:numPr>
        <w:spacing w:after="40" w:before="40"/>
      </w:pPr>
      <w:r>
        <w:rPr>
          <w:rFonts w:ascii="Arial" w:cs="Arial" w:eastAsia="Arial" w:hAnsi="Arial"/>
          <w:b w:val="false"/>
          <w:bCs w:val="false"/>
          <w:sz w:val="20"/>
          <w:szCs w:val="20"/>
        </w:rPr>
        <w:t>The Vitals backend is authoritative for household entitlements. A successful client-side purchase is not sufficient by itself: the app sends the Apple transaction or Google purchase token to the API, the backend verifies it, and only then grants/updates the household entitlement.</w:t>
      </w:r>
    </w:p>
    <w:p>
      <w:pPr>
        <w:pStyle w:val="ListParagraph"/>
        <w:numPr>
          <w:ilvl w:val="0"/>
          <w:numId w:val="2"/>
        </w:numPr>
        <w:spacing w:after="40" w:before="40"/>
      </w:pPr>
      <w:r>
        <w:rPr>
          <w:rFonts w:ascii="Arial" w:cs="Arial" w:eastAsia="Arial" w:hAnsi="Arial"/>
          <w:b w:val="false"/>
          <w:bCs w:val="false"/>
          <w:sz w:val="20"/>
          <w:szCs w:val="20"/>
        </w:rPr>
        <w:t>Apple/Google lifecycle notifications synchronize renewals, cancellations, refunds/revocations, expiration, and recovery. A purchase on one platform unlocks the same household on the other platform after backend verification.</w:t>
      </w:r>
    </w:p>
    <w:p>
      <w:pPr>
        <w:spacing w:after="60" w:before="180"/>
      </w:pPr>
      <w:r>
        <w:rPr>
          <w:rFonts w:ascii="Arial" w:cs="Arial" w:eastAsia="Arial" w:hAnsi="Arial"/>
          <w:b/>
          <w:bCs/>
          <w:color w:val="00B4C8"/>
          <w:sz w:val="22"/>
          <w:szCs w:val="22"/>
        </w:rPr>
        <w:t>Subscription Lifecycle Rules</w:t>
      </w:r>
    </w:p>
    <w:p>
      <w:pPr>
        <w:pStyle w:val="ListParagraph"/>
        <w:numPr>
          <w:ilvl w:val="0"/>
          <w:numId w:val="2"/>
        </w:numPr>
        <w:spacing w:after="40" w:before="40"/>
      </w:pPr>
      <w:r>
        <w:rPr>
          <w:rFonts w:ascii="Arial" w:cs="Arial" w:eastAsia="Arial" w:hAnsi="Arial"/>
          <w:b w:val="false"/>
          <w:bCs w:val="false"/>
          <w:sz w:val="20"/>
          <w:szCs w:val="20"/>
        </w:rPr>
        <w:t>Cancellation: Premium remains active through the already-paid monthly or annual term. At the paid-through date, the household falls to Basic unless another valid entitlement exists.</w:t>
      </w:r>
    </w:p>
    <w:p>
      <w:pPr>
        <w:pStyle w:val="ListParagraph"/>
        <w:numPr>
          <w:ilvl w:val="0"/>
          <w:numId w:val="2"/>
        </w:numPr>
        <w:spacing w:after="40" w:before="40"/>
      </w:pPr>
      <w:r>
        <w:rPr>
          <w:rFonts w:ascii="Arial" w:cs="Arial" w:eastAsia="Arial" w:hAnsi="Arial"/>
          <w:b w:val="false"/>
          <w:bCs w:val="false"/>
          <w:sz w:val="20"/>
          <w:szCs w:val="20"/>
        </w:rPr>
        <w:t>Failed renewal: existing paid households receive a Vitals-managed 5-day courtesy grace period before falling to Basic. If the store reports successful recovery during the grace period, Premium continues without interruption.</w:t>
      </w:r>
    </w:p>
    <w:p>
      <w:pPr>
        <w:pStyle w:val="ListParagraph"/>
        <w:numPr>
          <w:ilvl w:val="0"/>
          <w:numId w:val="2"/>
        </w:numPr>
        <w:spacing w:after="40" w:before="40"/>
      </w:pPr>
      <w:r>
        <w:rPr>
          <w:rFonts w:ascii="Arial" w:cs="Arial" w:eastAsia="Arial" w:hAnsi="Arial"/>
          <w:b w:val="false"/>
          <w:bCs w:val="false"/>
          <w:sz w:val="20"/>
          <w:szCs w:val="20"/>
        </w:rPr>
        <w:t>Failed initial purchase: no grace period. The household remains on its existing Trial or Basic entitlement because no successful paid subscription was established.</w:t>
      </w:r>
    </w:p>
    <w:p>
      <w:pPr>
        <w:pStyle w:val="ListParagraph"/>
        <w:numPr>
          <w:ilvl w:val="0"/>
          <w:numId w:val="2"/>
        </w:numPr>
        <w:spacing w:after="40" w:before="40"/>
      </w:pPr>
      <w:r>
        <w:rPr>
          <w:rFonts w:ascii="Arial" w:cs="Arial" w:eastAsia="Arial" w:hAnsi="Arial"/>
          <w:b w:val="false"/>
          <w:bCs w:val="false"/>
          <w:sz w:val="20"/>
          <w:szCs w:val="20"/>
        </w:rPr>
        <w:t>Resubscription after expiration restores eligible Premium access immediately after backend verification; no previously entered patient data is lost or requires backfill.</w:t>
      </w:r>
    </w:p>
    <w:p>
      <w:pPr>
        <w:spacing w:after="60" w:before="180"/>
      </w:pPr>
      <w:r>
        <w:rPr>
          <w:rFonts w:ascii="Arial" w:cs="Arial" w:eastAsia="Arial" w:hAnsi="Arial"/>
          <w:b/>
          <w:bCs/>
          <w:color w:val="00B4C8"/>
          <w:sz w:val="22"/>
          <w:szCs w:val="22"/>
        </w:rPr>
        <w:t>Account &amp; Data Deletion</w:t>
      </w:r>
    </w:p>
    <w:p>
      <w:pPr>
        <w:pStyle w:val="ListParagraph"/>
        <w:numPr>
          <w:ilvl w:val="0"/>
          <w:numId w:val="2"/>
        </w:numPr>
        <w:spacing w:after="40" w:before="40"/>
      </w:pPr>
      <w:r>
        <w:rPr>
          <w:rFonts w:ascii="Arial" w:cs="Arial" w:eastAsia="Arial" w:hAnsi="Arial"/>
          <w:b w:val="false"/>
          <w:bCs w:val="false"/>
          <w:sz w:val="20"/>
          <w:szCs w:val="20"/>
        </w:rPr>
        <w:t>Permanent patient deletion is a production requirement and is separate from plan-based patient locking. An authorized household owner/manager may permanently delete a patient profile only after a destructive warning and explicit confirmation, including confirming the patient identity/name.</w:t>
      </w:r>
    </w:p>
    <w:p>
      <w:pPr>
        <w:pStyle w:val="ListParagraph"/>
        <w:numPr>
          <w:ilvl w:val="0"/>
          <w:numId w:val="2"/>
        </w:numPr>
        <w:spacing w:after="40" w:before="40"/>
      </w:pPr>
      <w:r>
        <w:rPr>
          <w:rFonts w:ascii="Arial" w:cs="Arial" w:eastAsia="Arial" w:hAnsi="Arial"/>
          <w:b w:val="false"/>
          <w:bCs w:val="false"/>
          <w:sz w:val="20"/>
          <w:szCs w:val="20"/>
        </w:rPr>
        <w:t>Permanent patient deletion cascades through live patient-scoped server data: historical vitals, medication data, care-team data, incidents, visits, notes, patient preferences, analysis/cache records, and patient-user relationships. The action cannot be undone.</w:t>
      </w:r>
    </w:p>
    <w:p>
      <w:pPr>
        <w:pStyle w:val="ListParagraph"/>
        <w:numPr>
          <w:ilvl w:val="0"/>
          <w:numId w:val="2"/>
        </w:numPr>
        <w:spacing w:after="40" w:before="40"/>
      </w:pPr>
      <w:r>
        <w:rPr>
          <w:rFonts w:ascii="Arial" w:cs="Arial" w:eastAsia="Arial" w:hAnsi="Arial"/>
          <w:b w:val="false"/>
          <w:bCs w:val="false"/>
          <w:sz w:val="20"/>
          <w:szCs w:val="20"/>
        </w:rPr>
        <w:t>Previously exported PDFs saved locally on a user device are outside the server's control and are not remotely deleted.</w:t>
      </w:r>
    </w:p>
    <w:p>
      <w:pPr>
        <w:pStyle w:val="ListParagraph"/>
        <w:numPr>
          <w:ilvl w:val="0"/>
          <w:numId w:val="2"/>
        </w:numPr>
        <w:spacing w:after="40" w:before="40"/>
      </w:pPr>
      <w:r>
        <w:rPr>
          <w:rFonts w:ascii="Arial" w:cs="Arial" w:eastAsia="Arial" w:hAnsi="Arial"/>
          <w:b w:val="false"/>
          <w:bCs w:val="false"/>
          <w:sz w:val="20"/>
          <w:szCs w:val="20"/>
        </w:rPr>
        <w:t>User-account deletion and household deletion are separate workflows from patient deletion. Deleting a caregiver login must not automatically destroy another patient's record that is still managed by the household.</w:t>
      </w:r>
    </w:p>
    <w:p>
      <w:pPr>
        <w:pStyle w:val="ListParagraph"/>
        <w:numPr>
          <w:ilvl w:val="0"/>
          <w:numId w:val="2"/>
        </w:numPr>
        <w:spacing w:after="40" w:before="40"/>
      </w:pPr>
      <w:r>
        <w:rPr>
          <w:rFonts w:ascii="Arial" w:cs="Arial" w:eastAsia="Arial" w:hAnsi="Arial"/>
          <w:b w:val="false"/>
          <w:bCs w:val="false"/>
          <w:sz w:val="20"/>
          <w:szCs w:val="20"/>
        </w:rPr>
        <w:t>Privacy/retention language must accurately disclose that live application data can be hard-deleted while encrypted backups age out according to the production backup-retention policy.</w:t>
      </w:r>
    </w:p>
    <w:p>
      <w:pPr>
        <w:spacing w:after="60" w:before="180"/>
      </w:pPr>
      <w:r>
        <w:rPr>
          <w:rFonts w:ascii="Arial" w:cs="Arial" w:eastAsia="Arial" w:hAnsi="Arial"/>
          <w:b/>
          <w:bCs/>
          <w:color w:val="00B4C8"/>
          <w:sz w:val="22"/>
          <w:szCs w:val="22"/>
        </w:rPr>
        <w:t>Phase 7 Versioning Convention</w:t>
      </w:r>
    </w:p>
    <w:p>
      <w:pPr>
        <w:spacing w:after="60" w:before="60"/>
      </w:pPr>
      <w:r>
        <w:rPr>
          <w:rFonts w:ascii="Arial" w:cs="Arial" w:eastAsia="Arial" w:hAnsi="Arial"/>
          <w:sz w:val="20"/>
          <w:szCs w:val="20"/>
        </w:rPr>
        <w:t>Phase 7 uses an engineering version that maps directly to the milestone checklist. The numeric portion identifies the Phase 7 marker; an alphabetic suffix identifies component iterations within that marker. Store-facing versions remain numeric-only, with a unique monotonically increasing build number.</w:t>
      </w:r>
    </w:p>
    <w:p>
      <w:pPr>
        <w:pStyle w:val="ListParagraph"/>
        <w:numPr>
          <w:ilvl w:val="0"/>
          <w:numId w:val="2"/>
        </w:numPr>
        <w:spacing w:after="40" w:before="40"/>
      </w:pPr>
      <w:r>
        <w:rPr>
          <w:rFonts w:ascii="Arial" w:cs="Arial" w:eastAsia="Arial" w:hAnsi="Arial"/>
          <w:b w:val="false"/>
          <w:bCs w:val="false"/>
          <w:sz w:val="20"/>
          <w:szCs w:val="20"/>
        </w:rPr>
        <w:t>0.7.0 - Phase 7 baseline; no milestone implementation started.</w:t>
      </w:r>
    </w:p>
    <w:p>
      <w:pPr>
        <w:pStyle w:val="ListParagraph"/>
        <w:numPr>
          <w:ilvl w:val="0"/>
          <w:numId w:val="2"/>
        </w:numPr>
        <w:spacing w:after="40" w:before="40"/>
      </w:pPr>
      <w:r>
        <w:rPr>
          <w:rFonts w:ascii="Arial" w:cs="Arial" w:eastAsia="Arial" w:hAnsi="Arial"/>
          <w:b w:val="false"/>
          <w:bCs w:val="false"/>
          <w:sz w:val="20"/>
          <w:szCs w:val="20"/>
        </w:rPr>
        <w:t>0.7.1a, 0.7.1b, ... - component iterations within milestone marker 0.7.1. When that marker is complete, work advances to 0.7.2a.</w:t>
      </w:r>
    </w:p>
    <w:p>
      <w:pPr>
        <w:pStyle w:val="ListParagraph"/>
        <w:numPr>
          <w:ilvl w:val="0"/>
          <w:numId w:val="2"/>
        </w:numPr>
        <w:spacing w:after="40" w:before="40"/>
      </w:pPr>
      <w:r>
        <w:rPr>
          <w:rFonts w:ascii="Arial" w:cs="Arial" w:eastAsia="Arial" w:hAnsi="Arial"/>
          <w:b w:val="false"/>
          <w:bCs w:val="false"/>
          <w:sz w:val="20"/>
          <w:szCs w:val="20"/>
        </w:rPr>
        <w:t>Example store mapping: engineering 0.7.1a uses ApplicationDisplayVersion 0.7.1 plus a unique numeric ApplicationVersion/build. Letter suffixes are internal engineering labels and are not placed in Apple's numeric marketing version.</w:t>
      </w:r>
    </w:p>
    <w:p>
      <w:pPr>
        <w:spacing w:after="60" w:before="180"/>
      </w:pPr>
      <w:r>
        <w:rPr>
          <w:rFonts w:ascii="Arial" w:cs="Arial" w:eastAsia="Arial" w:hAnsi="Arial"/>
          <w:b/>
          <w:bCs/>
          <w:color w:val="00B4C8"/>
          <w:sz w:val="22"/>
          <w:szCs w:val="22"/>
        </w:rPr>
        <w:t>Milestone 0.7.1 - Trial &amp; Entitlement Foundation</w:t>
      </w:r>
    </w:p>
    <w:p>
      <w:pPr>
        <w:pStyle w:val="ListParagraph"/>
        <w:numPr>
          <w:ilvl w:val="0"/>
          <w:numId w:val="2"/>
        </w:numPr>
        <w:spacing w:after="40" w:before="40"/>
      </w:pPr>
      <w:r>
        <w:rPr>
          <w:rFonts w:ascii="Arial" w:cs="Arial" w:eastAsia="Arial" w:hAnsi="Arial"/>
          <w:b w:val="false"/>
          <w:bCs w:val="false"/>
          <w:sz w:val="20"/>
          <w:szCs w:val="20"/>
        </w:rPr>
        <w:t>Implement household trial fields/state: trial start, trial end, trial-consumed flag, current plan, entitlement status, paid-through/grace timestamps, and patient-capacity rules.</w:t>
      </w:r>
    </w:p>
    <w:p>
      <w:pPr>
        <w:pStyle w:val="ListParagraph"/>
        <w:numPr>
          <w:ilvl w:val="0"/>
          <w:numId w:val="2"/>
        </w:numPr>
        <w:spacing w:after="40" w:before="40"/>
      </w:pPr>
      <w:r>
        <w:rPr>
          <w:rFonts w:ascii="Arial" w:cs="Arial" w:eastAsia="Arial" w:hAnsi="Arial"/>
          <w:b w:val="false"/>
          <w:bCs w:val="false"/>
          <w:sz w:val="20"/>
          <w:szCs w:val="20"/>
        </w:rPr>
        <w:t>Implement Basic/Standard/Family server-side entitlement contract and household-manager roles without duplicating access rules in individual pages.</w:t>
      </w:r>
    </w:p>
    <w:p>
      <w:pPr>
        <w:pStyle w:val="ListParagraph"/>
        <w:numPr>
          <w:ilvl w:val="0"/>
          <w:numId w:val="2"/>
        </w:numPr>
        <w:spacing w:after="40" w:before="40"/>
      </w:pPr>
      <w:r>
        <w:rPr>
          <w:rFonts w:ascii="Arial" w:cs="Arial" w:eastAsia="Arial" w:hAnsi="Arial"/>
          <w:b w:val="false"/>
          <w:bCs w:val="false"/>
          <w:sz w:val="20"/>
          <w:szCs w:val="20"/>
        </w:rPr>
        <w:t>Update onboarding plan language for the 30-day no-card full-access trial and the decide-later path.</w:t>
      </w:r>
    </w:p>
    <w:p>
      <w:pPr>
        <w:pStyle w:val="ListParagraph"/>
        <w:numPr>
          <w:ilvl w:val="0"/>
          <w:numId w:val="2"/>
        </w:numPr>
        <w:spacing w:after="40" w:before="40"/>
      </w:pPr>
      <w:r>
        <w:rPr>
          <w:rFonts w:ascii="Arial" w:cs="Arial" w:eastAsia="Arial" w:hAnsi="Arial"/>
          <w:b w:val="false"/>
          <w:bCs w:val="false"/>
          <w:sz w:val="20"/>
          <w:szCs w:val="20"/>
        </w:rPr>
        <w:t>Implement trial expiration and the 2-active-patient selection/confirmation workflow for households with more than 2 patients.</w:t>
      </w:r>
    </w:p>
    <w:p>
      <w:pPr>
        <w:spacing w:after="60" w:before="180"/>
      </w:pPr>
      <w:r>
        <w:rPr>
          <w:rFonts w:ascii="Arial" w:cs="Arial" w:eastAsia="Arial" w:hAnsi="Arial"/>
          <w:b/>
          <w:bCs/>
          <w:color w:val="00B4C8"/>
          <w:sz w:val="22"/>
          <w:szCs w:val="22"/>
        </w:rPr>
        <w:t>Milestone 0.7.2 - Store Billing Integrations</w:t>
      </w:r>
    </w:p>
    <w:p>
      <w:pPr>
        <w:pStyle w:val="ListParagraph"/>
        <w:numPr>
          <w:ilvl w:val="0"/>
          <w:numId w:val="2"/>
        </w:numPr>
        <w:spacing w:after="40" w:before="40"/>
      </w:pPr>
      <w:r>
        <w:rPr>
          <w:rFonts w:ascii="Arial" w:cs="Arial" w:eastAsia="Arial" w:hAnsi="Arial"/>
          <w:b w:val="false"/>
          <w:bCs w:val="false"/>
          <w:sz w:val="20"/>
          <w:szCs w:val="20"/>
        </w:rPr>
        <w:t>Create/configure Standard Monthly, Standard Annual, Family Monthly, and Family Annual products in App Store Connect and Google Play Console.</w:t>
      </w:r>
    </w:p>
    <w:p>
      <w:pPr>
        <w:pStyle w:val="ListParagraph"/>
        <w:numPr>
          <w:ilvl w:val="0"/>
          <w:numId w:val="2"/>
        </w:numPr>
        <w:spacing w:after="40" w:before="40"/>
      </w:pPr>
      <w:r>
        <w:rPr>
          <w:rFonts w:ascii="Arial" w:cs="Arial" w:eastAsia="Arial" w:hAnsi="Arial"/>
          <w:b w:val="false"/>
          <w:bCs w:val="false"/>
          <w:sz w:val="20"/>
          <w:szCs w:val="20"/>
        </w:rPr>
        <w:t>Implement iOS StoreKit purchase/restore flow and Android Google Play Billing purchase/restore flow behind a shared MAUI billing abstraction.</w:t>
      </w:r>
    </w:p>
    <w:p>
      <w:pPr>
        <w:pStyle w:val="ListParagraph"/>
        <w:numPr>
          <w:ilvl w:val="0"/>
          <w:numId w:val="2"/>
        </w:numPr>
        <w:spacing w:after="40" w:before="40"/>
      </w:pPr>
      <w:r>
        <w:rPr>
          <w:rFonts w:ascii="Arial" w:cs="Arial" w:eastAsia="Arial" w:hAnsi="Arial"/>
          <w:b w:val="false"/>
          <w:bCs w:val="false"/>
          <w:sz w:val="20"/>
          <w:szCs w:val="20"/>
        </w:rPr>
        <w:t>Implement subscription-management UI: current plan/status, renewal/paid-through date, upgrade path, restore purchases, and platform-appropriate management link/action.</w:t>
      </w:r>
    </w:p>
    <w:p>
      <w:pPr>
        <w:spacing w:after="60" w:before="180"/>
      </w:pPr>
      <w:r>
        <w:rPr>
          <w:rFonts w:ascii="Arial" w:cs="Arial" w:eastAsia="Arial" w:hAnsi="Arial"/>
          <w:b/>
          <w:bCs/>
          <w:color w:val="00B4C8"/>
          <w:sz w:val="22"/>
          <w:szCs w:val="22"/>
        </w:rPr>
        <w:t>Milestone 0.7.3 - Backend Purchase Verification &amp; Lifecycle</w:t>
      </w:r>
    </w:p>
    <w:p>
      <w:pPr>
        <w:pStyle w:val="ListParagraph"/>
        <w:numPr>
          <w:ilvl w:val="0"/>
          <w:numId w:val="2"/>
        </w:numPr>
        <w:spacing w:after="40" w:before="40"/>
      </w:pPr>
      <w:r>
        <w:rPr>
          <w:rFonts w:ascii="Arial" w:cs="Arial" w:eastAsia="Arial" w:hAnsi="Arial"/>
          <w:b w:val="false"/>
          <w:bCs w:val="false"/>
          <w:sz w:val="20"/>
          <w:szCs w:val="20"/>
        </w:rPr>
        <w:t>Verify Apple transactions and Google purchase tokens server-side before granting paid entitlements.</w:t>
      </w:r>
    </w:p>
    <w:p>
      <w:pPr>
        <w:pStyle w:val="ListParagraph"/>
        <w:numPr>
          <w:ilvl w:val="0"/>
          <w:numId w:val="2"/>
        </w:numPr>
        <w:spacing w:after="40" w:before="40"/>
      </w:pPr>
      <w:r>
        <w:rPr>
          <w:rFonts w:ascii="Arial" w:cs="Arial" w:eastAsia="Arial" w:hAnsi="Arial"/>
          <w:b w:val="false"/>
          <w:bCs w:val="false"/>
          <w:sz w:val="20"/>
          <w:szCs w:val="20"/>
        </w:rPr>
        <w:t>Bind verified purchases to one Vitals household and record billing provider, billing owner, store transaction/purchase identifiers, plan, and expiration state.</w:t>
      </w:r>
    </w:p>
    <w:p>
      <w:pPr>
        <w:pStyle w:val="ListParagraph"/>
        <w:numPr>
          <w:ilvl w:val="0"/>
          <w:numId w:val="2"/>
        </w:numPr>
        <w:spacing w:after="40" w:before="40"/>
      </w:pPr>
      <w:r>
        <w:rPr>
          <w:rFonts w:ascii="Arial" w:cs="Arial" w:eastAsia="Arial" w:hAnsi="Arial"/>
          <w:b w:val="false"/>
          <w:bCs w:val="false"/>
          <w:sz w:val="20"/>
          <w:szCs w:val="20"/>
        </w:rPr>
        <w:t>Process Apple/Google server lifecycle notifications and enforce renewal, cancellation, refund/revoke, expiration, recovery, and the Vitals 5-day failed-renewal grace rule.</w:t>
      </w:r>
    </w:p>
    <w:p>
      <w:pPr>
        <w:pStyle w:val="ListParagraph"/>
        <w:numPr>
          <w:ilvl w:val="0"/>
          <w:numId w:val="2"/>
        </w:numPr>
        <w:spacing w:after="40" w:before="40"/>
      </w:pPr>
      <w:r>
        <w:rPr>
          <w:rFonts w:ascii="Arial" w:cs="Arial" w:eastAsia="Arial" w:hAnsi="Arial"/>
          <w:b w:val="false"/>
          <w:bCs w:val="false"/>
          <w:sz w:val="20"/>
          <w:szCs w:val="20"/>
        </w:rPr>
        <w:t>Enforce cross-platform household access after a verified purchase and safe Restore Purchases behavior after reinstall or device change.</w:t>
      </w:r>
    </w:p>
    <w:p>
      <w:pPr>
        <w:spacing w:after="60" w:before="180"/>
      </w:pPr>
      <w:r>
        <w:rPr>
          <w:rFonts w:ascii="Arial" w:cs="Arial" w:eastAsia="Arial" w:hAnsi="Arial"/>
          <w:b/>
          <w:bCs/>
          <w:color w:val="00B4C8"/>
          <w:sz w:val="22"/>
          <w:szCs w:val="22"/>
        </w:rPr>
        <w:t>Milestone 0.7.4 - Feature Gating &amp; Upgrade UX</w:t>
      </w:r>
    </w:p>
    <w:p>
      <w:pPr>
        <w:pStyle w:val="ListParagraph"/>
        <w:numPr>
          <w:ilvl w:val="0"/>
          <w:numId w:val="2"/>
        </w:numPr>
        <w:spacing w:after="40" w:before="40"/>
      </w:pPr>
      <w:r>
        <w:rPr>
          <w:rFonts w:ascii="Arial" w:cs="Arial" w:eastAsia="Arial" w:hAnsi="Arial"/>
          <w:b w:val="false"/>
          <w:bCs w:val="false"/>
          <w:sz w:val="20"/>
          <w:szCs w:val="20"/>
        </w:rPr>
        <w:t>Centralize entitlement evaluation so Basic vs Premium behavior is consistent across navigation, pages, API-sensitive actions, and household capacity checks.</w:t>
      </w:r>
    </w:p>
    <w:p>
      <w:pPr>
        <w:pStyle w:val="ListParagraph"/>
        <w:numPr>
          <w:ilvl w:val="0"/>
          <w:numId w:val="2"/>
        </w:numPr>
        <w:spacing w:after="40" w:before="40"/>
      </w:pPr>
      <w:r>
        <w:rPr>
          <w:rFonts w:ascii="Arial" w:cs="Arial" w:eastAsia="Arial" w:hAnsi="Arial"/>
          <w:b w:val="false"/>
          <w:bCs w:val="false"/>
          <w:sz w:val="20"/>
          <w:szCs w:val="20"/>
        </w:rPr>
        <w:t>Gate clinical analysis, graphs, new PDF generation, incidents, visits, notes, and other Premium actions with an upgrade CTA while keeping Basic vitals, medications, and care team fully usable.</w:t>
      </w:r>
    </w:p>
    <w:p>
      <w:pPr>
        <w:pStyle w:val="ListParagraph"/>
        <w:numPr>
          <w:ilvl w:val="0"/>
          <w:numId w:val="2"/>
        </w:numPr>
        <w:spacing w:after="40" w:before="40"/>
      </w:pPr>
      <w:r>
        <w:rPr>
          <w:rFonts w:ascii="Arial" w:cs="Arial" w:eastAsia="Arial" w:hAnsi="Arial"/>
          <w:b w:val="false"/>
          <w:bCs w:val="false"/>
          <w:sz w:val="20"/>
          <w:szCs w:val="20"/>
        </w:rPr>
        <w:t>Confirm downgrade never deletes data and Family restoration re-enables previously locked patient profiles and Premium history immediately.</w:t>
      </w:r>
    </w:p>
    <w:p>
      <w:pPr>
        <w:spacing w:after="60" w:before="180"/>
      </w:pPr>
      <w:r>
        <w:rPr>
          <w:rFonts w:ascii="Arial" w:cs="Arial" w:eastAsia="Arial" w:hAnsi="Arial"/>
          <w:b/>
          <w:bCs/>
          <w:color w:val="00B4C8"/>
          <w:sz w:val="22"/>
          <w:szCs w:val="22"/>
        </w:rPr>
        <w:t>Milestone 0.7.5 - Account &amp; Data Deletion</w:t>
      </w:r>
    </w:p>
    <w:p>
      <w:pPr>
        <w:pStyle w:val="ListParagraph"/>
        <w:numPr>
          <w:ilvl w:val="0"/>
          <w:numId w:val="2"/>
        </w:numPr>
        <w:spacing w:after="40" w:before="40"/>
      </w:pPr>
      <w:r>
        <w:rPr>
          <w:rFonts w:ascii="Arial" w:cs="Arial" w:eastAsia="Arial" w:hAnsi="Arial"/>
          <w:b w:val="false"/>
          <w:bCs w:val="false"/>
          <w:sz w:val="20"/>
          <w:szCs w:val="20"/>
        </w:rPr>
        <w:t>Implement permanent patient deletion with typed/explicit destructive confirmation and server-side cascade deletion.</w:t>
      </w:r>
    </w:p>
    <w:p>
      <w:pPr>
        <w:pStyle w:val="ListParagraph"/>
        <w:numPr>
          <w:ilvl w:val="0"/>
          <w:numId w:val="2"/>
        </w:numPr>
        <w:spacing w:after="40" w:before="40"/>
      </w:pPr>
      <w:r>
        <w:rPr>
          <w:rFonts w:ascii="Arial" w:cs="Arial" w:eastAsia="Arial" w:hAnsi="Arial"/>
          <w:b w:val="false"/>
          <w:bCs w:val="false"/>
          <w:sz w:val="20"/>
          <w:szCs w:val="20"/>
        </w:rPr>
        <w:t>Implement or finalize user-account deletion and household deletion as distinct flows, including active-subscription guidance and production backup-retention disclosures.</w:t>
      </w:r>
    </w:p>
    <w:p>
      <w:pPr>
        <w:pStyle w:val="ListParagraph"/>
        <w:numPr>
          <w:ilvl w:val="0"/>
          <w:numId w:val="2"/>
        </w:numPr>
        <w:spacing w:after="40" w:before="40"/>
      </w:pPr>
      <w:r>
        <w:rPr>
          <w:rFonts w:ascii="Arial" w:cs="Arial" w:eastAsia="Arial" w:hAnsi="Arial"/>
          <w:b w:val="false"/>
          <w:bCs w:val="false"/>
          <w:sz w:val="20"/>
          <w:szCs w:val="20"/>
        </w:rPr>
        <w:t>Verify deleted live data cannot be retrieved through normal API endpoints or stale analysis caches.</w:t>
      </w:r>
    </w:p>
    <w:p>
      <w:pPr>
        <w:spacing w:after="60" w:before="180"/>
      </w:pPr>
      <w:r>
        <w:rPr>
          <w:rFonts w:ascii="Arial" w:cs="Arial" w:eastAsia="Arial" w:hAnsi="Arial"/>
          <w:b/>
          <w:bCs/>
          <w:color w:val="00B4C8"/>
          <w:sz w:val="22"/>
          <w:szCs w:val="22"/>
        </w:rPr>
        <w:t>Milestone 0.7.6 - Payment &amp; Entitlement Acceptance QA</w:t>
      </w:r>
    </w:p>
    <w:p>
      <w:pPr>
        <w:pStyle w:val="ListParagraph"/>
        <w:numPr>
          <w:ilvl w:val="0"/>
          <w:numId w:val="2"/>
        </w:numPr>
        <w:spacing w:after="40" w:before="40"/>
      </w:pPr>
      <w:r>
        <w:rPr>
          <w:rFonts w:ascii="Arial" w:cs="Arial" w:eastAsia="Arial" w:hAnsi="Arial"/>
          <w:b w:val="false"/>
          <w:bCs w:val="false"/>
          <w:sz w:val="20"/>
          <w:szCs w:val="20"/>
        </w:rPr>
        <w:t>Test successful purchase, declined/failed purchase, pending purchase, user-canceled purchase, renewal, cancellation, expiration, refund/revoke where sandbox tooling permits, and recovery during the 5-day grace period.</w:t>
      </w:r>
    </w:p>
    <w:p>
      <w:pPr>
        <w:pStyle w:val="ListParagraph"/>
        <w:numPr>
          <w:ilvl w:val="0"/>
          <w:numId w:val="2"/>
        </w:numPr>
        <w:spacing w:after="40" w:before="40"/>
      </w:pPr>
      <w:r>
        <w:rPr>
          <w:rFonts w:ascii="Arial" w:cs="Arial" w:eastAsia="Arial" w:hAnsi="Arial"/>
          <w:b w:val="false"/>
          <w:bCs w:val="false"/>
          <w:sz w:val="20"/>
          <w:szCs w:val="20"/>
        </w:rPr>
        <w:t>Test Trial -&gt; Basic, Basic -&gt; paid Premium, paid Premium -&gt; Basic after expiration, and resubscription with immediate restoration.</w:t>
      </w:r>
    </w:p>
    <w:p>
      <w:pPr>
        <w:pStyle w:val="ListParagraph"/>
        <w:numPr>
          <w:ilvl w:val="0"/>
          <w:numId w:val="2"/>
        </w:numPr>
        <w:spacing w:after="40" w:before="40"/>
      </w:pPr>
      <w:r>
        <w:rPr>
          <w:rFonts w:ascii="Arial" w:cs="Arial" w:eastAsia="Arial" w:hAnsi="Arial"/>
          <w:b w:val="false"/>
          <w:bCs w:val="false"/>
          <w:sz w:val="20"/>
          <w:szCs w:val="20"/>
        </w:rPr>
        <w:t>Test Restore Purchases after reinstall/device change and verify one store subscription cannot silently attach to unrelated households.</w:t>
      </w:r>
    </w:p>
    <w:p>
      <w:pPr>
        <w:pStyle w:val="ListParagraph"/>
        <w:numPr>
          <w:ilvl w:val="0"/>
          <w:numId w:val="2"/>
        </w:numPr>
        <w:spacing w:after="40" w:before="40"/>
      </w:pPr>
      <w:r>
        <w:rPr>
          <w:rFonts w:ascii="Arial" w:cs="Arial" w:eastAsia="Arial" w:hAnsi="Arial"/>
          <w:b w:val="false"/>
          <w:bCs w:val="false"/>
          <w:sz w:val="20"/>
          <w:szCs w:val="20"/>
        </w:rPr>
        <w:t>Critical cross-platform test: purchase on iOS and confirm the same household unlocks on Android; purchase on Android and confirm the same household unlocks on iOS.</w:t>
      </w:r>
    </w:p>
    <w:p>
      <w:pPr>
        <w:pStyle w:val="ListParagraph"/>
        <w:numPr>
          <w:ilvl w:val="0"/>
          <w:numId w:val="2"/>
        </w:numPr>
        <w:spacing w:after="40" w:before="40"/>
      </w:pPr>
      <w:r>
        <w:rPr>
          <w:rFonts w:ascii="Arial" w:cs="Arial" w:eastAsia="Arial" w:hAnsi="Arial"/>
          <w:b w:val="false"/>
          <w:bCs w:val="false"/>
          <w:sz w:val="20"/>
          <w:szCs w:val="20"/>
        </w:rPr>
        <w:t>Payment/entitlement QA must pass on physical iOS and Android devices before Store Beta begins, with no patient-data loss across entitlement transitions.</w:t>
      </w:r>
    </w:p>
    <w:p>
      <w:pPr>
        <w:spacing w:after="60" w:before="180"/>
      </w:pPr>
      <w:r>
        <w:rPr>
          <w:rFonts w:ascii="Arial" w:cs="Arial" w:eastAsia="Arial" w:hAnsi="Arial"/>
          <w:b/>
          <w:bCs/>
          <w:color w:val="00B4C8"/>
          <w:sz w:val="22"/>
          <w:szCs w:val="22"/>
        </w:rPr>
        <w:t>Milestone 0.7.7 - Parallel Store Beta / Release Candidate</w:t>
      </w:r>
    </w:p>
    <w:p>
      <w:pPr>
        <w:pStyle w:val="ListParagraph"/>
        <w:numPr>
          <w:ilvl w:val="0"/>
          <w:numId w:val="2"/>
        </w:numPr>
        <w:spacing w:after="40" w:before="40"/>
      </w:pPr>
      <w:r>
        <w:rPr>
          <w:rFonts w:ascii="Arial" w:cs="Arial" w:eastAsia="Arial" w:hAnsi="Arial"/>
          <w:b w:val="false"/>
          <w:bCs w:val="false"/>
          <w:sz w:val="20"/>
          <w:szCs w:val="20"/>
        </w:rPr>
        <w:t>Store Beta begins only after billing implementation, backend verification, entitlement gating, deletion workflows, and physical-device payment QA are complete.</w:t>
      </w:r>
    </w:p>
    <w:p>
      <w:pPr>
        <w:pStyle w:val="ListParagraph"/>
        <w:numPr>
          <w:ilvl w:val="0"/>
          <w:numId w:val="2"/>
        </w:numPr>
        <w:spacing w:after="40" w:before="40"/>
      </w:pPr>
      <w:r>
        <w:rPr>
          <w:rFonts w:ascii="Arial" w:cs="Arial" w:eastAsia="Arial" w:hAnsi="Arial"/>
          <w:b w:val="false"/>
          <w:bCs w:val="false"/>
          <w:sz w:val="20"/>
          <w:szCs w:val="20"/>
        </w:rPr>
        <w:t>iOS: distribute the release candidate through TestFlight. TestFlight is a beta milestone, not public launch; there is no roadmap-imposed minimum beta duration beyond Apple review requirements applicable to the submitted build/tester group.</w:t>
      </w:r>
    </w:p>
    <w:p>
      <w:pPr>
        <w:pStyle w:val="ListParagraph"/>
        <w:numPr>
          <w:ilvl w:val="0"/>
          <w:numId w:val="2"/>
        </w:numPr>
        <w:spacing w:after="40" w:before="40"/>
      </w:pPr>
      <w:r>
        <w:rPr>
          <w:rFonts w:ascii="Arial" w:cs="Arial" w:eastAsia="Arial" w:hAnsi="Arial"/>
          <w:b w:val="false"/>
          <w:bCs w:val="false"/>
          <w:sz w:val="20"/>
          <w:szCs w:val="20"/>
        </w:rPr>
        <w:t>Android: distribute through Google Play closed testing. Confirm the actual Play developer account's production-access requirement before setting the calendar; newer personal accounts may require at least 12 opted-in testers for 14 continuous days before applying for production access.</w:t>
      </w:r>
    </w:p>
    <w:p>
      <w:pPr>
        <w:pStyle w:val="ListParagraph"/>
        <w:numPr>
          <w:ilvl w:val="0"/>
          <w:numId w:val="2"/>
        </w:numPr>
        <w:spacing w:after="40" w:before="40"/>
      </w:pPr>
      <w:r>
        <w:rPr>
          <w:rFonts w:ascii="Arial" w:cs="Arial" w:eastAsia="Arial" w:hAnsi="Arial"/>
          <w:b w:val="false"/>
          <w:bCs w:val="false"/>
          <w:sz w:val="20"/>
          <w:szCs w:val="20"/>
        </w:rPr>
        <w:t>Complete store listings, screenshots, descriptions, age ratings, privacy/data-safety disclosures, subscription disclosures, support contact, Privacy Policy, and Terms of Service for both platforms.</w:t>
      </w:r>
    </w:p>
    <w:p>
      <w:pPr>
        <w:pStyle w:val="ListParagraph"/>
        <w:numPr>
          <w:ilvl w:val="0"/>
          <w:numId w:val="2"/>
        </w:numPr>
        <w:spacing w:after="40" w:before="40"/>
      </w:pPr>
      <w:r>
        <w:rPr>
          <w:rFonts w:ascii="Arial" w:cs="Arial" w:eastAsia="Arial" w:hAnsi="Arial"/>
          <w:b w:val="false"/>
          <w:bCs w:val="false"/>
          <w:sz w:val="20"/>
          <w:szCs w:val="20"/>
        </w:rPr>
        <w:t>Resolve beta findings through the lettered 0.7.7 engineering iterations until one release candidate is accepted for production submission on both platforms.</w:t>
      </w:r>
    </w:p>
    <w:p>
      <w:pPr>
        <w:spacing w:after="60" w:before="180"/>
      </w:pPr>
      <w:r>
        <w:rPr>
          <w:rFonts w:ascii="Arial" w:cs="Arial" w:eastAsia="Arial" w:hAnsi="Arial"/>
          <w:b/>
          <w:bCs/>
          <w:color w:val="00B4C8"/>
          <w:sz w:val="22"/>
          <w:szCs w:val="22"/>
        </w:rPr>
        <w:t>Milestone 0.7.8 - Public Production Launch</w:t>
      </w:r>
    </w:p>
    <w:p>
      <w:pPr>
        <w:pStyle w:val="ListParagraph"/>
        <w:numPr>
          <w:ilvl w:val="0"/>
          <w:numId w:val="2"/>
        </w:numPr>
        <w:spacing w:after="40" w:before="40"/>
      </w:pPr>
      <w:r>
        <w:rPr>
          <w:rFonts w:ascii="Arial" w:cs="Arial" w:eastAsia="Arial" w:hAnsi="Arial"/>
          <w:b w:val="false"/>
          <w:bCs w:val="false"/>
          <w:sz w:val="20"/>
          <w:szCs w:val="20"/>
        </w:rPr>
        <w:t>Submit/advance the approved release candidate to production on Apple App Store and Google Play in parallel.</w:t>
      </w:r>
    </w:p>
    <w:p>
      <w:pPr>
        <w:pStyle w:val="ListParagraph"/>
        <w:numPr>
          <w:ilvl w:val="0"/>
          <w:numId w:val="2"/>
        </w:numPr>
        <w:spacing w:after="40" w:before="40"/>
      </w:pPr>
      <w:r>
        <w:rPr>
          <w:rFonts w:ascii="Arial" w:cs="Arial" w:eastAsia="Arial" w:hAnsi="Arial"/>
          <w:b w:val="false"/>
          <w:bCs w:val="false"/>
          <w:sz w:val="20"/>
          <w:szCs w:val="20"/>
        </w:rPr>
        <w:t>Launch is achieved only when ordinary users can discover/download Vitals from both stores outside beta and a new household can complete the 30-day trial, subscribe, and receive verified Premium access.</w:t>
      </w:r>
    </w:p>
    <w:p>
      <w:pPr>
        <w:pStyle w:val="ListParagraph"/>
        <w:numPr>
          <w:ilvl w:val="0"/>
          <w:numId w:val="2"/>
        </w:numPr>
        <w:spacing w:after="40" w:before="40"/>
      </w:pPr>
      <w:r>
        <w:rPr>
          <w:rFonts w:ascii="Arial" w:cs="Arial" w:eastAsia="Arial" w:hAnsi="Arial"/>
          <w:b w:val="false"/>
          <w:bCs w:val="false"/>
          <w:sz w:val="20"/>
          <w:szCs w:val="20"/>
        </w:rPr>
        <w:t>Validate production purchase, entitlement sync, restore, support/legal links, backend monitoring/backups, and subscription lifecycle behavior immediately after release.</w:t>
      </w:r>
    </w:p>
    <w:p>
      <w:pPr>
        <w:pStyle w:val="ListParagraph"/>
        <w:numPr>
          <w:ilvl w:val="0"/>
          <w:numId w:val="2"/>
        </w:numPr>
        <w:spacing w:after="40" w:before="40"/>
      </w:pPr>
      <w:r>
        <w:rPr>
          <w:rFonts w:ascii="Arial" w:cs="Arial" w:eastAsia="Arial" w:hAnsi="Arial"/>
          <w:b w:val="false"/>
          <w:bCs w:val="false"/>
          <w:sz w:val="20"/>
          <w:szCs w:val="20"/>
        </w:rPr>
        <w:t>Finalize Dr. Warren distribution materials and KDP QR destinations against the live store/signup paths.</w:t>
      </w:r>
    </w:p>
    <w:p>
      <w:pPr>
        <w:spacing w:after="60" w:before="180"/>
      </w:pPr>
      <w:r>
        <w:rPr>
          <w:rFonts w:ascii="Arial" w:cs="Arial" w:eastAsia="Arial" w:hAnsi="Arial"/>
          <w:b/>
          <w:bCs/>
          <w:color w:val="00B4C8"/>
          <w:sz w:val="22"/>
          <w:szCs w:val="22"/>
        </w:rPr>
        <w:t>Definition of Done</w:t>
      </w:r>
    </w:p>
    <w:p>
      <w:pPr>
        <w:pStyle w:val="ListParagraph"/>
        <w:numPr>
          <w:ilvl w:val="0"/>
          <w:numId w:val="2"/>
        </w:numPr>
        <w:spacing w:after="40" w:before="40"/>
      </w:pPr>
      <w:r>
        <w:rPr>
          <w:rFonts w:ascii="Arial" w:cs="Arial" w:eastAsia="Arial" w:hAnsi="Arial"/>
          <w:b w:val="false"/>
          <w:bCs w:val="false"/>
          <w:sz w:val="20"/>
          <w:szCs w:val="20"/>
        </w:rPr>
        <w:t>All Phase 7 milestones have passed their acceptance gates and Vitals is publicly available in both the Apple App Store and Google Play.</w:t>
      </w:r>
    </w:p>
    <w:p>
      <w:pPr>
        <w:pStyle w:val="ListParagraph"/>
        <w:numPr>
          <w:ilvl w:val="0"/>
          <w:numId w:val="2"/>
        </w:numPr>
        <w:spacing w:after="40" w:before="40"/>
      </w:pPr>
      <w:r>
        <w:rPr>
          <w:rFonts w:ascii="Arial" w:cs="Arial" w:eastAsia="Arial" w:hAnsi="Arial"/>
          <w:b w:val="false"/>
          <w:bCs w:val="false"/>
          <w:sz w:val="20"/>
          <w:szCs w:val="20"/>
        </w:rPr>
        <w:t>A new household can start a one-time 30-day no-card full-access trial, use up to 5 patients, fall safely to Basic if it does not subscribe, and upgrade later without data loss or backfill.</w:t>
      </w:r>
    </w:p>
    <w:p>
      <w:pPr>
        <w:pStyle w:val="ListParagraph"/>
        <w:numPr>
          <w:ilvl w:val="0"/>
          <w:numId w:val="2"/>
        </w:numPr>
        <w:spacing w:after="40" w:before="40"/>
      </w:pPr>
      <w:r>
        <w:rPr>
          <w:rFonts w:ascii="Arial" w:cs="Arial" w:eastAsia="Arial" w:hAnsi="Arial"/>
          <w:b w:val="false"/>
          <w:bCs w:val="false"/>
          <w:sz w:val="20"/>
          <w:szCs w:val="20"/>
        </w:rPr>
        <w:t>Standard and Family monthly/annual subscriptions can be purchased, verified server-side, restored, renewed, canceled, expired, and recognized cross-platform according to the household entitlement rules.</w:t>
      </w:r>
    </w:p>
    <w:p>
      <w:pPr>
        <w:pStyle w:val="ListParagraph"/>
        <w:numPr>
          <w:ilvl w:val="0"/>
          <w:numId w:val="2"/>
        </w:numPr>
        <w:spacing w:after="40" w:before="40"/>
      </w:pPr>
      <w:r>
        <w:rPr>
          <w:rFonts w:ascii="Arial" w:cs="Arial" w:eastAsia="Arial" w:hAnsi="Arial"/>
          <w:b w:val="false"/>
          <w:bCs w:val="false"/>
          <w:sz w:val="20"/>
          <w:szCs w:val="20"/>
        </w:rPr>
        <w:t>Basic, Standard, and Family feature/capacity gates behave consistently; Premium content is protected without deleting historical data.</w:t>
      </w:r>
    </w:p>
    <w:p>
      <w:pPr>
        <w:pStyle w:val="ListParagraph"/>
        <w:numPr>
          <w:ilvl w:val="0"/>
          <w:numId w:val="2"/>
        </w:numPr>
        <w:spacing w:after="40" w:before="40"/>
      </w:pPr>
      <w:r>
        <w:rPr>
          <w:rFonts w:ascii="Arial" w:cs="Arial" w:eastAsia="Arial" w:hAnsi="Arial"/>
          <w:b w:val="false"/>
          <w:bCs w:val="false"/>
          <w:sz w:val="20"/>
          <w:szCs w:val="20"/>
        </w:rPr>
        <w:t>Permanent patient deletion and account/household deletion workflows meet production privacy expectations and have been validated against live-data retrieval paths.</w:t>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cantSplit/>
        </w:trP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rPr>
          <w:cantSplit/>
        </w:trP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Local scheduled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Retention reminders and milestone nudges; deliberately deferred from MVP because core Vitals functionality does not depend on them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Phase 6 scope review (Oct 2026)</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rPr>
          <w:cantSplit/>
        </w:trP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rPr>
          <w:cantSplit/>
        </w:trP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r>
        <w:trPr>
          <w:cantSplit/>
        </w:trP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Clinical Results / Doctor Visit (Glucose Part B)</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Adds structured A1C, lipids, glucose labs, kidney, liver, CBC, thyroid, and other physician-reported results; valuable clinical context, but not required for MVP launch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Post-launch product roadmap</w:t>
            </w:r>
          </w:p>
        </w:tc>
      </w:tr>
      <w:tr>
        <w:trPr>
          <w:cantSplit/>
        </w:trPr>
        <w:tc>
          <w:tcPr>
            <w:tcW w:type="dxa" w:w="3600"/>
          </w:tcPr>
          <w:p>
            <w:r>
              <w:t>Stripe / direct web billing</w:t>
            </w:r>
          </w:p>
        </w:tc>
        <w:tc>
          <w:tcPr>
            <w:tcW w:type="dxa" w:w="3360"/>
          </w:tcPr>
          <w:p>
            <w:r>
              <w:t>Future direct billing for web/email acquisition; intentionally excluded from the Phase 7 mobile MVP.</w:t>
            </w:r>
          </w:p>
        </w:tc>
        <w:tc>
          <w:tcPr>
            <w:tcW w:type="dxa" w:w="2400"/>
          </w:tcPr>
          <w:p>
            <w:r>
              <w:t>Phase 7 scope decision (Oct 2026)</w:t>
            </w:r>
          </w:p>
        </w:tc>
      </w:tr>
    </w:tbl>
    <w:p>
      <w:pPr>
        <w:pStyle w:val="Heading1"/>
        <w:pBdr>
          <w:bottom w:val="single" w:color="00B4C8" w:sz="6" w:space="4"/>
        </w:pBdr>
        <w:spacing w:after="120" w:before="360"/>
        <w:pageBreakBefore/>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This roadmap is built for a single senior developer working on Vitals alongside full-time employment and caregiving responsibilities. Phase durations are estimated conservatively. Engineering milestones remain intentionally sequential so scope stays controlled; Phase 7 is the exception only at the release-operation layer, where iOS and Android store beta/submission proceed in parallel after the shared billing and entitlement gates have passed.</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Production Infrastructure Readiness</w:t>
      </w:r>
    </w:p>
    <w:p>
      <w:pPr>
        <w:spacing w:after="60" w:before="60"/>
      </w:pPr>
      <w:r>
        <w:rPr>
          <w:rFonts w:ascii="Arial" w:cs="Arial" w:eastAsia="Arial" w:hAnsi="Arial"/>
          <w:sz w:val="20"/>
          <w:szCs w:val="20"/>
        </w:rPr>
        <w:t>DigitalOcean production infrastructure is already live and serving the authenticated Vitals API. Phase 7 therefore shifts from migration to production-readiness validation: capacity for initial subscriber load, database backups/restore testing, TLS/DNS health, monitoring/logging, billing-webhook reliability, and rollback/recovery procedures must be confirmed before public launch.</w:t>
      </w:r>
    </w:p>
    <w:p>
      <w:pPr>
        <w:spacing w:after="100" w:before="0"/>
      </w:pPr>
      <w:r>
        <w:t xml:space="preserve"/>
      </w:r>
    </w:p>
    <w:p>
      <w:pPr>
        <w:pStyle w:val="Heading2"/>
        <w:spacing w:after="80" w:before="240"/>
      </w:pPr>
      <w:r>
        <w:rPr>
          <w:rFonts w:ascii="Arial" w:cs="Arial" w:eastAsia="Arial" w:hAnsi="Arial"/>
          <w:b/>
          <w:bCs/>
          <w:color w:val="1B2A4A"/>
          <w:sz w:val="26"/>
          <w:szCs w:val="26"/>
        </w:rPr>
        <w:t>October 2026 Re-Baseline</w:t>
      </w:r>
    </w:p>
    <w:p>
      <w:pPr>
        <w:spacing w:after="60" w:before="60"/>
      </w:pPr>
      <w:r>
        <w:rPr>
          <w:rFonts w:ascii="Arial" w:cs="Arial" w:eastAsia="Arial" w:hAnsi="Arial"/>
          <w:sz w:val="20"/>
          <w:szCs w:val="20"/>
        </w:rPr>
        <w:t>The original September 2026 target was missed and is no longer used as the definition of success. As of October 6, all Phase 1-6 product work is complete and Phase 7 begins at engineering version 0.7.0. The remaining critical path is commercial infrastructure: household entitlements, Apple/Google billing, payment QA, store beta, and store production review. The roadmap therefore separates Store Beta from Public Launch and plans iOS and Android in parallel.</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Next target: complete Phase 7 payment/entitlement gates, enter parallel Store Beta, then launch publicly on both platforms.</w:t>
      </w:r>
    </w:p>
    <w:p>
      <w:pPr>
        <w:jc w:val="center"/>
      </w:pPr>
      <w:r>
        <w:rPr>
          <w:rFonts w:ascii="Arial" w:cs="Arial" w:eastAsia="Arial" w:hAnsi="Arial"/>
          <w:i/>
          <w:iCs/>
          <w:color w:val="999999"/>
          <w:sz w:val="18"/>
          <w:szCs w:val="18"/>
        </w:rPr>
        <w:t>Vitals — Mobile Application Development Roadmap |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2026-10-06T15:23:00Z</dcterms:modified>
  <dc:description>Updated Oct 6, 2026: authentication completion and historical vitals edit/reassign/delete functionality.</dc:description>
  <dc:title>Vitals Mobile Application Development Roadmap - October 2026 v7</dc:title>
</cp:coreProperties>
</file>

<file path=docProps/custom.xml><?xml version="1.0" encoding="utf-8"?>
<Properties xmlns="http://schemas.openxmlformats.org/officeDocument/2006/custom-properties" xmlns:vt="http://schemas.openxmlformats.org/officeDocument/2006/docPropsVTypes"/>
</file>