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drawing>
          <wp:inline distT="0" distB="0" distL="0" distR="0">
            <wp:extent cx="2667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781175"/>
                    </a:xfrm>
                    <a:prstGeom prst="rect">
                      <a:avLst/>
                    </a:prstGeom>
                  </pic:spPr>
                </pic:pic>
              </a:graphicData>
            </a:graphic>
          </wp:inline>
        </w:drawing>
      </w:r>
    </w:p>
    <w:p>
      <w:pPr>
        <w:spacing w:after="60" w:before="60"/>
        <w:jc w:val="center"/>
      </w:pPr>
      <w:r>
        <w:rPr>
          <w:rFonts w:ascii="Arial" w:cs="Arial" w:eastAsia="Arial" w:hAnsi="Arial"/>
          <w:b/>
          <w:bCs/>
          <w:color w:val="1B2A4A"/>
          <w:sz w:val="36"/>
          <w:szCs w:val="36"/>
        </w:rPr>
        <w:t xml:space="preserve">Mobile Application Development Roadmap</w:t>
      </w:r>
    </w:p>
    <w:p>
      <w:pPr>
        <w:pBdr>
          <w:bottom w:val="single" w:color="00B4C8" w:sz="6" w:space="6"/>
        </w:pBdr>
        <w:spacing w:after="40" w:before="40"/>
        <w:jc w:val="center"/>
      </w:pPr>
      <w:r>
        <w:rPr>
          <w:rFonts w:ascii="Arial" w:cs="Arial" w:eastAsia="Arial" w:hAnsi="Arial"/>
          <w:i/>
          <w:iCs/>
          <w:color w:val="555555"/>
          <w:sz w:val="22"/>
          <w:szCs w:val="22"/>
        </w:rPr>
        <w:t xml:space="preserve">.NET MAUI | iOS &amp; Android | September 2026 Launch Target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7 Phases</w:t>
            </w:r>
          </w:p>
          <w:p>
            <w:pPr>
              <w:jc w:val="center"/>
            </w:pPr>
            <w:r>
              <w:rPr>
                <w:rFonts w:ascii="Arial" w:cs="Arial" w:eastAsia="Arial" w:hAnsi="Arial"/>
                <w:color w:val="AACCDD"/>
                <w:sz w:val="16"/>
                <w:szCs w:val="16"/>
              </w:rPr>
              <w:t xml:space="preserve">Development Phases</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4 Phases</w:t>
            </w:r>
          </w:p>
          <w:p>
            <w:pPr>
              <w:jc w:val="center"/>
            </w:pPr>
            <w:r>
              <w:rPr>
                <w:rFonts w:ascii="Arial" w:cs="Arial" w:eastAsia="Arial" w:hAnsi="Arial"/>
                <w:color w:val="AACCDD"/>
                <w:sz w:val="16"/>
                <w:szCs w:val="16"/>
              </w:rPr>
              <w:t>In Progress</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Sep 2026</w:t>
            </w:r>
          </w:p>
          <w:p>
            <w:pPr>
              <w:jc w:val="center"/>
            </w:pPr>
            <w:r>
              <w:rPr>
                <w:rFonts w:ascii="Arial" w:cs="Arial" w:eastAsia="Arial" w:hAnsi="Arial"/>
                <w:color w:val="AACCDD"/>
                <w:sz w:val="16"/>
                <w:szCs w:val="16"/>
              </w:rPr>
              <w:t xml:space="preserve">Public Launch Target</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iOS + Android</w:t>
            </w:r>
          </w:p>
          <w:p>
            <w:pPr>
              <w:jc w:val="center"/>
            </w:pPr>
            <w:r>
              <w:rPr>
                <w:rFonts w:ascii="Arial" w:cs="Arial" w:eastAsia="Arial" w:hAnsi="Arial"/>
                <w:color w:val="AACCDD"/>
                <w:sz w:val="16"/>
                <w:szCs w:val="16"/>
              </w:rPr>
              <w:t xml:space="preserve">Target Platforms</w:t>
            </w:r>
          </w:p>
        </w:tc>
      </w:tr>
    </w:tbl>
    <w:p>
      <w:pPr>
        <w:spacing w:after="100" w:before="0"/>
      </w:pPr>
      <w:r>
        <w:t xml:space="preserve"/>
      </w:r>
    </w:p>
    <w:p>
      <w:pPr>
        <w:spacing w:after="40" w:before="120"/>
        <w:jc w:val="center"/>
      </w:pPr>
      <w:r>
        <w:rPr>
          <w:rFonts w:ascii="Arial" w:cs="Arial" w:eastAsia="Arial" w:hAnsi="Arial"/>
          <w:i/>
          <w:iCs/>
          <w:color w:val="999999"/>
          <w:sz w:val="18"/>
          <w:szCs w:val="18"/>
        </w:rPr>
        <w:t>Confidential — Updated October 1, 2026</w:t>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Roadmap Overview</w:t>
      </w:r>
    </w:p>
    <w:p>
      <w:pPr>
        <w:spacing w:after="60" w:before="60"/>
      </w:pPr>
      <w:r>
        <w:rPr>
          <w:rFonts w:ascii="Arial" w:cs="Arial" w:eastAsia="Arial" w:hAnsi="Arial"/>
          <w:sz w:val="20"/>
          <w:szCs w:val="20"/>
        </w:rPr>
        <w:t xml:space="preserve">This document defines the development roadmap for the Vitals mobile application through public launch in September 2026. The roadmap is organized into seven sequential phases, each building on the last toward a complete, shippable product.</w:t>
      </w:r>
    </w:p>
    <w:p>
      <w:pPr>
        <w:spacing w:after="100" w:before="0"/>
      </w:pPr>
      <w:r>
        <w:t xml:space="preserve"/>
      </w:r>
    </w:p>
    <w:p>
      <w:pPr>
        <w:spacing w:after="60" w:before="60"/>
      </w:pPr>
      <w:r>
        <w:rPr>
          <w:rFonts w:ascii="Arial" w:cs="Arial" w:eastAsia="Arial" w:hAnsi="Arial"/>
          <w:sz w:val="20"/>
          <w:szCs w:val="20"/>
        </w:rPr>
        <w:t xml:space="preserve">The sequencing prioritizes user retention first — phases that create a reason to return tomorrow before phases that add clinical sophistication. The clinical visualization engine, which represents the white paper feature set and the primary physician distribution differentiator, is deliberately placed after the core user loop is complete and before authentication and payments.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040"/>
        <w:gridCol w:w="1500"/>
        <w:gridCol w:w="1500"/>
      </w:tblGrid>
      <w:tr>
        <w:tc>
          <w:tcPr>
            <w:tcW w:type="dxa" w:w="7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204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Deliverable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1</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Core Loop Complete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Dashboard screen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Apr–May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2E7D32"/>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2</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Clinical Value Layer</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Medications + Care Team + Glucose foundation</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May–Oct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In Progress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3</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PDF Export on Mobile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Physician PDF + Glucose parity</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Jun–Oct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In Progress</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4</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Clinical Visualization Engine</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Metric-specific analytics + Glucose P0</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Apr–Oct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In Progress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5</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Authentication &amp; Multi-Patient</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User accounts + family tier</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Jun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6</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Onboarding Flow</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Sample dashboard + setup</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Aug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In Progress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Stripe Integration &amp; Launch</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Payments + trial conversion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Sep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E65100"/>
                <w:sz w:val="18"/>
                <w:szCs w:val="18"/>
              </w:rPr>
              <w:t xml:space="preserve">Launch</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1</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Core Loop Complete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Apr–May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2E7D32"/>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Close the core usage loop. The user can currently select a patient and enter vitals. Phase 1 is complete when they can also see what they entered — with meaningful context. This is the feature that creates a reason to open the app tomorrow.</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Dashboard Screen — primary home screen showing:</w:t>
      </w:r>
    </w:p>
    <w:p>
      <w:pPr>
        <w:pStyle w:val="ListParagraph"/>
        <w:numPr>
          <w:ilvl w:val="0"/>
          <w:numId w:val="3"/>
        </w:numPr>
        <w:spacing w:after="30" w:before="30"/>
      </w:pPr>
      <w:r>
        <w:rPr>
          <w:rFonts w:ascii="Arial" w:cs="Arial" w:eastAsia="Arial" w:hAnsi="Arial"/>
          <w:color w:val="444444"/>
          <w:sz w:val="18"/>
          <w:szCs w:val="18"/>
        </w:rPr>
        <w:t xml:space="preserve">Latest vitals reading with timestamp</w:t>
      </w:r>
    </w:p>
    <w:p>
      <w:pPr>
        <w:pStyle w:val="ListParagraph"/>
        <w:numPr>
          <w:ilvl w:val="0"/>
          <w:numId w:val="3"/>
        </w:numPr>
        <w:spacing w:after="30" w:before="30"/>
      </w:pPr>
      <w:r>
        <w:rPr>
          <w:rFonts w:ascii="Arial" w:cs="Arial" w:eastAsia="Arial" w:hAnsi="Arial"/>
          <w:color w:val="444444"/>
          <w:sz w:val="18"/>
          <w:szCs w:val="18"/>
        </w:rPr>
        <w:t xml:space="preserve">15-day averages for each tracked metric</w:t>
      </w:r>
    </w:p>
    <w:p>
      <w:pPr>
        <w:pStyle w:val="ListParagraph"/>
        <w:numPr>
          <w:ilvl w:val="0"/>
          <w:numId w:val="3"/>
        </w:numPr>
        <w:spacing w:after="30" w:before="30"/>
      </w:pPr>
      <w:r>
        <w:rPr>
          <w:rFonts w:ascii="Arial" w:cs="Arial" w:eastAsia="Arial" w:hAnsi="Arial"/>
          <w:color w:val="444444"/>
          <w:sz w:val="18"/>
          <w:szCs w:val="18"/>
        </w:rPr>
        <w:t xml:space="preserve">Basic trend charts (line graph per vital sign)</w:t>
      </w:r>
    </w:p>
    <w:p>
      <w:pPr>
        <w:pStyle w:val="ListParagraph"/>
        <w:numPr>
          <w:ilvl w:val="0"/>
          <w:numId w:val="3"/>
        </w:numPr>
        <w:spacing w:after="30" w:before="30"/>
      </w:pPr>
      <w:r>
        <w:rPr>
          <w:rFonts w:ascii="Arial" w:cs="Arial" w:eastAsia="Arial" w:hAnsi="Arial"/>
          <w:color w:val="444444"/>
          <w:sz w:val="18"/>
          <w:szCs w:val="18"/>
        </w:rPr>
        <w:t xml:space="preserve">Quick-entry button to log new vitals</w:t>
      </w:r>
    </w:p>
    <w:p>
      <w:pPr>
        <w:pStyle w:val="ListParagraph"/>
        <w:numPr>
          <w:ilvl w:val="0"/>
          <w:numId w:val="2"/>
        </w:numPr>
        <w:spacing w:after="40" w:before="40"/>
      </w:pPr>
      <w:r>
        <w:rPr>
          <w:rFonts w:ascii="Arial" w:cs="Arial" w:eastAsia="Arial" w:hAnsi="Arial"/>
          <w:b w:val="false"/>
          <w:bCs w:val="false"/>
          <w:sz w:val="20"/>
          <w:szCs w:val="20"/>
        </w:rPr>
        <w:t xml:space="preserve">Vitals History Screen — scrollable list of past readings with date/time</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opens app and immediately sees their most recent reading and trend</w:t>
      </w:r>
    </w:p>
    <w:p>
      <w:pPr>
        <w:pStyle w:val="ListParagraph"/>
        <w:numPr>
          <w:ilvl w:val="0"/>
          <w:numId w:val="2"/>
        </w:numPr>
        <w:spacing w:after="40" w:before="40"/>
      </w:pPr>
      <w:r>
        <w:rPr>
          <w:rFonts w:ascii="Arial" w:cs="Arial" w:eastAsia="Arial" w:hAnsi="Arial"/>
          <w:b w:val="false"/>
          <w:bCs w:val="false"/>
          <w:sz w:val="20"/>
          <w:szCs w:val="20"/>
        </w:rPr>
        <w:t xml:space="preserve">Charts render correctly on both Android and iOS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between sessions</w:t>
      </w:r>
    </w:p>
    <w:p>
      <w:pPr>
        <w:pStyle w:val="ListParagraph"/>
        <w:numPr>
          <w:ilvl w:val="0"/>
          <w:numId w:val="2"/>
        </w:numPr>
        <w:spacing w:after="40" w:before="40"/>
      </w:pPr>
      <w:r>
        <w:rPr>
          <w:rFonts w:ascii="Arial" w:cs="Arial" w:eastAsia="Arial" w:hAnsi="Arial"/>
          <w:b w:val="false"/>
          <w:bCs w:val="false"/>
          <w:sz w:val="20"/>
          <w:szCs w:val="20"/>
        </w:rPr>
        <w:t xml:space="preserve">Navigation between patient selection, vitals input, and dashboard is seamless</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Without the dashboard, the app is a data entry form with no feedback loop. Users who enter data and see nothing will not return. The dashboard transforms the app from a logging tool into a health awareness tool — which is the emotional promise Vitals makes on day one.</w:t>
      </w:r>
    </w:p>
    <w:p>
      <w:pPr>
        <w:spacing w:after="100" w:before="0"/>
      </w:pPr>
      <w:r>
        <w:t xml:space="preserve"/>
      </w:r>
    </w:p>
    <w:p>
      <w:pPr>
        <w:spacing w:after="60" w:before="180"/>
      </w:pPr>
      <w:r>
        <w:rPr>
          <w:rFonts w:ascii="Arial" w:cs="Arial" w:eastAsia="Arial" w:hAnsi="Arial"/>
          <w:b/>
          <w:bCs/>
          <w:color w:val="00B4C8"/>
          <w:sz w:val="22"/>
          <w:szCs w:val="22"/>
        </w:rPr>
        <w:t xml:space="preserve">Dependencies</w:t>
      </w:r>
    </w:p>
    <w:p>
      <w:pPr>
        <w:pStyle w:val="ListParagraph"/>
        <w:numPr>
          <w:ilvl w:val="0"/>
          <w:numId w:val="2"/>
        </w:numPr>
        <w:spacing w:after="40" w:before="40"/>
      </w:pPr>
      <w:r>
        <w:rPr>
          <w:rFonts w:ascii="Arial" w:cs="Arial" w:eastAsia="Arial" w:hAnsi="Arial"/>
          <w:b w:val="false"/>
          <w:bCs w:val="false"/>
          <w:sz w:val="20"/>
          <w:szCs w:val="20"/>
        </w:rPr>
        <w:t xml:space="preserve">Vitals entry screen (complete)</w:t>
      </w:r>
    </w:p>
    <w:p>
      <w:pPr>
        <w:pStyle w:val="ListParagraph"/>
        <w:numPr>
          <w:ilvl w:val="0"/>
          <w:numId w:val="2"/>
        </w:numPr>
        <w:spacing w:after="40" w:before="40"/>
      </w:pPr>
      <w:r>
        <w:rPr>
          <w:rFonts w:ascii="Arial" w:cs="Arial" w:eastAsia="Arial" w:hAnsi="Arial"/>
          <w:b w:val="false"/>
          <w:bCs w:val="false"/>
          <w:sz w:val="20"/>
          <w:szCs w:val="20"/>
        </w:rPr>
        <w:t xml:space="preserve">Patient selection screen (complete)</w:t>
      </w:r>
    </w:p>
    <w:p>
      <w:pPr>
        <w:pStyle w:val="ListParagraph"/>
        <w:numPr>
          <w:ilvl w:val="0"/>
          <w:numId w:val="2"/>
        </w:numPr>
        <w:spacing w:after="40" w:before="40"/>
      </w:pPr>
      <w:r>
        <w:rPr>
          <w:rFonts w:ascii="Arial" w:cs="Arial" w:eastAsia="Arial" w:hAnsi="Arial"/>
          <w:b w:val="false"/>
          <w:bCs w:val="false"/>
          <w:sz w:val="20"/>
          <w:szCs w:val="20"/>
        </w:rPr>
        <w:t xml:space="preserve">FastAPI backend averages endpoints (complete)</w:t>
      </w:r>
    </w:p>
    <w:p>
      <w:pPr>
        <w:pStyle w:val="ListParagraph"/>
        <w:numPr>
          <w:ilvl w:val="0"/>
          <w:numId w:val="2"/>
        </w:numPr>
        <w:spacing w:after="40" w:before="40"/>
      </w:pPr>
      <w:r>
        <w:rPr>
          <w:rFonts w:ascii="Arial" w:cs="Arial" w:eastAsia="Arial" w:hAnsi="Arial"/>
          <w:b w:val="false"/>
          <w:bCs w:val="false"/>
          <w:sz w:val="20"/>
          <w:szCs w:val="20"/>
        </w:rPr>
        <w:t xml:space="preserve">matplotlib trend chart data available via API</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2</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Value Layer</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May–Oct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In Progress</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Add the two data modules that transform Vitals from a blood pressure tracker into a caregiver platform: medication management and care team directory. These modules populate the PDF export and are the primary features that differentiate Vitals from every competitor in the market.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Medication List Screen — view all medications for selected patient</w:t>
      </w:r>
    </w:p>
    <w:p>
      <w:pPr>
        <w:pStyle w:val="ListParagraph"/>
        <w:numPr>
          <w:ilvl w:val="0"/>
          <w:numId w:val="2"/>
        </w:numPr>
        <w:spacing w:after="40" w:before="40"/>
      </w:pPr>
      <w:r>
        <w:rPr>
          <w:rFonts w:ascii="Arial" w:cs="Arial" w:eastAsia="Arial" w:hAnsi="Arial"/>
          <w:b w:val="false"/>
          <w:bCs w:val="false"/>
          <w:sz w:val="20"/>
          <w:szCs w:val="20"/>
        </w:rPr>
        <w:t xml:space="preserve">Add/Edit Medication Screen — name, dosage, frequency, prescribing physician, pharmacy, start date</w:t>
      </w:r>
    </w:p>
    <w:p>
      <w:pPr>
        <w:pStyle w:val="ListParagraph"/>
        <w:numPr>
          <w:ilvl w:val="0"/>
          <w:numId w:val="2"/>
        </w:numPr>
        <w:spacing w:after="40" w:before="40"/>
      </w:pPr>
      <w:r>
        <w:rPr>
          <w:rFonts w:ascii="Arial" w:cs="Arial" w:eastAsia="Arial" w:hAnsi="Arial"/>
          <w:b w:val="false"/>
          <w:bCs w:val="false"/>
          <w:sz w:val="20"/>
          <w:szCs w:val="20"/>
        </w:rPr>
        <w:t xml:space="preserve">Medication History — track changes over time (critical for medication timeline in clinical visualization)</w:t>
      </w:r>
    </w:p>
    <w:p>
      <w:pPr>
        <w:pStyle w:val="ListParagraph"/>
        <w:numPr>
          <w:ilvl w:val="0"/>
          <w:numId w:val="2"/>
        </w:numPr>
        <w:spacing w:after="40" w:before="40"/>
      </w:pPr>
      <w:r>
        <w:rPr>
          <w:rFonts w:ascii="Arial" w:cs="Arial" w:eastAsia="Arial" w:hAnsi="Arial"/>
          <w:b w:val="false"/>
          <w:bCs w:val="false"/>
          <w:sz w:val="20"/>
          <w:szCs w:val="20"/>
        </w:rPr>
        <w:t xml:space="preserve">Care Team Directory Screen — list of physicians and specialists</w:t>
      </w:r>
    </w:p>
    <w:p>
      <w:pPr>
        <w:pStyle w:val="ListParagraph"/>
        <w:numPr>
          <w:ilvl w:val="0"/>
          <w:numId w:val="2"/>
        </w:numPr>
        <w:spacing w:after="40" w:before="40"/>
      </w:pPr>
      <w:r>
        <w:rPr>
          <w:rFonts w:ascii="Arial" w:cs="Arial" w:eastAsia="Arial" w:hAnsi="Arial"/>
          <w:b w:val="false"/>
          <w:bCs w:val="false"/>
          <w:sz w:val="20"/>
          <w:szCs w:val="20"/>
        </w:rPr>
        <w:t xml:space="preserve">Add/Edit Provider Screen — name, specialty, practice, phone, address, last visit, next visit</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medications with full detail</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care team members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and associates correctly with the selected patient</w:t>
      </w:r>
    </w:p>
    <w:p>
      <w:pPr>
        <w:pStyle w:val="ListParagraph"/>
        <w:numPr>
          <w:ilvl w:val="0"/>
          <w:numId w:val="2"/>
        </w:numPr>
        <w:spacing w:after="40" w:before="40"/>
      </w:pPr>
      <w:r>
        <w:rPr>
          <w:rFonts w:ascii="Arial" w:cs="Arial" w:eastAsia="Arial" w:hAnsi="Arial"/>
          <w:b w:val="false"/>
          <w:bCs w:val="false"/>
          <w:sz w:val="20"/>
          <w:szCs w:val="20"/>
        </w:rPr>
        <w:t xml:space="preserve">Medication data is available to the PDF export pipeline</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Dr. Warren's requested distribution card cannot be designed until the PDF is complete. The PDF cannot be complete until medication and care team data exist in the app. Phase 2 unblocks Phase 3, which unblocks the physician distribution strategy.</w:t>
      </w:r>
    </w:p>
    <w:p>
      <w:pPr>
        <w:spacing w:after="100" w:before="0"/>
      </w:pPr>
      <w:r>
        <w:t xml:space="preserve"/>
      </w:r>
    </w:p>
    <w:p>
      <w:pPr>
        <w:spacing w:after="60" w:before="180"/>
      </w:pPr>
      <w:r>
        <w:rPr>
          <w:rFonts w:ascii="Arial" w:cs="Arial" w:eastAsia="Arial" w:hAnsi="Arial"/>
          <w:b/>
          <w:bCs/>
          <w:color w:val="00B4C8"/>
          <w:sz w:val="22"/>
          <w:szCs w:val="22"/>
        </w:rPr>
        <w:t>Feature Status / Remaining Scope</w:t>
      </w:r>
    </w:p>
    <w:p>
      <w:pPr>
        <w:pStyle w:val="ListParagraph"/>
        <w:numPr>
          <w:ilvl w:val="0"/>
          <w:numId w:val="2"/>
        </w:numPr>
        <w:spacing w:after="40" w:before="40"/>
      </w:pPr>
      <w:r>
        <w:rPr>
          <w:rFonts w:ascii="Arial" w:cs="Arial" w:eastAsia="Arial" w:hAnsi="Arial"/>
          <w:b w:val="false"/>
          <w:bCs w:val="false"/>
          <w:sz w:val="20"/>
          <w:szCs w:val="20"/>
        </w:rPr>
        <w:t>Glucose tracking field (requested by Dr. Warren) — ✅ Numeric glucose capture is deployed in onboarding and Vitals Entry, with patient-scoped preference gating. Structured measurement context, meal metadata, source/unit provenance, invalidation, and individualized target-profile data are still in development.</w:t>
      </w:r>
    </w:p>
    <w:p>
      <w:pPr>
        <w:pStyle w:val="ListParagraph"/>
        <w:numPr>
          <w:ilvl w:val="0"/>
          <w:numId w:val="2"/>
        </w:numPr>
        <w:spacing w:after="40" w:before="40"/>
      </w:pPr>
      <w:r>
        <w:rPr>
          <w:rFonts w:ascii="Arial" w:cs="Arial" w:eastAsia="Arial" w:hAnsi="Arial"/>
          <w:b w:val="false"/>
          <w:bCs w:val="false"/>
          <w:sz w:val="20"/>
          <w:szCs w:val="20"/>
        </w:rPr>
        <w:t>Weight tracking field (requested by Amy RN) — ✅ Deployed. The current adult Weight Analysis v6 milestone is complete.</w:t>
      </w:r>
    </w:p>
    <w:p>
      <w:pPr>
        <w:pStyle w:val="ListParagraph"/>
        <w:numPr>
          <w:ilvl w:val="0"/>
          <w:numId w:val="2"/>
        </w:numPr>
        <w:spacing w:after="40" w:before="40"/>
      </w:pPr>
      <w:r>
        <w:rPr>
          <w:rFonts w:ascii="Arial" w:cs="Arial" w:eastAsia="Arial" w:hAnsi="Arial"/>
          <w:b w:val="false"/>
          <w:bCs w:val="false"/>
          <w:sz w:val="20"/>
          <w:szCs w:val="20"/>
        </w:rPr>
        <w:t xml:space="preserve">Last Visit / Next Visit fields on provider screen (requested by Amy RN)</w:t>
      </w:r>
    </w:p>
    <w:p>
      <w:pPr>
        <w:spacing w:after="60" w:before="180"/>
      </w:pPr>
      <w:r>
        <w:rPr>
          <w:rFonts w:ascii="Arial" w:cs="Arial" w:eastAsia="Arial" w:hAnsi="Arial"/>
          <w:b/>
          <w:bCs/>
          <w:color w:val="00B4C8"/>
          <w:sz w:val="22"/>
          <w:szCs w:val="22"/>
        </w:rPr>
        <w:t>Glucose Foundation — Current Deployment</w:t>
      </w:r>
    </w:p>
    <w:p>
      <w:pPr>
        <w:pStyle w:val="ListParagraph"/>
        <w:numPr>
          <w:ilvl w:val="0"/>
          <w:numId w:val="2"/>
        </w:numPr>
        <w:spacing w:after="40" w:before="40"/>
      </w:pPr>
      <w:r>
        <w:rPr>
          <w:rFonts w:ascii="Arial" w:cs="Arial" w:eastAsia="Arial" w:hAnsi="Arial"/>
          <w:b w:val="false"/>
          <w:bCs w:val="false"/>
          <w:sz w:val="20"/>
          <w:szCs w:val="20"/>
        </w:rPr>
        <w:t>The original medication-management and care-team modules are deployed and remain production-ready; Phase 2 is now kept In Progress because Glucose requires a richer clinical observation model than the current numeric blood_glucose field.</w:t>
      </w:r>
    </w:p>
    <w:p>
      <w:pPr>
        <w:pStyle w:val="ListParagraph"/>
        <w:numPr>
          <w:ilvl w:val="0"/>
          <w:numId w:val="2"/>
        </w:numPr>
        <w:spacing w:after="40" w:before="40"/>
      </w:pPr>
      <w:r>
        <w:rPr>
          <w:rFonts w:ascii="Arial" w:cs="Arial" w:eastAsia="Arial" w:hAnsi="Arial"/>
          <w:b w:val="false"/>
          <w:bCs w:val="false"/>
          <w:sz w:val="20"/>
          <w:szCs w:val="20"/>
        </w:rPr>
        <w:t>Deployed today: blood glucose can be entered during onboarding and normal Vitals Entry, stored with the patient’s vital record, surfaced in Dashboard/History/Vitals Analysis/PDF when the selected patient has Glucose enabled, and hidden consistently when the patient preference is off.</w:t>
      </w:r>
    </w:p>
    <w:p>
      <w:pPr>
        <w:pStyle w:val="ListParagraph"/>
        <w:numPr>
          <w:ilvl w:val="0"/>
          <w:numId w:val="2"/>
        </w:numPr>
        <w:spacing w:after="40" w:before="40"/>
      </w:pPr>
      <w:r>
        <w:rPr>
          <w:rFonts w:ascii="Arial" w:cs="Arial" w:eastAsia="Arial" w:hAnsi="Arial"/>
          <w:b w:val="false"/>
          <w:bCs w:val="false"/>
          <w:sz w:val="20"/>
          <w:szCs w:val="20"/>
        </w:rPr>
        <w:t>The patient-scoped show_glucose preference now persists through dedicated patient vital-preference endpoints. Local UI cache is updated only after server confirmation, so the Settings switch and database state remain synchronized.</w:t>
      </w:r>
    </w:p>
    <w:p>
      <w:pPr>
        <w:pStyle w:val="ListParagraph"/>
        <w:numPr>
          <w:ilvl w:val="0"/>
          <w:numId w:val="2"/>
        </w:numPr>
        <w:spacing w:after="40" w:before="40"/>
      </w:pPr>
      <w:r>
        <w:rPr>
          <w:rFonts w:ascii="Arial" w:cs="Arial" w:eastAsia="Arial" w:hAnsi="Arial"/>
          <w:b w:val="false"/>
          <w:bCs w:val="false"/>
          <w:sz w:val="20"/>
          <w:szCs w:val="20"/>
        </w:rPr>
        <w:t>Current limitation: the stored Glucose record does not yet capture fasting/pre-meal/post-meal/bedtime/random context, meal type, minutes after meal, meal_event_id, source type/device, original unit provenance, invalidation state, or a patient-specific glucose target profile.</w:t>
      </w:r>
    </w:p>
    <w:p>
      <w:pPr>
        <w:spacing w:after="60" w:before="180"/>
      </w:pPr>
      <w:r>
        <w:rPr>
          <w:rFonts w:ascii="Arial" w:cs="Arial" w:eastAsia="Arial" w:hAnsi="Arial"/>
          <w:b/>
          <w:bCs/>
          <w:color w:val="00B4C8"/>
          <w:sz w:val="22"/>
          <w:szCs w:val="22"/>
        </w:rPr>
        <w:t>Phase 2 Glucose Work Still Required</w:t>
      </w:r>
    </w:p>
    <w:p>
      <w:pPr>
        <w:pStyle w:val="ListParagraph"/>
        <w:numPr>
          <w:ilvl w:val="0"/>
          <w:numId w:val="2"/>
        </w:numPr>
        <w:spacing w:after="40" w:before="40"/>
      </w:pPr>
      <w:r>
        <w:rPr>
          <w:rFonts w:ascii="Arial" w:cs="Arial" w:eastAsia="Arial" w:hAnsi="Arial"/>
          <w:b w:val="false"/>
          <w:bCs w:val="false"/>
          <w:sz w:val="20"/>
          <w:szCs w:val="20"/>
        </w:rPr>
        <w:t>Extend the glucose observation schema so existing numeric readings remain valid while new context/source fields are added as nullable/compatible migration fields.</w:t>
      </w:r>
    </w:p>
    <w:p>
      <w:pPr>
        <w:pStyle w:val="ListParagraph"/>
        <w:numPr>
          <w:ilvl w:val="0"/>
          <w:numId w:val="2"/>
        </w:numPr>
        <w:spacing w:after="40" w:before="40"/>
      </w:pPr>
      <w:r>
        <w:rPr>
          <w:rFonts w:ascii="Arial" w:cs="Arial" w:eastAsia="Arial" w:hAnsi="Arial"/>
          <w:b w:val="false"/>
          <w:bCs w:val="false"/>
          <w:sz w:val="20"/>
          <w:szCs w:val="20"/>
        </w:rPr>
        <w:t>Add the measurement-context enum: fasting, pre_meal, post_meal, bedtime, random, and other. Unknown context must remain explicit rather than inferred.</w:t>
      </w:r>
    </w:p>
    <w:p>
      <w:pPr>
        <w:pStyle w:val="ListParagraph"/>
        <w:numPr>
          <w:ilvl w:val="0"/>
          <w:numId w:val="2"/>
        </w:numPr>
        <w:spacing w:after="40" w:before="40"/>
      </w:pPr>
      <w:r>
        <w:rPr>
          <w:rFonts w:ascii="Arial" w:cs="Arial" w:eastAsia="Arial" w:hAnsi="Arial"/>
          <w:b w:val="false"/>
          <w:bCs w:val="false"/>
          <w:sz w:val="20"/>
          <w:szCs w:val="20"/>
        </w:rPr>
        <w:t>Add meal metadata needed for safe pre/post pairing: meal_type, optional meal_event_id, and minutes_after_meal.</w:t>
      </w:r>
    </w:p>
    <w:p>
      <w:pPr>
        <w:pStyle w:val="ListParagraph"/>
        <w:numPr>
          <w:ilvl w:val="0"/>
          <w:numId w:val="2"/>
        </w:numPr>
        <w:spacing w:after="40" w:before="40"/>
      </w:pPr>
      <w:r>
        <w:rPr>
          <w:rFonts w:ascii="Arial" w:cs="Arial" w:eastAsia="Arial" w:hAnsi="Arial"/>
          <w:b w:val="false"/>
          <w:bCs w:val="false"/>
          <w:sz w:val="20"/>
          <w:szCs w:val="20"/>
        </w:rPr>
        <w:t>Add source_type and original-value/unit provenance so manual/BGM/CGM/import sources can be capability-gated without losing source fidelity.</w:t>
      </w:r>
    </w:p>
    <w:p>
      <w:pPr>
        <w:pStyle w:val="ListParagraph"/>
        <w:numPr>
          <w:ilvl w:val="0"/>
          <w:numId w:val="2"/>
        </w:numPr>
        <w:spacing w:after="40" w:before="40"/>
      </w:pPr>
      <w:r>
        <w:rPr>
          <w:rFonts w:ascii="Arial" w:cs="Arial" w:eastAsia="Arial" w:hAnsi="Arial"/>
          <w:b w:val="false"/>
          <w:bCs w:val="false"/>
          <w:sz w:val="20"/>
          <w:szCs w:val="20"/>
        </w:rPr>
        <w:t>Add is_invalidated semantics so a user can exclude a bad reading from analysis without deleting the audit history.</w:t>
      </w:r>
    </w:p>
    <w:p>
      <w:pPr>
        <w:pStyle w:val="ListParagraph"/>
        <w:numPr>
          <w:ilvl w:val="0"/>
          <w:numId w:val="2"/>
        </w:numPr>
        <w:spacing w:after="40" w:before="40"/>
      </w:pPr>
      <w:r>
        <w:rPr>
          <w:rFonts w:ascii="Arial" w:cs="Arial" w:eastAsia="Arial" w:hAnsi="Arial"/>
          <w:b w:val="false"/>
          <w:bCs w:val="false"/>
          <w:sz w:val="20"/>
          <w:szCs w:val="20"/>
        </w:rPr>
        <w:t>Add a patient Glucose target profile for context-specific goals. Target interpretation must remain configurable and must not silently apply one universal range to every patient.</w:t>
      </w:r>
    </w:p>
    <w:p>
      <w:pPr>
        <w:pStyle w:val="ListParagraph"/>
        <w:numPr>
          <w:ilvl w:val="0"/>
          <w:numId w:val="2"/>
        </w:numPr>
        <w:spacing w:after="40" w:before="40"/>
      </w:pPr>
      <w:r>
        <w:rPr>
          <w:rFonts w:ascii="Arial" w:cs="Arial" w:eastAsia="Arial" w:hAnsi="Arial"/>
          <w:b w:val="false"/>
          <w:bCs w:val="false"/>
          <w:sz w:val="20"/>
          <w:szCs w:val="20"/>
        </w:rPr>
        <w:t>Add dated laboratory A1C record support as a separate clinical datum; it must never be inferred from sparse manual glucose readings.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3</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PDF Export on Mobile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Jun–Oct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In Progress</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Bring the physician-grade PDF export — already validated by six healthcare professionals — to the mobile application. This is the killer feature and the primary physician distribution tool. Dr. Warren cannot hand out distribution cards until the PDF works on mobile.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PDF generation triggered from mobile app</w:t>
      </w:r>
    </w:p>
    <w:p>
      <w:pPr>
        <w:pStyle w:val="ListParagraph"/>
        <w:numPr>
          <w:ilvl w:val="0"/>
          <w:numId w:val="2"/>
        </w:numPr>
        <w:spacing w:after="40" w:before="40"/>
      </w:pPr>
      <w:r>
        <w:rPr>
          <w:rFonts w:ascii="Arial" w:cs="Arial" w:eastAsia="Arial" w:hAnsi="Arial"/>
          <w:b w:val="false"/>
          <w:bCs w:val="false"/>
          <w:sz w:val="20"/>
          <w:szCs w:val="20"/>
        </w:rPr>
        <w:t xml:space="preserve">Output includes: latest vitals, 15/30/45/60-day averages, basic trend charts, medication list, care team directory with contacts</w:t>
      </w:r>
    </w:p>
    <w:p>
      <w:pPr>
        <w:pStyle w:val="ListParagraph"/>
        <w:numPr>
          <w:ilvl w:val="0"/>
          <w:numId w:val="2"/>
        </w:numPr>
        <w:spacing w:after="40" w:before="40"/>
      </w:pPr>
      <w:r>
        <w:rPr>
          <w:rFonts w:ascii="Arial" w:cs="Arial" w:eastAsia="Arial" w:hAnsi="Arial"/>
          <w:b w:val="false"/>
          <w:bCs w:val="false"/>
          <w:sz w:val="20"/>
          <w:szCs w:val="20"/>
        </w:rPr>
        <w:t xml:space="preserve">Share sheet integration — share PDF via email, Messages, AirDrop, or save to Files</w:t>
      </w:r>
    </w:p>
    <w:p>
      <w:pPr>
        <w:pStyle w:val="ListParagraph"/>
        <w:numPr>
          <w:ilvl w:val="0"/>
          <w:numId w:val="2"/>
        </w:numPr>
        <w:spacing w:after="40" w:before="40"/>
      </w:pPr>
      <w:r>
        <w:rPr>
          <w:rFonts w:ascii="Arial" w:cs="Arial" w:eastAsia="Arial" w:hAnsi="Arial"/>
          <w:b w:val="false"/>
          <w:bCs w:val="false"/>
          <w:sz w:val="20"/>
          <w:szCs w:val="20"/>
        </w:rPr>
        <w:t xml:space="preserve">PDF branded with Vitals logo and vitals-wellness.com</w:t>
      </w:r>
    </w:p>
    <w:p>
      <w:pPr>
        <w:pStyle w:val="ListParagraph"/>
        <w:numPr>
          <w:ilvl w:val="0"/>
          <w:numId w:val="2"/>
        </w:numPr>
        <w:spacing w:after="40" w:before="40"/>
      </w:pPr>
      <w:r>
        <w:rPr>
          <w:rFonts w:ascii="Arial" w:cs="Arial" w:eastAsia="Arial" w:hAnsi="Arial"/>
          <w:b w:val="false"/>
          <w:bCs w:val="false"/>
          <w:sz w:val="20"/>
          <w:szCs w:val="20"/>
        </w:rPr>
        <w:t xml:space="preserve">Vitals Analysis parity in PDF: metric-specific analysis sections use the same backend contracts as the mobile Analysis view; Weight v6 includes current BMI, dated-height provenance, historical BMI, sparse-snapshot handling, trend/variation/data-support output — </w:t>
      </w:r>
      <w:r>
        <w:rPr>
          <w:rFonts w:ascii="Arial" w:cs="Arial" w:eastAsia="Arial" w:hAnsi="Arial"/>
          <w:b/>
          <w:bCs/>
          <w:color w:val="2E7D32"/>
          <w:sz w:val="20"/>
          <w:szCs w:val="20"/>
        </w:rPr>
        <w:t>✅ Deployed Oct 1, 2026</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taps 'Generate PDF' and receives a complete clinical summary document</w:t>
      </w:r>
    </w:p>
    <w:p>
      <w:pPr>
        <w:pStyle w:val="ListParagraph"/>
        <w:numPr>
          <w:ilvl w:val="0"/>
          <w:numId w:val="2"/>
        </w:numPr>
        <w:spacing w:after="40" w:before="40"/>
      </w:pPr>
      <w:r>
        <w:rPr>
          <w:rFonts w:ascii="Arial" w:cs="Arial" w:eastAsia="Arial" w:hAnsi="Arial"/>
          <w:b w:val="false"/>
          <w:bCs w:val="false"/>
          <w:sz w:val="20"/>
          <w:szCs w:val="20"/>
        </w:rPr>
        <w:t xml:space="preserve">PDF renders correctly and professionally on all devices</w:t>
      </w:r>
    </w:p>
    <w:p>
      <w:pPr>
        <w:pStyle w:val="ListParagraph"/>
        <w:numPr>
          <w:ilvl w:val="0"/>
          <w:numId w:val="2"/>
        </w:numPr>
        <w:spacing w:after="40" w:before="40"/>
      </w:pPr>
      <w:r>
        <w:rPr>
          <w:rFonts w:ascii="Arial" w:cs="Arial" w:eastAsia="Arial" w:hAnsi="Arial"/>
          <w:b w:val="false"/>
          <w:bCs w:val="false"/>
          <w:sz w:val="20"/>
          <w:szCs w:val="20"/>
        </w:rPr>
        <w:t xml:space="preserve">PDF can be shared directly from the app via native share sheet</w:t>
      </w:r>
    </w:p>
    <w:p>
      <w:pPr>
        <w:pStyle w:val="ListParagraph"/>
        <w:numPr>
          <w:ilvl w:val="0"/>
          <w:numId w:val="2"/>
        </w:numPr>
        <w:spacing w:after="40" w:before="40"/>
      </w:pPr>
      <w:r>
        <w:rPr>
          <w:rFonts w:ascii="Arial" w:cs="Arial" w:eastAsia="Arial" w:hAnsi="Arial"/>
          <w:b w:val="false"/>
          <w:bCs w:val="false"/>
          <w:sz w:val="20"/>
          <w:szCs w:val="20"/>
        </w:rPr>
        <w:t xml:space="preserve">Output is consistent with the PDF already validated by Dr. Warren, Dr. Martinez, and other clinical endorsers</w:t>
      </w:r>
    </w:p>
    <w:p>
      <w:pPr>
        <w:pStyle w:val="ListParagraph"/>
        <w:numPr>
          <w:ilvl w:val="0"/>
          <w:numId w:val="2"/>
        </w:numPr>
        <w:spacing w:after="40" w:before="40"/>
      </w:pPr>
      <w:r>
        <w:rPr>
          <w:rFonts w:ascii="Arial" w:cs="Arial" w:eastAsia="Arial" w:hAnsi="Arial"/>
          <w:b w:val="false"/>
          <w:bCs w:val="false"/>
          <w:sz w:val="20"/>
          <w:szCs w:val="20"/>
        </w:rPr>
        <w:t>Phase 3 remains In Progress until the manual/BGM Glucose P0 analysis is rendered in the clinician PDF from the shared backend contract and passes app/PDF parity smoke testing.</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The PDF is what every physician who has seen Vitals has reacted to. It is the feature that gets scanned into official medical charts, shared with colleagues, and described as 'hospital grade.' Without it on mobile, Vitals is just another BP app. With it, Vitals is the tool Dr. Warren hands to her patients.</w:t>
      </w:r>
    </w:p>
    <w:p>
      <w:pPr>
        <w:spacing w:after="100" w:before="0"/>
      </w:pPr>
      <w:r>
        <w:t xml:space="preserve"/>
      </w:r>
    </w:p>
    <w:p>
      <w:pPr>
        <w:spacing w:after="60" w:before="180"/>
      </w:pPr>
      <w:r>
        <w:rPr>
          <w:rFonts w:ascii="Arial" w:cs="Arial" w:eastAsia="Arial" w:hAnsi="Arial"/>
          <w:b/>
          <w:bCs/>
          <w:color w:val="00B4C8"/>
          <w:sz w:val="22"/>
          <w:szCs w:val="22"/>
        </w:rPr>
        <w:t xml:space="preserve">Distribution Card Dependency</w:t>
      </w:r>
    </w:p>
    <w:p>
      <w:pPr>
        <w:spacing w:after="60" w:before="60"/>
      </w:pPr>
      <w:r>
        <w:rPr>
          <w:rFonts w:ascii="Arial" w:cs="Arial" w:eastAsia="Arial" w:hAnsi="Arial"/>
          <w:sz w:val="20"/>
          <w:szCs w:val="20"/>
        </w:rPr>
        <w:t xml:space="preserve">Once Phase 3 is complete, the Dr. Warren distribution card can be designed and printed. The card requires: a working app in the App Store and Google Play, a QR code linking to the 90-day free trial, and the PDF export as the demonstrated value proposition. Phase 3 completion triggers the distribution card sprint.</w:t>
      </w:r>
    </w:p>
    <w:p>
      <w:pPr>
        <w:spacing w:after="60" w:before="180"/>
      </w:pPr>
      <w:r>
        <w:rPr>
          <w:rFonts w:ascii="Arial" w:cs="Arial" w:eastAsia="Arial" w:hAnsi="Arial"/>
          <w:b/>
          <w:bCs/>
          <w:color w:val="00B4C8"/>
          <w:sz w:val="22"/>
          <w:szCs w:val="22"/>
        </w:rPr>
        <w:t>Glucose PDF Status — In Progress</w:t>
      </w:r>
    </w:p>
    <w:p>
      <w:pPr>
        <w:pStyle w:val="ListParagraph"/>
        <w:numPr>
          <w:ilvl w:val="0"/>
          <w:numId w:val="2"/>
        </w:numPr>
        <w:spacing w:after="40" w:before="40"/>
      </w:pPr>
      <w:r>
        <w:rPr>
          <w:rFonts w:ascii="Arial" w:cs="Arial" w:eastAsia="Arial" w:hAnsi="Arial"/>
          <w:b w:val="false"/>
          <w:bCs w:val="false"/>
          <w:sz w:val="20"/>
          <w:szCs w:val="20"/>
        </w:rPr>
        <w:t>Core mobile PDF generation, native sharing, medications, care team, historical vitals, and the already-deployed metric-specific analysis sections are operational. Weight v6 now has full mobile/PDF contract parity.</w:t>
      </w:r>
    </w:p>
    <w:p>
      <w:pPr>
        <w:pStyle w:val="ListParagraph"/>
        <w:numPr>
          <w:ilvl w:val="0"/>
          <w:numId w:val="2"/>
        </w:numPr>
        <w:spacing w:after="40" w:before="40"/>
      </w:pPr>
      <w:r>
        <w:rPr>
          <w:rFonts w:ascii="Arial" w:cs="Arial" w:eastAsia="Arial" w:hAnsi="Arial"/>
          <w:b w:val="false"/>
          <w:bCs w:val="false"/>
          <w:sz w:val="20"/>
          <w:szCs w:val="20"/>
        </w:rPr>
        <w:t>Glucose is already preference-gated in the clinician PDF. When enabled and data exists, the PDF includes the latest Glucose value, logged-period average, historical table values, a raw Blood Glucose chart, and a descriptive “Blood Glucose Clinical Analysis” block from the same backend cache used by Vitals Analysis.</w:t>
      </w:r>
    </w:p>
    <w:p>
      <w:pPr>
        <w:pStyle w:val="ListParagraph"/>
        <w:numPr>
          <w:ilvl w:val="0"/>
          <w:numId w:val="2"/>
        </w:numPr>
        <w:spacing w:after="40" w:before="40"/>
      </w:pPr>
      <w:r>
        <w:rPr>
          <w:rFonts w:ascii="Arial" w:cs="Arial" w:eastAsia="Arial" w:hAnsi="Arial"/>
          <w:b w:val="false"/>
          <w:bCs w:val="false"/>
          <w:sz w:val="20"/>
          <w:szCs w:val="20"/>
        </w:rPr>
        <w:t>The current Glucose chart intentionally does not smooth the raw values. The PDF explicitly states that fasting/post-meal/random context is not collected, so it does not infer one continuous clinical trajectory across mixed measurement states.</w:t>
      </w:r>
    </w:p>
    <w:p>
      <w:pPr>
        <w:pStyle w:val="ListParagraph"/>
        <w:numPr>
          <w:ilvl w:val="0"/>
          <w:numId w:val="2"/>
        </w:numPr>
        <w:spacing w:after="40" w:before="40"/>
      </w:pPr>
      <w:r>
        <w:rPr>
          <w:rFonts w:ascii="Arial" w:cs="Arial" w:eastAsia="Arial" w:hAnsi="Arial"/>
          <w:b w:val="false"/>
          <w:bCs w:val="false"/>
          <w:sz w:val="20"/>
          <w:szCs w:val="20"/>
        </w:rPr>
        <w:t>The current Glucose PDF analysis is descriptive only: latest value, mean/median/min/max, reading count/data-support state, and unavailable-analysis explanations. It does not yet classify against a target range or claim a longitudinal trend.</w:t>
      </w:r>
    </w:p>
    <w:p>
      <w:pPr>
        <w:spacing w:after="60" w:before="180"/>
      </w:pPr>
      <w:r>
        <w:rPr>
          <w:rFonts w:ascii="Arial" w:cs="Arial" w:eastAsia="Arial" w:hAnsi="Arial"/>
          <w:b/>
          <w:bCs/>
          <w:color w:val="00B4C8"/>
          <w:sz w:val="22"/>
          <w:szCs w:val="22"/>
        </w:rPr>
        <w:t>Glucose PDF Work Still Required Before Phase 3 Completion</w:t>
      </w:r>
    </w:p>
    <w:p>
      <w:pPr>
        <w:pStyle w:val="ListParagraph"/>
        <w:numPr>
          <w:ilvl w:val="0"/>
          <w:numId w:val="2"/>
        </w:numPr>
        <w:spacing w:after="40" w:before="40"/>
      </w:pPr>
      <w:r>
        <w:rPr>
          <w:rFonts w:ascii="Arial" w:cs="Arial" w:eastAsia="Arial" w:hAnsi="Arial"/>
          <w:b w:val="false"/>
          <w:bCs w:val="false"/>
          <w:sz w:val="20"/>
          <w:szCs w:val="20"/>
        </w:rPr>
        <w:t>Replace the generic descriptive Glucose block with the dedicated context-aware P0 Glucose contract once the observation model and analysis engine are implemented.</w:t>
      </w:r>
    </w:p>
    <w:p>
      <w:pPr>
        <w:pStyle w:val="ListParagraph"/>
        <w:numPr>
          <w:ilvl w:val="0"/>
          <w:numId w:val="2"/>
        </w:numPr>
        <w:spacing w:after="40" w:before="40"/>
      </w:pPr>
      <w:r>
        <w:rPr>
          <w:rFonts w:ascii="Arial" w:cs="Arial" w:eastAsia="Arial" w:hAnsi="Arial"/>
          <w:b w:val="false"/>
          <w:bCs w:val="false"/>
          <w:sz w:val="20"/>
          <w:szCs w:val="20"/>
        </w:rPr>
        <w:t>Render measurement context/source alongside the latest reading and summaries so fasting, pre-meal, post-meal, bedtime, random, and unknown readings are auditable in the report.</w:t>
      </w:r>
    </w:p>
    <w:p>
      <w:pPr>
        <w:pStyle w:val="ListParagraph"/>
        <w:numPr>
          <w:ilvl w:val="0"/>
          <w:numId w:val="2"/>
        </w:numPr>
        <w:spacing w:after="40" w:before="40"/>
      </w:pPr>
      <w:r>
        <w:rPr>
          <w:rFonts w:ascii="Arial" w:cs="Arial" w:eastAsia="Arial" w:hAnsi="Arial"/>
          <w:b w:val="false"/>
          <w:bCs w:val="false"/>
          <w:sz w:val="20"/>
          <w:szCs w:val="20"/>
        </w:rPr>
        <w:t>Add context-specific averages and trends, low/out-of-target event counts, Logged Readings in Target, meal-response excursions, variability, time-of-day patterns, medication-change comparisons, and data-sufficiency reason codes when each block is eligible.</w:t>
      </w:r>
    </w:p>
    <w:p>
      <w:pPr>
        <w:pStyle w:val="ListParagraph"/>
        <w:numPr>
          <w:ilvl w:val="0"/>
          <w:numId w:val="2"/>
        </w:numPr>
        <w:spacing w:after="40" w:before="40"/>
      </w:pPr>
      <w:r>
        <w:rPr>
          <w:rFonts w:ascii="Arial" w:cs="Arial" w:eastAsia="Arial" w:hAnsi="Arial"/>
          <w:b w:val="false"/>
          <w:bCs w:val="false"/>
          <w:sz w:val="20"/>
          <w:szCs w:val="20"/>
        </w:rPr>
        <w:t>Keep manual/BGM “Logged Readings in Target” separate from CGM “Time in Range.” Sparse manual readings must never be labeled TIR.</w:t>
      </w:r>
    </w:p>
    <w:p>
      <w:pPr>
        <w:pStyle w:val="ListParagraph"/>
        <w:numPr>
          <w:ilvl w:val="0"/>
          <w:numId w:val="2"/>
        </w:numPr>
        <w:spacing w:after="40" w:before="40"/>
      </w:pPr>
      <w:r>
        <w:rPr>
          <w:rFonts w:ascii="Arial" w:cs="Arial" w:eastAsia="Arial" w:hAnsi="Arial"/>
          <w:b w:val="false"/>
          <w:bCs w:val="false"/>
          <w:sz w:val="20"/>
          <w:szCs w:val="20"/>
        </w:rPr>
        <w:t>Preserve mobile/PDF parity: the PDF must consume the same Glucose result contract and rounding/eligibility rules as Vitals Analysis rather than reimplementing independent calculations.</w:t>
      </w:r>
    </w:p>
    <w:p>
      <w:pPr>
        <w:pStyle w:val="ListParagraph"/>
        <w:numPr>
          <w:ilvl w:val="0"/>
          <w:numId w:val="2"/>
        </w:numPr>
        <w:spacing w:after="40" w:before="40"/>
      </w:pPr>
      <w:r>
        <w:rPr>
          <w:rFonts w:ascii="Arial" w:cs="Arial" w:eastAsia="Arial" w:hAnsi="Arial"/>
          <w:b w:val="false"/>
          <w:bCs w:val="false"/>
          <w:sz w:val="20"/>
          <w:szCs w:val="20"/>
        </w:rPr>
        <w:t>CGM-only outputs — qualified coverage, mean CGM glucose, GMI, TIR/TAR/TBR, CGM CV, episode patterns, and GMI-vs-lab-A1C — remain capability-gated future work and do not block the initial manual/BGM P0 Glucose milestone unless launch scope is expanded.</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4</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Visualization Engine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Jun–Oct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In Progress</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the mathematical visualization layer that elevates Vitals from a well-designed consumer app to a clinically rigorous platform. This is the white paper feature set — the capability that enables physician co-authorship, journal submission, and the physician distribution network.</w:t>
      </w:r>
    </w:p>
    <w:p>
      <w:pPr>
        <w:spacing w:after="100" w:before="0"/>
      </w:pPr>
      <w:r>
        <w:t xml:space="preserve"/>
      </w:r>
    </w:p>
    <w:p>
      <w:pPr>
        <w:spacing w:after="60" w:before="180"/>
      </w:pPr>
      <w:r>
        <w:rPr>
          <w:rFonts w:ascii="Arial" w:cs="Arial" w:eastAsia="Arial" w:hAnsi="Arial"/>
          <w:b/>
          <w:bCs/>
          <w:color w:val="00B4C8"/>
          <w:sz w:val="22"/>
          <w:szCs w:val="22"/>
        </w:rPr>
        <w:t xml:space="preserve">Mathematical Framework — Four Layers</w:t>
      </w:r>
    </w:p>
    <w:p>
      <w:pPr>
        <w:pStyle w:val="ListParagraph"/>
        <w:numPr>
          <w:ilvl w:val="0"/>
          <w:numId w:val="2"/>
        </w:numPr>
        <w:spacing w:after="40" w:before="40"/>
      </w:pPr>
      <w:r>
        <w:rPr>
          <w:rFonts w:ascii="Arial" w:cs="Arial" w:eastAsia="Arial" w:hAnsi="Arial"/>
          <w:b w:val="false"/>
          <w:bCs w:val="false"/>
          <w:sz w:val="20"/>
          <w:szCs w:val="20"/>
        </w:rPr>
        <w:t xml:space="preserve">Layer 1 — LOESS Smoothing: Locally Weighted Scatterplot Smoothing applied to raw vital sign data. Produces a smooth trend curve that eliminates measurement noise while preserving clinically relevant patterns. Validated by Shaffer et al. (2019) and Koopman et al. (2020).</w:t>
      </w:r>
    </w:p>
    <w:p>
      <w:pPr>
        <w:pStyle w:val="ListParagraph"/>
        <w:numPr>
          <w:ilvl w:val="0"/>
          <w:numId w:val="2"/>
        </w:numPr>
        <w:spacing w:after="40" w:before="40"/>
      </w:pPr>
      <w:r>
        <w:rPr>
          <w:rFonts w:ascii="Arial" w:cs="Arial" w:eastAsia="Arial" w:hAnsi="Arial"/>
          <w:b w:val="false"/>
          <w:bCs w:val="false"/>
          <w:sz w:val="20"/>
          <w:szCs w:val="20"/>
        </w:rPr>
        <w:t xml:space="preserve">Layer 2 — OLS Linear Regression with Statistical Significance: Slope coefficient (mmHg/day), R-squared (trend consistency/variability indicator), p-value (whether trend is statistically significant or noise). Applied across 7, 15, 30, 45, 60-day windows.</w:t>
      </w:r>
    </w:p>
    <w:p>
      <w:pPr>
        <w:pStyle w:val="ListParagraph"/>
        <w:numPr>
          <w:ilvl w:val="0"/>
          <w:numId w:val="2"/>
        </w:numPr>
        <w:spacing w:after="40" w:before="40"/>
      </w:pPr>
      <w:r>
        <w:rPr>
          <w:rFonts w:ascii="Arial" w:cs="Arial" w:eastAsia="Arial" w:hAnsi="Arial"/>
          <w:b w:val="false"/>
          <w:bCs w:val="false"/>
          <w:sz w:val="20"/>
          <w:szCs w:val="20"/>
        </w:rPr>
        <w:t xml:space="preserve">Layer 3 — First and Second Order Derivatives: Finite difference approximations. First derivative = rate of change. Second derivative = acceleration of change. Detects medication losing effectiveness before averages show it.</w:t>
      </w:r>
    </w:p>
    <w:p>
      <w:pPr>
        <w:pStyle w:val="ListParagraph"/>
        <w:numPr>
          <w:ilvl w:val="0"/>
          <w:numId w:val="2"/>
        </w:numPr>
        <w:spacing w:after="40" w:before="40"/>
      </w:pPr>
      <w:r>
        <w:rPr>
          <w:rFonts w:ascii="Arial" w:cs="Arial" w:eastAsia="Arial" w:hAnsi="Arial"/>
          <w:b w:val="false"/>
          <w:bCs w:val="false"/>
          <w:sz w:val="20"/>
          <w:szCs w:val="20"/>
        </w:rPr>
        <w:t xml:space="preserve">Layer 4 — Trapezoidal Integration: Area under the curve = cumulative BP burden over time. More predictive of end-organ damage than average readings alone.</w:t>
      </w:r>
    </w:p>
    <w:p>
      <w:pPr>
        <w:spacing w:after="100" w:before="0"/>
      </w:pPr>
      <w:r>
        <w:t xml:space="preserve"/>
      </w:r>
    </w:p>
    <w:p>
      <w:pPr>
        <w:spacing w:after="60" w:before="180"/>
      </w:pPr>
      <w:r>
        <w:rPr>
          <w:rFonts w:ascii="Arial" w:cs="Arial" w:eastAsia="Arial" w:hAnsi="Arial"/>
          <w:b/>
          <w:bCs/>
          <w:color w:val="00B4C8"/>
          <w:sz w:val="22"/>
          <w:szCs w:val="22"/>
        </w:rPr>
        <w:t xml:space="preserve">Visual Presentation Layer</w:t>
      </w:r>
    </w:p>
    <w:p>
      <w:pPr>
        <w:pStyle w:val="ListParagraph"/>
        <w:numPr>
          <w:ilvl w:val="0"/>
          <w:numId w:val="2"/>
        </w:numPr>
        <w:spacing w:after="40" w:before="40"/>
      </w:pPr>
      <w:r>
        <w:rPr>
          <w:rFonts w:ascii="Arial" w:cs="Arial" w:eastAsia="Arial" w:hAnsi="Arial"/>
          <w:b w:val="false"/>
          <w:bCs w:val="false"/>
          <w:sz w:val="20"/>
          <w:szCs w:val="20"/>
        </w:rPr>
        <w:t xml:space="preserve">Smoothed LOESS curve overlaid on raw scatter points with confidence interval shading</w:t>
      </w:r>
    </w:p>
    <w:p>
      <w:pPr>
        <w:pStyle w:val="ListParagraph"/>
        <w:numPr>
          <w:ilvl w:val="0"/>
          <w:numId w:val="2"/>
        </w:numPr>
        <w:spacing w:after="40" w:before="40"/>
      </w:pPr>
      <w:r>
        <w:rPr>
          <w:rFonts w:ascii="Arial" w:cs="Arial" w:eastAsia="Arial" w:hAnsi="Arial"/>
          <w:b w:val="false"/>
          <w:bCs w:val="false"/>
          <w:sz w:val="20"/>
          <w:szCs w:val="20"/>
        </w:rPr>
        <w:t xml:space="preserve">Goal range bands: Normal (&lt;120/80 green), Elevated (120-129 yellow), Stage 1 (130-139 orange), Stage 2 (140+ red). ACC/AHA guidelines. Customizable per patient.</w:t>
      </w:r>
    </w:p>
    <w:p>
      <w:pPr>
        <w:pStyle w:val="ListParagraph"/>
        <w:numPr>
          <w:ilvl w:val="0"/>
          <w:numId w:val="2"/>
        </w:numPr>
        <w:spacing w:after="40" w:before="40"/>
      </w:pPr>
      <w:r>
        <w:rPr>
          <w:rFonts w:ascii="Arial" w:cs="Arial" w:eastAsia="Arial" w:hAnsi="Arial"/>
          <w:b w:val="false"/>
          <w:bCs w:val="false"/>
          <w:sz w:val="20"/>
          <w:szCs w:val="20"/>
        </w:rPr>
        <w:t xml:space="preserve">Medication timeline: Horizontal bar chart below the BP chart. Correlates medication changes with BP response.</w:t>
      </w:r>
    </w:p>
    <w:p>
      <w:pPr>
        <w:pStyle w:val="ListParagraph"/>
        <w:numPr>
          <w:ilvl w:val="0"/>
          <w:numId w:val="2"/>
        </w:numPr>
        <w:spacing w:after="40" w:before="40"/>
      </w:pPr>
      <w:r>
        <w:rPr>
          <w:rFonts w:ascii="Arial" w:cs="Arial" w:eastAsia="Arial" w:hAnsi="Arial"/>
          <w:b w:val="false"/>
          <w:bCs w:val="false"/>
          <w:sz w:val="20"/>
          <w:szCs w:val="20"/>
        </w:rPr>
        <w:t xml:space="preserve">Annotations: Date-stamped notes on chart. Patient-entered and auto-generated from medication history.</w:t>
      </w:r>
    </w:p>
    <w:p>
      <w:pPr>
        <w:spacing w:after="100" w:before="0"/>
      </w:pPr>
      <w:r>
        <w:t xml:space="preserve"/>
      </w:r>
    </w:p>
    <w:p>
      <w:pPr>
        <w:spacing w:after="60" w:before="180"/>
      </w:pPr>
      <w:r>
        <w:rPr>
          <w:rFonts w:ascii="Arial" w:cs="Arial" w:eastAsia="Arial" w:hAnsi="Arial"/>
          <w:b/>
          <w:bCs/>
          <w:color w:val="00B4C8"/>
          <w:sz w:val="22"/>
          <w:szCs w:val="22"/>
        </w:rPr>
        <w:t xml:space="preserve">Patient-Facing Plain Language Layer</w:t>
      </w:r>
    </w:p>
    <w:p>
      <w:pPr>
        <w:pStyle w:val="ListParagraph"/>
        <w:numPr>
          <w:ilvl w:val="0"/>
          <w:numId w:val="2"/>
        </w:numPr>
        <w:spacing w:after="40" w:before="40"/>
      </w:pPr>
      <w:r>
        <w:rPr>
          <w:rFonts w:ascii="Arial" w:cs="Arial" w:eastAsia="Arial" w:hAnsi="Arial"/>
          <w:b w:val="false"/>
          <w:bCs w:val="false"/>
          <w:sz w:val="20"/>
          <w:szCs w:val="20"/>
        </w:rPr>
        <w:t xml:space="preserve">Trend indicator: Directional arrow + color + plain English. 'Your blood pressure has been rising at a statistically significant rate over the past 30 days.'</w:t>
      </w:r>
    </w:p>
    <w:p>
      <w:pPr>
        <w:pStyle w:val="ListParagraph"/>
        <w:numPr>
          <w:ilvl w:val="0"/>
          <w:numId w:val="2"/>
        </w:numPr>
        <w:spacing w:after="40" w:before="40"/>
      </w:pPr>
      <w:r>
        <w:rPr>
          <w:rFonts w:ascii="Arial" w:cs="Arial" w:eastAsia="Arial" w:hAnsi="Arial"/>
          <w:b w:val="false"/>
          <w:bCs w:val="false"/>
          <w:sz w:val="20"/>
          <w:szCs w:val="20"/>
        </w:rPr>
        <w:t xml:space="preserve">Variability indicator: 'Your readings are inconsistent. Try measuring at the same time each day.'</w:t>
      </w:r>
    </w:p>
    <w:p>
      <w:pPr>
        <w:pStyle w:val="ListParagraph"/>
        <w:numPr>
          <w:ilvl w:val="0"/>
          <w:numId w:val="2"/>
        </w:numPr>
        <w:spacing w:after="40" w:before="40"/>
      </w:pPr>
      <w:r>
        <w:rPr>
          <w:rFonts w:ascii="Arial" w:cs="Arial" w:eastAsia="Arial" w:hAnsi="Arial"/>
          <w:b w:val="false"/>
          <w:bCs w:val="false"/>
          <w:sz w:val="20"/>
          <w:szCs w:val="20"/>
        </w:rPr>
        <w:t xml:space="preserve">Momentum indicator: 'Your medication appears to be working better each week.' or 'Your improvement is slowing down.'</w:t>
      </w:r>
    </w:p>
    <w:p>
      <w:pPr>
        <w:pStyle w:val="ListParagraph"/>
        <w:numPr>
          <w:ilvl w:val="0"/>
          <w:numId w:val="2"/>
        </w:numPr>
        <w:spacing w:after="40" w:before="40"/>
      </w:pPr>
      <w:r>
        <w:rPr>
          <w:rFonts w:ascii="Arial" w:cs="Arial" w:eastAsia="Arial" w:hAnsi="Arial"/>
          <w:b w:val="false"/>
          <w:bCs w:val="false"/>
          <w:sz w:val="20"/>
          <w:szCs w:val="20"/>
        </w:rPr>
        <w:t xml:space="preserve">Burden indicator: 'You spent 68% of the past 30 days with systolic blood pressure above 130 mmHg.'</w:t>
      </w:r>
    </w:p>
    <w:p>
      <w:pPr>
        <w:spacing w:after="100" w:before="0"/>
      </w:pPr>
      <w:r>
        <w:t xml:space="preserve"/>
      </w:r>
    </w:p>
    <w:p>
      <w:pPr>
        <w:spacing w:after="60" w:before="180"/>
      </w:pPr>
      <w:r>
        <w:rPr>
          <w:rFonts w:ascii="Arial" w:cs="Arial" w:eastAsia="Arial" w:hAnsi="Arial"/>
          <w:b/>
          <w:bCs/>
          <w:color w:val="00B4C8"/>
          <w:sz w:val="22"/>
          <w:szCs w:val="22"/>
        </w:rPr>
        <w:t xml:space="preserve">Applicability</w:t>
      </w:r>
    </w:p>
    <w:p>
      <w:pPr>
        <w:spacing w:after="60" w:before="60"/>
      </w:pPr>
      <w:r>
        <w:rPr>
          <w:rFonts w:ascii="Arial" w:cs="Arial" w:eastAsia="Arial" w:hAnsi="Arial"/>
          <w:sz w:val="20"/>
          <w:szCs w:val="20"/>
        </w:rPr>
        <w:t>Shared statistical and visualization infrastructure scales across tracked vitals, but the production architecture is metric-specific. Each vital defines its own context, data-support gates, algorithms, and interpretation guardrails. Weight v6 is the first completed example of that strategy: daily-median Weight summaries, robust Theil-Sen trend, current adult BMI, historical BMI, and dated-height provenance are used instead of blindly applying every blood-pressure method to Weight.</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Shared trend/visualization primitives render correctly only for metric/context combinations that support them; unsupported smoothing is withheld rather than forced.</w:t>
      </w:r>
    </w:p>
    <w:p>
      <w:pPr>
        <w:pStyle w:val="ListParagraph"/>
        <w:numPr>
          <w:ilvl w:val="0"/>
          <w:numId w:val="2"/>
        </w:numPr>
        <w:spacing w:after="40" w:before="40"/>
      </w:pPr>
      <w:r>
        <w:rPr>
          <w:rFonts w:ascii="Arial" w:cs="Arial" w:eastAsia="Arial" w:hAnsi="Arial"/>
          <w:b w:val="false"/>
          <w:bCs w:val="false"/>
          <w:sz w:val="20"/>
          <w:szCs w:val="20"/>
        </w:rPr>
        <w:t>Regression/robust trend outputs calculate correctly where the metric-specific strategy declares them eligible; statistical significance is not used as a universal clinical judgment.</w:t>
      </w:r>
    </w:p>
    <w:p>
      <w:pPr>
        <w:pStyle w:val="ListParagraph"/>
        <w:numPr>
          <w:ilvl w:val="0"/>
          <w:numId w:val="2"/>
        </w:numPr>
        <w:spacing w:after="40" w:before="40"/>
      </w:pPr>
      <w:r>
        <w:rPr>
          <w:rFonts w:ascii="Arial" w:cs="Arial" w:eastAsia="Arial" w:hAnsi="Arial"/>
          <w:b w:val="false"/>
          <w:bCs w:val="false"/>
          <w:sz w:val="20"/>
          <w:szCs w:val="20"/>
        </w:rPr>
        <w:t>Goal/target bands render only when a valid metric-specific target profile exists. Glucose must use context-specific/patient-specific targets rather than a single universal band.</w:t>
      </w:r>
    </w:p>
    <w:p>
      <w:pPr>
        <w:pStyle w:val="ListParagraph"/>
        <w:numPr>
          <w:ilvl w:val="0"/>
          <w:numId w:val="2"/>
        </w:numPr>
        <w:spacing w:after="40" w:before="40"/>
      </w:pPr>
      <w:r>
        <w:rPr>
          <w:rFonts w:ascii="Arial" w:cs="Arial" w:eastAsia="Arial" w:hAnsi="Arial"/>
          <w:b w:val="false"/>
          <w:bCs w:val="false"/>
          <w:sz w:val="20"/>
          <w:szCs w:val="20"/>
        </w:rPr>
        <w:t>Medication timeline/association logic must preserve temporal context and use observational language; Glucose comparisons must use the same measurement context before and after a medication change.</w:t>
      </w:r>
    </w:p>
    <w:p>
      <w:pPr>
        <w:pStyle w:val="ListParagraph"/>
        <w:numPr>
          <w:ilvl w:val="0"/>
          <w:numId w:val="2"/>
        </w:numPr>
        <w:spacing w:after="40" w:before="40"/>
      </w:pPr>
      <w:r>
        <w:rPr>
          <w:rFonts w:ascii="Arial" w:cs="Arial" w:eastAsia="Arial" w:hAnsi="Arial"/>
          <w:b w:val="false"/>
          <w:bCs w:val="false"/>
          <w:sz w:val="20"/>
          <w:szCs w:val="20"/>
        </w:rPr>
        <w:t>All deployed metric-specific outputs must match deterministic test vectors and expose explicit unavailable-reason codes when data support is insufficient.</w:t>
      </w:r>
    </w:p>
    <w:p>
      <w:pPr>
        <w:spacing w:after="60" w:before="180"/>
      </w:pPr>
      <w:r>
        <w:rPr>
          <w:rFonts w:ascii="Arial" w:cs="Arial" w:eastAsia="Arial" w:hAnsi="Arial"/>
          <w:b/>
          <w:bCs/>
          <w:color w:val="00B4C8"/>
          <w:sz w:val="22"/>
          <w:szCs w:val="22"/>
        </w:rPr>
        <w:t>Engineering Notebook Update — Weight Analysis v6 Deployment</w:t>
      </w:r>
    </w:p>
    <w:p>
      <w:pPr>
        <w:spacing w:after="60" w:before="60"/>
      </w:pPr>
      <w:r>
        <w:rPr>
          <w:rFonts w:ascii="Arial" w:cs="Arial" w:eastAsia="Arial" w:hAnsi="Arial"/>
          <w:sz w:val="20"/>
          <w:szCs w:val="20"/>
        </w:rPr>
        <w:t>October 1, 2026 — The current adult Weight Analysis scope is complete and deployed end-to-end across FastAPI, the .NET MAUI Vitals Analysis view, and the clinician PDF. The implementation moved Weight from the original generic scalar/visualization concept to a dedicated v6 contract with sparse-data behavior, BMI/height provenance, and patient-scoped visibility rules.</w:t>
      </w:r>
    </w:p>
    <w:p>
      <w:pPr>
        <w:spacing w:after="60" w:before="180"/>
      </w:pPr>
      <w:r>
        <w:rPr>
          <w:rFonts w:ascii="Arial" w:cs="Arial" w:eastAsia="Arial" w:hAnsi="Arial"/>
          <w:b/>
          <w:bCs/>
          <w:color w:val="00B4C8"/>
          <w:sz w:val="22"/>
          <w:szCs w:val="22"/>
        </w:rPr>
        <w:t>Deployed Analysis Contract</w:t>
      </w:r>
    </w:p>
    <w:p>
      <w:pPr>
        <w:pStyle w:val="ListParagraph"/>
        <w:numPr>
          <w:ilvl w:val="0"/>
          <w:numId w:val="2"/>
        </w:numPr>
        <w:spacing w:after="40" w:before="40"/>
      </w:pPr>
      <w:r>
        <w:rPr>
          <w:rFonts w:ascii="Arial" w:cs="Arial" w:eastAsia="Arial" w:hAnsi="Arial"/>
          <w:b w:val="false"/>
          <w:bCs w:val="false"/>
          <w:sz w:val="20"/>
          <w:szCs w:val="20"/>
        </w:rPr>
        <w:t>Weight analysis contract version 6. Raw Weight readings are preserved; longitudinal calculations use one median Weight per local calendar day so duplicate same-day entries do not receive disproportionate statistical weight.</w:t>
      </w:r>
    </w:p>
    <w:p>
      <w:pPr>
        <w:pStyle w:val="ListParagraph"/>
        <w:numPr>
          <w:ilvl w:val="0"/>
          <w:numId w:val="2"/>
        </w:numPr>
        <w:spacing w:after="40" w:before="40"/>
      </w:pPr>
      <w:r>
        <w:rPr>
          <w:rFonts w:ascii="Arial" w:cs="Arial" w:eastAsia="Arial" w:hAnsi="Arial"/>
          <w:b w:val="false"/>
          <w:bCs w:val="false"/>
          <w:sz w:val="20"/>
          <w:szCs w:val="20"/>
        </w:rPr>
        <w:t>Current output includes latest Weight, raw and daily-median summaries, baseline change, recent 7-day comparison, daily variability (SD/IQR/MAD), robust longitudinal trend, data-support state, unavailable-analysis reason codes, and limitations.</w:t>
      </w:r>
    </w:p>
    <w:p>
      <w:pPr>
        <w:pStyle w:val="ListParagraph"/>
        <w:numPr>
          <w:ilvl w:val="0"/>
          <w:numId w:val="2"/>
        </w:numPr>
        <w:spacing w:after="40" w:before="40"/>
      </w:pPr>
      <w:r>
        <w:rPr>
          <w:rFonts w:ascii="Arial" w:cs="Arial" w:eastAsia="Arial" w:hAnsi="Arial"/>
          <w:b w:val="false"/>
          <w:bCs w:val="false"/>
          <w:sz w:val="20"/>
          <w:szCs w:val="20"/>
        </w:rPr>
        <w:t>Robust trend activates with at least 5 distinct measurement days spanning at least 14 days. Direction is based on the 95% Theil-Sen slope interval; OLS R-squared and p-value are retained only as secondary diagnostics.</w:t>
      </w:r>
    </w:p>
    <w:p>
      <w:pPr>
        <w:pStyle w:val="ListParagraph"/>
        <w:numPr>
          <w:ilvl w:val="0"/>
          <w:numId w:val="2"/>
        </w:numPr>
        <w:spacing w:after="40" w:before="40"/>
      </w:pPr>
      <w:r>
        <w:rPr>
          <w:rFonts w:ascii="Arial" w:cs="Arial" w:eastAsia="Arial" w:hAnsi="Arial"/>
          <w:b w:val="false"/>
          <w:bCs w:val="false"/>
          <w:sz w:val="20"/>
          <w:szCs w:val="20"/>
        </w:rPr>
        <w:t>Sparse Weight behavior is intentional: one reading still produces a valid snapshot and current-BMI context when eligible. If a selected report window contains no Weight but an older Weight exists, the latest known Weight is returned as an outside-window snapshot while change/variation/trend remain unavailable with explicit reasons.</w:t>
      </w:r>
    </w:p>
    <w:p>
      <w:pPr>
        <w:pStyle w:val="ListParagraph"/>
        <w:numPr>
          <w:ilvl w:val="0"/>
          <w:numId w:val="2"/>
        </w:numPr>
        <w:spacing w:after="40" w:before="40"/>
      </w:pPr>
      <w:r>
        <w:rPr>
          <w:rFonts w:ascii="Arial" w:cs="Arial" w:eastAsia="Arial" w:hAnsi="Arial"/>
          <w:b w:val="false"/>
          <w:bCs w:val="false"/>
          <w:sz w:val="20"/>
          <w:szCs w:val="20"/>
        </w:rPr>
        <w:t>Vitals Analysis and clinician PDF default to a 15-day view. Standard cached windows remain 15/30/45/60 days; custom ranges compute on demand.</w:t>
      </w:r>
    </w:p>
    <w:p>
      <w:pPr>
        <w:spacing w:after="60" w:before="180"/>
      </w:pPr>
      <w:r>
        <w:rPr>
          <w:rFonts w:ascii="Arial" w:cs="Arial" w:eastAsia="Arial" w:hAnsi="Arial"/>
          <w:b/>
          <w:bCs/>
          <w:color w:val="00B4C8"/>
          <w:sz w:val="22"/>
          <w:szCs w:val="22"/>
        </w:rPr>
        <w:t>Height History and BMI</w:t>
      </w:r>
    </w:p>
    <w:p>
      <w:pPr>
        <w:pStyle w:val="ListParagraph"/>
        <w:numPr>
          <w:ilvl w:val="0"/>
          <w:numId w:val="2"/>
        </w:numPr>
        <w:spacing w:after="40" w:before="40"/>
      </w:pPr>
      <w:r>
        <w:rPr>
          <w:rFonts w:ascii="Arial" w:cs="Arial" w:eastAsia="Arial" w:hAnsi="Arial"/>
          <w:b w:val="false"/>
          <w:bCs w:val="false"/>
          <w:sz w:val="20"/>
          <w:szCs w:val="20"/>
        </w:rPr>
        <w:t>Dated patient height history is now authoritative for BMI provenance. New height measurements and corrections preserve effective date, source, supersession, and audit history; patients.height_inches remains the current profile cache.</w:t>
      </w:r>
    </w:p>
    <w:p>
      <w:pPr>
        <w:pStyle w:val="ListParagraph"/>
        <w:numPr>
          <w:ilvl w:val="0"/>
          <w:numId w:val="2"/>
        </w:numPr>
        <w:spacing w:after="40" w:before="40"/>
      </w:pPr>
      <w:r>
        <w:rPr>
          <w:rFonts w:ascii="Arial" w:cs="Arial" w:eastAsia="Arial" w:hAnsi="Arial"/>
          <w:b w:val="false"/>
          <w:bCs w:val="false"/>
          <w:sz w:val="20"/>
          <w:szCs w:val="20"/>
        </w:rPr>
        <w:t>Current adult BMI is age-gated at age 20 or older on the latest Weight date, uses the current profile height with effective-date/source provenance, and is displayed as screening context rather than diagnosis or body-composition measurement.</w:t>
      </w:r>
    </w:p>
    <w:p>
      <w:pPr>
        <w:pStyle w:val="ListParagraph"/>
        <w:numPr>
          <w:ilvl w:val="0"/>
          <w:numId w:val="2"/>
        </w:numPr>
        <w:spacing w:after="40" w:before="40"/>
      </w:pPr>
      <w:r>
        <w:rPr>
          <w:rFonts w:ascii="Arial" w:cs="Arial" w:eastAsia="Arial" w:hAnsi="Arial"/>
          <w:b w:val="false"/>
          <w:bCs w:val="false"/>
          <w:sz w:val="20"/>
          <w:szCs w:val="20"/>
        </w:rPr>
        <w:t>Historical BMI resolves each Weight date against only the newest ACTIVE height observation whose effective_date is on or before that Weight date. Newer heights are never backfilled backward, and superseded correction rows are excluded from BMI calculations.</w:t>
      </w:r>
    </w:p>
    <w:p>
      <w:pPr>
        <w:pStyle w:val="ListParagraph"/>
        <w:numPr>
          <w:ilvl w:val="0"/>
          <w:numId w:val="2"/>
        </w:numPr>
        <w:spacing w:after="40" w:before="40"/>
      </w:pPr>
      <w:r>
        <w:rPr>
          <w:rFonts w:ascii="Arial" w:cs="Arial" w:eastAsia="Arial" w:hAnsi="Arial"/>
          <w:b w:val="false"/>
          <w:bCs w:val="false"/>
          <w:sz w:val="20"/>
          <w:szCs w:val="20"/>
        </w:rPr>
        <w:t>The migration backfill for an existing profile height is valid only from its actual migration/effective date forward. Older Weight readings therefore remain without historical BMI when no historically valid height existed.</w:t>
      </w:r>
    </w:p>
    <w:p>
      <w:pPr>
        <w:pStyle w:val="ListParagraph"/>
        <w:numPr>
          <w:ilvl w:val="0"/>
          <w:numId w:val="2"/>
        </w:numPr>
        <w:spacing w:after="40" w:before="40"/>
      </w:pPr>
      <w:r>
        <w:rPr>
          <w:rFonts w:ascii="Arial" w:cs="Arial" w:eastAsia="Arial" w:hAnsi="Arial"/>
          <w:b w:val="false"/>
          <w:bCs w:val="false"/>
          <w:sz w:val="20"/>
          <w:szCs w:val="20"/>
        </w:rPr>
        <w:t>One historically valid BMI point is presented as a single snapshot. First-to-latest BMI change is shown only when at least two historically valid points exist; PR #22 corrected the single-point copy so one point no longer looks like a trajectory.</w:t>
      </w:r>
    </w:p>
    <w:p>
      <w:pPr>
        <w:spacing w:after="60" w:before="180"/>
      </w:pPr>
      <w:r>
        <w:rPr>
          <w:rFonts w:ascii="Arial" w:cs="Arial" w:eastAsia="Arial" w:hAnsi="Arial"/>
          <w:b/>
          <w:bCs/>
          <w:color w:val="00B4C8"/>
          <w:sz w:val="22"/>
          <w:szCs w:val="22"/>
        </w:rPr>
        <w:t>Patient Preferences and PDF Source of Truth</w:t>
      </w:r>
    </w:p>
    <w:p>
      <w:pPr>
        <w:pStyle w:val="ListParagraph"/>
        <w:numPr>
          <w:ilvl w:val="0"/>
          <w:numId w:val="2"/>
        </w:numPr>
        <w:spacing w:after="40" w:before="40"/>
      </w:pPr>
      <w:r>
        <w:rPr>
          <w:rFonts w:ascii="Arial" w:cs="Arial" w:eastAsia="Arial" w:hAnsi="Arial"/>
          <w:b w:val="false"/>
          <w:bCs w:val="false"/>
          <w:sz w:val="20"/>
          <w:szCs w:val="20"/>
        </w:rPr>
        <w:t>Optional vital tracking is patient-scoped. For Weight, patients.show_weight is the persisted source of truth for visibility on the Home Dashboard, Vitals Entry, Vitals Analysis, and clinician PDF. Recorded Weight data does not force the metric visible when the preference is off.</w:t>
      </w:r>
    </w:p>
    <w:p>
      <w:pPr>
        <w:pStyle w:val="ListParagraph"/>
        <w:numPr>
          <w:ilvl w:val="0"/>
          <w:numId w:val="2"/>
        </w:numPr>
        <w:spacing w:after="40" w:before="40"/>
      </w:pPr>
      <w:r>
        <w:rPr>
          <w:rFonts w:ascii="Arial" w:cs="Arial" w:eastAsia="Arial" w:hAnsi="Arial"/>
          <w:b w:val="false"/>
          <w:bCs w:val="false"/>
          <w:sz w:val="20"/>
          <w:szCs w:val="20"/>
        </w:rPr>
        <w:t>Patient vital preferences now use dedicated patient-scoped GET/PATCH endpoints. The app caches a preference only after the server confirms persistence, and Settings serializes writes so rapid switch changes cannot race and overwrite one another.</w:t>
      </w:r>
    </w:p>
    <w:p>
      <w:pPr>
        <w:pStyle w:val="ListParagraph"/>
        <w:numPr>
          <w:ilvl w:val="0"/>
          <w:numId w:val="2"/>
        </w:numPr>
        <w:spacing w:after="40" w:before="40"/>
      </w:pPr>
      <w:r>
        <w:rPr>
          <w:rFonts w:ascii="Arial" w:cs="Arial" w:eastAsia="Arial" w:hAnsi="Arial"/>
          <w:b w:val="false"/>
          <w:bCs w:val="false"/>
          <w:sz w:val="20"/>
          <w:szCs w:val="20"/>
        </w:rPr>
        <w:t>The clinician PDF reads the selected patient's persisted server preference directly and uses the same Weight analysis contract as Vitals Analysis. Legacy user-scoped fallback and client-local PDF visibility overrides are not authoritative.</w:t>
      </w:r>
    </w:p>
    <w:p>
      <w:pPr>
        <w:pStyle w:val="ListParagraph"/>
        <w:numPr>
          <w:ilvl w:val="0"/>
          <w:numId w:val="2"/>
        </w:numPr>
        <w:spacing w:after="40" w:before="40"/>
      </w:pPr>
      <w:r>
        <w:rPr>
          <w:rFonts w:ascii="Arial" w:cs="Arial" w:eastAsia="Arial" w:hAnsi="Arial"/>
          <w:b w:val="false"/>
          <w:bCs w:val="false"/>
          <w:sz w:val="20"/>
          <w:szCs w:val="20"/>
        </w:rPr>
        <w:t>PR #18 was intentionally closed unmerged because it would have allowed recorded Weight data to override the user's Settings preference. PRs #19 and #20 established the final source-of-truth and persistence behavior.</w:t>
      </w:r>
    </w:p>
    <w:p>
      <w:pPr>
        <w:spacing w:after="60" w:before="180"/>
      </w:pPr>
      <w:r>
        <w:rPr>
          <w:rFonts w:ascii="Arial" w:cs="Arial" w:eastAsia="Arial" w:hAnsi="Arial"/>
          <w:b/>
          <w:bCs/>
          <w:color w:val="00B4C8"/>
          <w:sz w:val="22"/>
          <w:szCs w:val="22"/>
        </w:rPr>
        <w:t>Deployment and Validation</w:t>
      </w:r>
    </w:p>
    <w:p>
      <w:pPr>
        <w:pStyle w:val="ListParagraph"/>
        <w:numPr>
          <w:ilvl w:val="0"/>
          <w:numId w:val="2"/>
        </w:numPr>
        <w:spacing w:after="40" w:before="40"/>
      </w:pPr>
      <w:r>
        <w:rPr>
          <w:rFonts w:ascii="Arial" w:cs="Arial" w:eastAsia="Arial" w:hAnsi="Arial"/>
          <w:b w:val="false"/>
          <w:bCs w:val="false"/>
          <w:sz w:val="20"/>
          <w:szCs w:val="20"/>
        </w:rPr>
        <w:t>Production FastAPI on DigitalOcean was updated and the vitals-api service restarted for the Weight deployment. MAUI was rebuilt/reinstalled where client model/UI changes were required.</w:t>
      </w:r>
    </w:p>
    <w:p>
      <w:pPr>
        <w:pStyle w:val="ListParagraph"/>
        <w:numPr>
          <w:ilvl w:val="0"/>
          <w:numId w:val="2"/>
        </w:numPr>
        <w:spacing w:after="40" w:before="40"/>
      </w:pPr>
      <w:r>
        <w:rPr>
          <w:rFonts w:ascii="Arial" w:cs="Arial" w:eastAsia="Arial" w:hAnsi="Arial"/>
          <w:b w:val="false"/>
          <w:bCs w:val="false"/>
          <w:sz w:val="20"/>
          <w:szCs w:val="20"/>
        </w:rPr>
        <w:t>Preference persistence was verified directly in PostgreSQL after toggling Weight and Glucose in Settings; the patient-scoped flags now persist and remain synchronized with the GUI.</w:t>
      </w:r>
    </w:p>
    <w:p>
      <w:pPr>
        <w:pStyle w:val="ListParagraph"/>
        <w:numPr>
          <w:ilvl w:val="0"/>
          <w:numId w:val="2"/>
        </w:numPr>
        <w:spacing w:after="40" w:before="40"/>
      </w:pPr>
      <w:r>
        <w:rPr>
          <w:rFonts w:ascii="Arial" w:cs="Arial" w:eastAsia="Arial" w:hAnsi="Arial"/>
          <w:b w:val="false"/>
          <w:bCs w:val="false"/>
          <w:sz w:val="20"/>
          <w:szCs w:val="20"/>
        </w:rPr>
        <w:t>Historical-BMI no-backfill behavior was validated in both Vitals Analysis and the PDF: an older Weight with no height effective on or before that date correctly reported Historical BMI unavailable rather than borrowing a newer height.</w:t>
      </w:r>
    </w:p>
    <w:p>
      <w:pPr>
        <w:pStyle w:val="ListParagraph"/>
        <w:numPr>
          <w:ilvl w:val="0"/>
          <w:numId w:val="2"/>
        </w:numPr>
        <w:spacing w:after="40" w:before="40"/>
      </w:pPr>
      <w:r>
        <w:rPr>
          <w:rFonts w:ascii="Arial" w:cs="Arial" w:eastAsia="Arial" w:hAnsi="Arial"/>
          <w:b w:val="false"/>
          <w:bCs w:val="false"/>
          <w:sz w:val="20"/>
          <w:szCs w:val="20"/>
        </w:rPr>
        <w:t>A follow-up real-world-style reading of 239.2 lb with a 6 ft 2 in height effective October 1, 2026 produced one historically valid adult BMI point of 30.7 kg/m² in both mobile Analysis and the clinician PDF, with matching height/date provenance.</w:t>
      </w:r>
    </w:p>
    <w:p>
      <w:pPr>
        <w:pStyle w:val="ListParagraph"/>
        <w:numPr>
          <w:ilvl w:val="0"/>
          <w:numId w:val="2"/>
        </w:numPr>
        <w:spacing w:after="40" w:before="40"/>
      </w:pPr>
      <w:r>
        <w:rPr>
          <w:rFonts w:ascii="Arial" w:cs="Arial" w:eastAsia="Arial" w:hAnsi="Arial"/>
          <w:b w:val="false"/>
          <w:bCs w:val="false"/>
          <w:sz w:val="20"/>
          <w:szCs w:val="20"/>
        </w:rPr>
        <w:t>Implementation history: PR #5 established the dedicated Weight engine; PR #10 added current adult BMI; PRs #12-#16 completed the response contract, Weight UI/PDF parity, dated height history, and sparse Weight handling; PRs #19-#20 finalized patient-scoped preference source-of-truth/persistence; PRs #21-#22 delivered Historical BMI v6 and its single-point presentation correction.</w:t>
      </w:r>
    </w:p>
    <w:p>
      <w:pPr>
        <w:spacing w:after="60" w:before="180"/>
      </w:pPr>
      <w:r>
        <w:rPr>
          <w:rFonts w:ascii="Arial" w:cs="Arial" w:eastAsia="Arial" w:hAnsi="Arial"/>
          <w:b/>
          <w:bCs/>
          <w:color w:val="00B4C8"/>
          <w:sz w:val="22"/>
          <w:szCs w:val="22"/>
        </w:rPr>
        <w:t>Weight Milestone Status</w:t>
      </w:r>
    </w:p>
    <w:p>
      <w:pPr>
        <w:pStyle w:val="ListParagraph"/>
        <w:numPr>
          <w:ilvl w:val="0"/>
          <w:numId w:val="2"/>
        </w:numPr>
        <w:spacing w:after="40" w:before="40"/>
      </w:pPr>
      <w:r>
        <w:rPr>
          <w:rFonts w:ascii="Arial" w:cs="Arial" w:eastAsia="Arial" w:hAnsi="Arial"/>
          <w:b w:val="false"/>
          <w:bCs w:val="false"/>
          <w:sz w:val="20"/>
          <w:szCs w:val="20"/>
        </w:rPr>
        <w:t>Current adult Weight Analysis milestone: COMPLETE. Active metric-specific development target: Glucose Analysis P0 (manual/BGM).</w:t>
      </w:r>
    </w:p>
    <w:p>
      <w:pPr>
        <w:pStyle w:val="ListParagraph"/>
        <w:numPr>
          <w:ilvl w:val="0"/>
          <w:numId w:val="2"/>
        </w:numPr>
        <w:spacing w:after="40" w:before="40"/>
      </w:pPr>
      <w:r>
        <w:rPr>
          <w:rFonts w:ascii="Arial" w:cs="Arial" w:eastAsia="Arial" w:hAnsi="Arial"/>
          <w:b w:val="false"/>
          <w:bCs w:val="false"/>
          <w:sz w:val="20"/>
          <w:szCs w:val="20"/>
        </w:rPr>
        <w:t>Deferred Weight extensions are not blockers for the current adult milestone: Weight-specific LOESS charting, condition/clinician-configured rapid-change alerts, medication/cross-vital association modules, pediatric BMI-for-age/growth analysis, metric-unit entry/display expansion, and connected-scale/health-platform integrations.</w:t>
      </w:r>
    </w:p>
    <w:p>
      <w:pPr>
        <w:spacing w:after="60" w:before="180"/>
      </w:pPr>
      <w:r>
        <w:rPr>
          <w:rFonts w:ascii="Arial" w:cs="Arial" w:eastAsia="Arial" w:hAnsi="Arial"/>
          <w:b/>
          <w:bCs/>
          <w:color w:val="00B4C8"/>
          <w:sz w:val="22"/>
          <w:szCs w:val="22"/>
        </w:rPr>
        <w:t>Glucose Analysis — Current Implementation Status</w:t>
      </w:r>
    </w:p>
    <w:p>
      <w:pPr>
        <w:pStyle w:val="ListParagraph"/>
        <w:numPr>
          <w:ilvl w:val="0"/>
          <w:numId w:val="2"/>
        </w:numPr>
        <w:spacing w:after="40" w:before="40"/>
      </w:pPr>
      <w:r>
        <w:rPr>
          <w:rFonts w:ascii="Arial" w:cs="Arial" w:eastAsia="Arial" w:hAnsi="Arial"/>
          <w:b w:val="false"/>
          <w:bCs w:val="false"/>
          <w:sz w:val="20"/>
          <w:szCs w:val="20"/>
        </w:rPr>
        <w:t>Glucose is registered in the shared FastAPI Vitals Analysis pipeline and participates in the 15/30/45/60-day cache workflow; custom windows compute on demand through the same analysis read path.</w:t>
      </w:r>
    </w:p>
    <w:p>
      <w:pPr>
        <w:pStyle w:val="ListParagraph"/>
        <w:numPr>
          <w:ilvl w:val="0"/>
          <w:numId w:val="2"/>
        </w:numPr>
        <w:spacing w:after="40" w:before="40"/>
      </w:pPr>
      <w:r>
        <w:rPr>
          <w:rFonts w:ascii="Arial" w:cs="Arial" w:eastAsia="Arial" w:hAnsi="Arial"/>
          <w:b w:val="false"/>
          <w:bCs w:val="false"/>
          <w:sz w:val="20"/>
          <w:szCs w:val="20"/>
        </w:rPr>
        <w:t>run_glucose_analysis currently delegates to the conservative descriptive scalar engine with allow_longitudinal_trend=False. This is intentional: without fasting/post-meal/random context, a first-to-latest change or one regression across mixed states would overstate what the data supports.</w:t>
      </w:r>
    </w:p>
    <w:p>
      <w:pPr>
        <w:pStyle w:val="ListParagraph"/>
        <w:numPr>
          <w:ilvl w:val="0"/>
          <w:numId w:val="2"/>
        </w:numPr>
        <w:spacing w:after="40" w:before="40"/>
      </w:pPr>
      <w:r>
        <w:rPr>
          <w:rFonts w:ascii="Arial" w:cs="Arial" w:eastAsia="Arial" w:hAnsi="Arial"/>
          <w:b w:val="false"/>
          <w:bCs w:val="false"/>
          <w:sz w:val="20"/>
          <w:szCs w:val="20"/>
        </w:rPr>
        <w:t>Current backend output includes the latest value/timestamp, reading_count, mean/median/min/max summary, data-support n/distinct-days/span/support_state, and explicit unavailable-analysis reasons for longitudinal trend and target-range interpretation.</w:t>
      </w:r>
    </w:p>
    <w:p>
      <w:pPr>
        <w:pStyle w:val="ListParagraph"/>
        <w:numPr>
          <w:ilvl w:val="0"/>
          <w:numId w:val="2"/>
        </w:numPr>
        <w:spacing w:after="40" w:before="40"/>
      </w:pPr>
      <w:r>
        <w:rPr>
          <w:rFonts w:ascii="Arial" w:cs="Arial" w:eastAsia="Arial" w:hAnsi="Arial"/>
          <w:b w:val="false"/>
          <w:bCs w:val="false"/>
          <w:sz w:val="20"/>
          <w:szCs w:val="20"/>
        </w:rPr>
        <w:t>Current MAUI Vitals Analysis includes a Glucose tab with plain-English latest/median/range text, Latest Blood Glucose, Logged Reading Summary, Data Confidence, unavailable-analysis explanations, and Care Team sharing guidance.</w:t>
      </w:r>
    </w:p>
    <w:p>
      <w:pPr>
        <w:pStyle w:val="ListParagraph"/>
        <w:numPr>
          <w:ilvl w:val="0"/>
          <w:numId w:val="2"/>
        </w:numPr>
        <w:spacing w:after="40" w:before="40"/>
      </w:pPr>
      <w:r>
        <w:rPr>
          <w:rFonts w:ascii="Arial" w:cs="Arial" w:eastAsia="Arial" w:hAnsi="Arial"/>
          <w:b w:val="false"/>
          <w:bCs w:val="false"/>
          <w:sz w:val="20"/>
          <w:szCs w:val="20"/>
        </w:rPr>
        <w:t>Current Dashboard Glucose chart renders raw logged observations only; it intentionally does not apply a smoothed line until comparable context-specific observations exist.</w:t>
      </w:r>
    </w:p>
    <w:p>
      <w:pPr>
        <w:pStyle w:val="ListParagraph"/>
        <w:numPr>
          <w:ilvl w:val="0"/>
          <w:numId w:val="2"/>
        </w:numPr>
        <w:spacing w:after="40" w:before="40"/>
      </w:pPr>
      <w:r>
        <w:rPr>
          <w:rFonts w:ascii="Arial" w:cs="Arial" w:eastAsia="Arial" w:hAnsi="Arial"/>
          <w:b w:val="false"/>
          <w:bCs w:val="false"/>
          <w:sz w:val="20"/>
          <w:szCs w:val="20"/>
        </w:rPr>
        <w:t>Current clinician PDF uses the same cached descriptive Glucose result, shows raw Glucose observations without smoothing, and explains why no single target range or trajectory is inferred yet.</w:t>
      </w:r>
    </w:p>
    <w:p>
      <w:pPr>
        <w:pStyle w:val="ListParagraph"/>
        <w:numPr>
          <w:ilvl w:val="0"/>
          <w:numId w:val="2"/>
        </w:numPr>
        <w:spacing w:after="40" w:before="40"/>
      </w:pPr>
      <w:r>
        <w:rPr>
          <w:rFonts w:ascii="Arial" w:cs="Arial" w:eastAsia="Arial" w:hAnsi="Arial"/>
          <w:b w:val="false"/>
          <w:bCs w:val="false"/>
          <w:sz w:val="20"/>
          <w:szCs w:val="20"/>
        </w:rPr>
        <w:t>Patient visibility is already production-safe: Glucose is shown on Dashboard, Entry, Analysis, and PDF only when the selected patient has show_glucose enabled in persisted Settings.</w:t>
      </w:r>
    </w:p>
    <w:p>
      <w:pPr>
        <w:spacing w:after="60" w:before="180"/>
      </w:pPr>
      <w:r>
        <w:rPr>
          <w:rFonts w:ascii="Arial" w:cs="Arial" w:eastAsia="Arial" w:hAnsi="Arial"/>
          <w:b/>
          <w:bCs/>
          <w:color w:val="00B4C8"/>
          <w:sz w:val="22"/>
          <w:szCs w:val="22"/>
        </w:rPr>
        <w:t>Glucose P0 — Required Development for the Current Milestone</w:t>
      </w:r>
    </w:p>
    <w:p>
      <w:pPr>
        <w:pStyle w:val="ListParagraph"/>
        <w:numPr>
          <w:ilvl w:val="0"/>
          <w:numId w:val="2"/>
        </w:numPr>
        <w:spacing w:after="40" w:before="40"/>
      </w:pPr>
      <w:r>
        <w:rPr>
          <w:rFonts w:ascii="Arial" w:cs="Arial" w:eastAsia="Arial" w:hAnsi="Arial"/>
          <w:b w:val="false"/>
          <w:bCs w:val="false"/>
          <w:sz w:val="20"/>
          <w:szCs w:val="20"/>
        </w:rPr>
        <w:t>1. Observation model and migration — add context, meal_type, minutes_after_meal, meal_event_id, source_type/source_device, original value/unit, invalidation semantics, and patient target-profile support while preserving existing blood_glucose rows.</w:t>
      </w:r>
    </w:p>
    <w:p>
      <w:pPr>
        <w:pStyle w:val="ListParagraph"/>
        <w:numPr>
          <w:ilvl w:val="0"/>
          <w:numId w:val="2"/>
        </w:numPr>
        <w:spacing w:after="40" w:before="40"/>
      </w:pPr>
      <w:r>
        <w:rPr>
          <w:rFonts w:ascii="Arial" w:cs="Arial" w:eastAsia="Arial" w:hAnsi="Arial"/>
          <w:b w:val="false"/>
          <w:bCs w:val="false"/>
          <w:sz w:val="20"/>
          <w:szCs w:val="20"/>
        </w:rPr>
        <w:t>2. Entry workflow — capture glucose context at the time of entry with minimal friction; never infer fasting or meal state from clock time alone.</w:t>
      </w:r>
    </w:p>
    <w:p>
      <w:pPr>
        <w:pStyle w:val="ListParagraph"/>
        <w:numPr>
          <w:ilvl w:val="0"/>
          <w:numId w:val="2"/>
        </w:numPr>
        <w:spacing w:after="40" w:before="40"/>
      </w:pPr>
      <w:r>
        <w:rPr>
          <w:rFonts w:ascii="Arial" w:cs="Arial" w:eastAsia="Arial" w:hAnsi="Arial"/>
          <w:b w:val="false"/>
          <w:bCs w:val="false"/>
          <w:sz w:val="20"/>
          <w:szCs w:val="20"/>
        </w:rPr>
        <w:t>3. Snapshot + context — return latest non-invalidated reading with context, source, meal timing when present, and explicit “context not recorded” when absent.</w:t>
      </w:r>
    </w:p>
    <w:p>
      <w:pPr>
        <w:pStyle w:val="ListParagraph"/>
        <w:numPr>
          <w:ilvl w:val="0"/>
          <w:numId w:val="2"/>
        </w:numPr>
        <w:spacing w:after="40" w:before="40"/>
      </w:pPr>
      <w:r>
        <w:rPr>
          <w:rFonts w:ascii="Arial" w:cs="Arial" w:eastAsia="Arial" w:hAnsi="Arial"/>
          <w:b w:val="false"/>
          <w:bCs w:val="false"/>
          <w:sz w:val="20"/>
          <w:szCs w:val="20"/>
        </w:rPr>
        <w:t>4. Context-specific averages — calculate count/mean/median/min/max within analytically comparable groups; mixed-context averages remain secondary and clearly labeled.</w:t>
      </w:r>
    </w:p>
    <w:p>
      <w:pPr>
        <w:pStyle w:val="ListParagraph"/>
        <w:numPr>
          <w:ilvl w:val="0"/>
          <w:numId w:val="2"/>
        </w:numPr>
        <w:spacing w:after="40" w:before="40"/>
      </w:pPr>
      <w:r>
        <w:rPr>
          <w:rFonts w:ascii="Arial" w:cs="Arial" w:eastAsia="Arial" w:hAnsi="Arial"/>
          <w:b w:val="false"/>
          <w:bCs w:val="false"/>
          <w:sz w:val="20"/>
          <w:szCs w:val="20"/>
        </w:rPr>
        <w:t>5. Context-specific trend analysis — raw points plus LOESS/OLS only within one comparable context and only after sample-count/span gates are met. Never regress fasting + post-meal + random together.</w:t>
      </w:r>
    </w:p>
    <w:p>
      <w:pPr>
        <w:pStyle w:val="ListParagraph"/>
        <w:numPr>
          <w:ilvl w:val="0"/>
          <w:numId w:val="2"/>
        </w:numPr>
        <w:spacing w:after="40" w:before="40"/>
      </w:pPr>
      <w:r>
        <w:rPr>
          <w:rFonts w:ascii="Arial" w:cs="Arial" w:eastAsia="Arial" w:hAnsi="Arial"/>
          <w:b w:val="false"/>
          <w:bCs w:val="false"/>
          <w:sz w:val="20"/>
          <w:szCs w:val="20"/>
        </w:rPr>
        <w:t>6. Low/out-of-target event analysis — count low observations and target exceptions using the patient/context target profile; pattern language activates only with adequate repeated support.</w:t>
      </w:r>
    </w:p>
    <w:p>
      <w:pPr>
        <w:pStyle w:val="ListParagraph"/>
        <w:numPr>
          <w:ilvl w:val="0"/>
          <w:numId w:val="2"/>
        </w:numPr>
        <w:spacing w:after="40" w:before="40"/>
      </w:pPr>
      <w:r>
        <w:rPr>
          <w:rFonts w:ascii="Arial" w:cs="Arial" w:eastAsia="Arial" w:hAnsi="Arial"/>
          <w:b w:val="false"/>
          <w:bCs w:val="false"/>
          <w:sz w:val="20"/>
          <w:szCs w:val="20"/>
        </w:rPr>
        <w:t>7. Logged Readings in Target — calculate eligible_in_target / eligible_total for manual/BGM readings once enough context-qualified readings exist; never label this Time in Range.</w:t>
      </w:r>
    </w:p>
    <w:p>
      <w:pPr>
        <w:pStyle w:val="ListParagraph"/>
        <w:numPr>
          <w:ilvl w:val="0"/>
          <w:numId w:val="2"/>
        </w:numPr>
        <w:spacing w:after="40" w:before="40"/>
      </w:pPr>
      <w:r>
        <w:rPr>
          <w:rFonts w:ascii="Arial" w:cs="Arial" w:eastAsia="Arial" w:hAnsi="Arial"/>
          <w:b w:val="false"/>
          <w:bCs w:val="false"/>
          <w:sz w:val="20"/>
          <w:szCs w:val="20"/>
        </w:rPr>
        <w:t>8. Meal-response / Glucose excursion — pair pre- and post-meal readings only when meal identity/timing is unambiguous; report individual excursions and average meal patterns only after the pair-count gate.</w:t>
      </w:r>
    </w:p>
    <w:p>
      <w:pPr>
        <w:pStyle w:val="ListParagraph"/>
        <w:numPr>
          <w:ilvl w:val="0"/>
          <w:numId w:val="2"/>
        </w:numPr>
        <w:spacing w:after="40" w:before="40"/>
      </w:pPr>
      <w:r>
        <w:rPr>
          <w:rFonts w:ascii="Arial" w:cs="Arial" w:eastAsia="Arial" w:hAnsi="Arial"/>
          <w:b w:val="false"/>
          <w:bCs w:val="false"/>
          <w:sz w:val="20"/>
          <w:szCs w:val="20"/>
        </w:rPr>
        <w:t>9. Variability summary — SD/IQR/range and descriptive variability on comparable BGM observations; do not apply the standardized CGM CV target to sparse manual readings.</w:t>
      </w:r>
    </w:p>
    <w:p>
      <w:pPr>
        <w:pStyle w:val="ListParagraph"/>
        <w:numPr>
          <w:ilvl w:val="0"/>
          <w:numId w:val="2"/>
        </w:numPr>
        <w:spacing w:after="40" w:before="40"/>
      </w:pPr>
      <w:r>
        <w:rPr>
          <w:rFonts w:ascii="Arial" w:cs="Arial" w:eastAsia="Arial" w:hAnsi="Arial"/>
          <w:b w:val="false"/>
          <w:bCs w:val="false"/>
          <w:sz w:val="20"/>
          <w:szCs w:val="20"/>
        </w:rPr>
        <w:t>10. Time-of-day patterns — use each observation’s local time and compare time buckets only when context mix is compatible or when stratified within context.</w:t>
      </w:r>
    </w:p>
    <w:p>
      <w:pPr>
        <w:pStyle w:val="ListParagraph"/>
        <w:numPr>
          <w:ilvl w:val="0"/>
          <w:numId w:val="2"/>
        </w:numPr>
        <w:spacing w:after="40" w:before="40"/>
      </w:pPr>
      <w:r>
        <w:rPr>
          <w:rFonts w:ascii="Arial" w:cs="Arial" w:eastAsia="Arial" w:hAnsi="Arial"/>
          <w:b w:val="false"/>
          <w:bCs w:val="false"/>
          <w:sz w:val="20"/>
          <w:szCs w:val="20"/>
        </w:rPr>
        <w:t>11. Medication-change comparison — compare like-context readings before/after a medication event with adequate support; show temporal association, never causal language.</w:t>
      </w:r>
    </w:p>
    <w:p>
      <w:pPr>
        <w:pStyle w:val="ListParagraph"/>
        <w:numPr>
          <w:ilvl w:val="0"/>
          <w:numId w:val="2"/>
        </w:numPr>
        <w:spacing w:after="40" w:before="40"/>
      </w:pPr>
      <w:r>
        <w:rPr>
          <w:rFonts w:ascii="Arial" w:cs="Arial" w:eastAsia="Arial" w:hAnsi="Arial"/>
          <w:b w:val="false"/>
          <w:bCs w:val="false"/>
          <w:sz w:val="20"/>
          <w:szCs w:val="20"/>
        </w:rPr>
        <w:t>12. Data sufficiency/capabilities — return explicit eligibility/reason codes such as insufficient_count, insufficient_span, missing_context, mixed_context, insufficient_pairs, and insufficient_coverage.</w:t>
      </w:r>
    </w:p>
    <w:p>
      <w:pPr>
        <w:pStyle w:val="ListParagraph"/>
        <w:numPr>
          <w:ilvl w:val="0"/>
          <w:numId w:val="2"/>
        </w:numPr>
        <w:spacing w:after="40" w:before="40"/>
      </w:pPr>
      <w:r>
        <w:rPr>
          <w:rFonts w:ascii="Arial" w:cs="Arial" w:eastAsia="Arial" w:hAnsi="Arial"/>
          <w:b w:val="false"/>
          <w:bCs w:val="false"/>
          <w:sz w:val="20"/>
          <w:szCs w:val="20"/>
        </w:rPr>
        <w:t>13. MAUI Glucose Analysis UI — replace the generic descriptive cards with capability-driven P0 blocks while retaining clear sparse/unknown-context states.</w:t>
      </w:r>
    </w:p>
    <w:p>
      <w:pPr>
        <w:pStyle w:val="ListParagraph"/>
        <w:numPr>
          <w:ilvl w:val="0"/>
          <w:numId w:val="2"/>
        </w:numPr>
        <w:spacing w:after="40" w:before="40"/>
      </w:pPr>
      <w:r>
        <w:rPr>
          <w:rFonts w:ascii="Arial" w:cs="Arial" w:eastAsia="Arial" w:hAnsi="Arial"/>
          <w:b w:val="false"/>
          <w:bCs w:val="false"/>
          <w:sz w:val="20"/>
          <w:szCs w:val="20"/>
        </w:rPr>
        <w:t>14. Clinician PDF parity — render the same P0 contract, eligibility gates, context labels, rounding, and unavailable reasons used by MAUI.</w:t>
      </w:r>
    </w:p>
    <w:p>
      <w:pPr>
        <w:pStyle w:val="ListParagraph"/>
        <w:numPr>
          <w:ilvl w:val="0"/>
          <w:numId w:val="2"/>
        </w:numPr>
        <w:spacing w:after="40" w:before="40"/>
      </w:pPr>
      <w:r>
        <w:rPr>
          <w:rFonts w:ascii="Arial" w:cs="Arial" w:eastAsia="Arial" w:hAnsi="Arial"/>
          <w:b w:val="false"/>
          <w:bCs w:val="false"/>
          <w:sz w:val="20"/>
          <w:szCs w:val="20"/>
        </w:rPr>
        <w:t>15. Deterministic and end-to-end validation — test mixed-context rejection, fasting-only trends, low-event classification, meal pairing, sparse data, patient preference ON/OFF, cache refresh, and app/PDF parity before declaring the manual/BGM Glucose milestone complete.</w:t>
      </w:r>
    </w:p>
    <w:p>
      <w:pPr>
        <w:spacing w:after="60" w:before="180"/>
      </w:pPr>
      <w:r>
        <w:rPr>
          <w:rFonts w:ascii="Arial" w:cs="Arial" w:eastAsia="Arial" w:hAnsi="Arial"/>
          <w:b/>
          <w:bCs/>
          <w:color w:val="00B4C8"/>
          <w:sz w:val="22"/>
          <w:szCs w:val="22"/>
        </w:rPr>
        <w:t>Glucose P1 / Deferred Capability-Gated Work</w:t>
      </w:r>
    </w:p>
    <w:p>
      <w:pPr>
        <w:pStyle w:val="ListParagraph"/>
        <w:numPr>
          <w:ilvl w:val="0"/>
          <w:numId w:val="2"/>
        </w:numPr>
        <w:spacing w:after="40" w:before="40"/>
      </w:pPr>
      <w:r>
        <w:rPr>
          <w:rFonts w:ascii="Arial" w:cs="Arial" w:eastAsia="Arial" w:hAnsi="Arial"/>
          <w:b w:val="false"/>
          <w:bCs w:val="false"/>
          <w:sz w:val="20"/>
          <w:szCs w:val="20"/>
        </w:rPr>
        <w:t>CGM source qualification and coverage metadata, including the standardized 14-day / active-data gate defined in the Glucose engineering specification.</w:t>
      </w:r>
    </w:p>
    <w:p>
      <w:pPr>
        <w:pStyle w:val="ListParagraph"/>
        <w:numPr>
          <w:ilvl w:val="0"/>
          <w:numId w:val="2"/>
        </w:numPr>
        <w:spacing w:after="40" w:before="40"/>
      </w:pPr>
      <w:r>
        <w:rPr>
          <w:rFonts w:ascii="Arial" w:cs="Arial" w:eastAsia="Arial" w:hAnsi="Arial"/>
          <w:b w:val="false"/>
          <w:bCs w:val="false"/>
          <w:sz w:val="20"/>
          <w:szCs w:val="20"/>
        </w:rPr>
        <w:t>Mean CGM glucose and Glucose Management Indicator (GMI). GMI must remain explicitly labeled as a CGM-derived indicator and never as a laboratory A1C result.</w:t>
      </w:r>
    </w:p>
    <w:p>
      <w:pPr>
        <w:pStyle w:val="ListParagraph"/>
        <w:numPr>
          <w:ilvl w:val="0"/>
          <w:numId w:val="2"/>
        </w:numPr>
        <w:spacing w:after="40" w:before="40"/>
      </w:pPr>
      <w:r>
        <w:rPr>
          <w:rFonts w:ascii="Arial" w:cs="Arial" w:eastAsia="Arial" w:hAnsi="Arial"/>
          <w:b w:val="false"/>
          <w:bCs w:val="false"/>
          <w:sz w:val="20"/>
          <w:szCs w:val="20"/>
        </w:rPr>
        <w:t>True CGM Time in Range / Time Above Range / Time Below Range, standardized CGM coefficient of variation, and continuous low/high episode patterns.</w:t>
      </w:r>
    </w:p>
    <w:p>
      <w:pPr>
        <w:pStyle w:val="ListParagraph"/>
        <w:numPr>
          <w:ilvl w:val="0"/>
          <w:numId w:val="2"/>
        </w:numPr>
        <w:spacing w:after="40" w:before="40"/>
      </w:pPr>
      <w:r>
        <w:rPr>
          <w:rFonts w:ascii="Arial" w:cs="Arial" w:eastAsia="Arial" w:hAnsi="Arial"/>
          <w:b w:val="false"/>
          <w:bCs w:val="false"/>
          <w:sz w:val="20"/>
          <w:szCs w:val="20"/>
        </w:rPr>
        <w:t>Comparison of qualified GMI with a separately recorded laboratory A1C value and date/source.</w:t>
      </w:r>
    </w:p>
    <w:p>
      <w:pPr>
        <w:pStyle w:val="ListParagraph"/>
        <w:numPr>
          <w:ilvl w:val="0"/>
          <w:numId w:val="2"/>
        </w:numPr>
        <w:spacing w:after="40" w:before="40"/>
      </w:pPr>
      <w:r>
        <w:rPr>
          <w:rFonts w:ascii="Arial" w:cs="Arial" w:eastAsia="Arial" w:hAnsi="Arial"/>
          <w:b w:val="false"/>
          <w:bCs w:val="false"/>
          <w:sz w:val="20"/>
          <w:szCs w:val="20"/>
        </w:rPr>
        <w:t>These P1 CGM capabilities remain dormant until Vitals receives a qualified dense glucose data source. They are not a substitute for the manual/BGM P0 engine and are not required to complete the current Glucose milestone.</w:t>
      </w:r>
    </w:p>
    <w:p>
      <w:pPr>
        <w:spacing w:after="60" w:before="180"/>
      </w:pPr>
      <w:r>
        <w:rPr>
          <w:rFonts w:ascii="Arial" w:cs="Arial" w:eastAsia="Arial" w:hAnsi="Arial"/>
          <w:b/>
          <w:bCs/>
          <w:color w:val="00B4C8"/>
          <w:sz w:val="22"/>
          <w:szCs w:val="22"/>
        </w:rPr>
        <w:t>Phase 4 Completion Gate</w:t>
      </w:r>
    </w:p>
    <w:p>
      <w:pPr>
        <w:pStyle w:val="ListParagraph"/>
        <w:numPr>
          <w:ilvl w:val="0"/>
          <w:numId w:val="2"/>
        </w:numPr>
        <w:spacing w:after="40" w:before="40"/>
      </w:pPr>
      <w:r>
        <w:rPr>
          <w:rFonts w:ascii="Arial" w:cs="Arial" w:eastAsia="Arial" w:hAnsi="Arial"/>
          <w:b w:val="false"/>
          <w:bCs w:val="false"/>
          <w:sz w:val="20"/>
          <w:szCs w:val="20"/>
        </w:rPr>
        <w:t>Phase 4 remains In Progress. The current completion gate is deployment and smoke-test validation of the manual/BGM Glucose P0 contract across FastAPI, MAUI Vitals Analysis, and the clinician PDF.</w:t>
      </w:r>
    </w:p>
    <w:p>
      <w:pPr>
        <w:pStyle w:val="ListParagraph"/>
        <w:numPr>
          <w:ilvl w:val="0"/>
          <w:numId w:val="2"/>
        </w:numPr>
        <w:spacing w:after="40" w:before="40"/>
      </w:pPr>
      <w:r>
        <w:rPr>
          <w:rFonts w:ascii="Arial" w:cs="Arial" w:eastAsia="Arial" w:hAnsi="Arial"/>
          <w:b w:val="false"/>
          <w:bCs w:val="false"/>
          <w:sz w:val="20"/>
          <w:szCs w:val="20"/>
        </w:rPr>
        <w:t>Weight v6 remains complete and should not be reopened by Glucose work except for shared infrastructure changes that require regression testing.</w:t>
      </w:r>
    </w:p>
    <w:p>
      <w:pPr>
        <w:pStyle w:val="ListParagraph"/>
        <w:numPr>
          <w:ilvl w:val="0"/>
          <w:numId w:val="2"/>
        </w:numPr>
        <w:spacing w:after="40" w:before="40"/>
      </w:pPr>
      <w:r>
        <w:rPr>
          <w:rFonts w:ascii="Arial" w:cs="Arial" w:eastAsia="Arial" w:hAnsi="Arial"/>
          <w:b w:val="false"/>
          <w:bCs w:val="false"/>
          <w:sz w:val="20"/>
          <w:szCs w:val="20"/>
        </w:rPr>
        <w:t>Once the manual/BGM Glucose P0 milestone is deployed with app/PDF parity, Clinical Value Layer, PDF Export, and Clinical Visualization Engine can be re-evaluated together for completion. CGM P1 remains a future capability unless product scope changes.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5</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Authentication &amp; Multi-Patient</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Jul–Aug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user accounts, secure authentication, and multi-patient support. This phase is a prerequisite for taking payments — you cannot charge a subscriber without knowing who they are. Authentication is placed late in the roadmap deliberately: building auth early creates complexity that slows every other phase.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User registration and login — email/password with email verification</w:t>
      </w:r>
    </w:p>
    <w:p>
      <w:pPr>
        <w:pStyle w:val="ListParagraph"/>
        <w:numPr>
          <w:ilvl w:val="1"/>
          <w:numId w:val="2"/>
        </w:numPr>
        <w:spacing w:after="40" w:before="40"/>
      </w:pPr>
      <w:r>
        <w:rPr>
          <w:rFonts w:ascii="Arial" w:cs="Arial" w:eastAsia="Arial" w:hAnsi="Arial"/>
          <w:b/>
          <w:bCs/>
          <w:color w:val="2E7D32"/>
          <w:sz w:val="18"/>
          <w:szCs w:val="18"/>
        </w:rPr>
        <w:t xml:space="preserve">✅ Update: originally flagged as never built (only Google OAuth existed). Now fully implemented — register/login/email-verification endpoints, bcrypt password hashing, an "unverified until confirmed" flow, and a branded verification email (via Resend) and confirmation page matching the vitals-wellness.com site. Login/Sign Up screens' email/password fields are fully functional, not placeholders.</w:t>
      </w:r>
    </w:p>
    <w:p>
      <w:pPr>
        <w:pStyle w:val="ListParagraph"/>
        <w:numPr>
          <w:ilvl w:val="0"/>
          <w:numId w:val="2"/>
        </w:numPr>
        <w:spacing w:after="40" w:before="40"/>
      </w:pPr>
      <w:r>
        <w:rPr>
          <w:rFonts w:ascii="Arial" w:cs="Arial" w:eastAsia="Arial" w:hAnsi="Arial"/>
          <w:b w:val="false"/>
          <w:bCs w:val="false"/>
          <w:sz w:val="20"/>
          <w:szCs w:val="20"/>
        </w:rPr>
        <w:t xml:space="preserve">JWT/bearer token authentication — already designed in MAUI course modules</w:t>
      </w:r>
    </w:p>
    <w:p>
      <w:pPr>
        <w:pStyle w:val="ListParagraph"/>
        <w:numPr>
          <w:ilvl w:val="0"/>
          <w:numId w:val="2"/>
        </w:numPr>
        <w:spacing w:after="40" w:before="40"/>
      </w:pPr>
      <w:r>
        <w:rPr>
          <w:rFonts w:ascii="Arial" w:cs="Arial" w:eastAsia="Arial" w:hAnsi="Arial"/>
          <w:b w:val="false"/>
          <w:bCs w:val="false"/>
          <w:sz w:val="20"/>
          <w:szCs w:val="20"/>
        </w:rPr>
        <w:t xml:space="preserve">SecureStorage for token persistence on device</w:t>
      </w:r>
    </w:p>
    <w:p>
      <w:pPr>
        <w:pStyle w:val="ListParagraph"/>
        <w:numPr>
          <w:ilvl w:val="0"/>
          <w:numId w:val="2"/>
        </w:numPr>
        <w:spacing w:after="40" w:before="40"/>
      </w:pPr>
      <w:r>
        <w:rPr>
          <w:rFonts w:ascii="Arial" w:cs="Arial" w:eastAsia="Arial" w:hAnsi="Arial"/>
          <w:b w:val="false"/>
          <w:bCs w:val="false"/>
          <w:sz w:val="20"/>
          <w:szCs w:val="20"/>
        </w:rPr>
        <w:t xml:space="preserve">Password reset flow</w:t>
      </w:r>
    </w:p>
    <w:p>
      <w:pPr>
        <w:pStyle w:val="ListParagraph"/>
        <w:numPr>
          <w:ilvl w:val="0"/>
          <w:numId w:val="2"/>
        </w:numPr>
        <w:spacing w:after="40" w:before="40"/>
      </w:pPr>
      <w:r>
        <w:rPr>
          <w:rFonts w:ascii="Arial" w:cs="Arial" w:eastAsia="Arial" w:hAnsi="Arial"/>
          <w:b w:val="false"/>
          <w:bCs w:val="false"/>
          <w:sz w:val="20"/>
          <w:szCs w:val="20"/>
        </w:rPr>
        <w:t xml:space="preserve">Account management screen — email, password change, subscription status</w:t>
      </w:r>
    </w:p>
    <w:p>
      <w:pPr>
        <w:pStyle w:val="ListParagraph"/>
        <w:numPr>
          <w:ilvl w:val="0"/>
          <w:numId w:val="2"/>
        </w:numPr>
        <w:spacing w:after="40" w:before="40"/>
      </w:pPr>
      <w:r>
        <w:rPr>
          <w:rFonts w:ascii="Arial" w:cs="Arial" w:eastAsia="Arial" w:hAnsi="Arial"/>
          <w:b w:val="false"/>
          <w:bCs w:val="false"/>
          <w:sz w:val="20"/>
          <w:szCs w:val="20"/>
        </w:rPr>
        <w:t xml:space="preserve">Multi-patient support — Family tier allows up to 5 patients per account</w:t>
      </w:r>
    </w:p>
    <w:p>
      <w:pPr>
        <w:pStyle w:val="ListParagraph"/>
        <w:numPr>
          <w:ilvl w:val="0"/>
          <w:numId w:val="2"/>
        </w:numPr>
        <w:spacing w:after="40" w:before="40"/>
      </w:pPr>
      <w:r>
        <w:rPr>
          <w:rFonts w:ascii="Arial" w:cs="Arial" w:eastAsia="Arial" w:hAnsi="Arial"/>
          <w:b w:val="false"/>
          <w:bCs w:val="false"/>
          <w:sz w:val="20"/>
          <w:szCs w:val="20"/>
        </w:rPr>
        <w:t xml:space="preserve">Patient switching — seamless switch between managed patients in the app</w:t>
      </w:r>
    </w:p>
    <w:p>
      <w:pPr>
        <w:pStyle w:val="ListParagraph"/>
        <w:numPr>
          <w:ilvl w:val="0"/>
          <w:numId w:val="2"/>
        </w:numPr>
        <w:spacing w:after="40" w:before="40"/>
      </w:pPr>
      <w:r>
        <w:rPr>
          <w:rFonts w:ascii="Arial" w:cs="Arial" w:eastAsia="Arial" w:hAnsi="Arial"/>
          <w:b w:val="false"/>
          <w:bCs w:val="false"/>
          <w:sz w:val="20"/>
          <w:szCs w:val="20"/>
        </w:rPr>
        <w:t xml:space="preserve">Data migration — associate existing locally-stored data with new account on first login</w:t>
      </w:r>
    </w:p>
    <w:p>
      <w:pPr>
        <w:spacing w:after="100" w:before="0"/>
      </w:pPr>
      <w:r>
        <w:t xml:space="preserve"/>
      </w:r>
    </w:p>
    <w:p>
      <w:pPr>
        <w:spacing w:after="60" w:before="180"/>
      </w:pPr>
      <w:r>
        <w:rPr>
          <w:rFonts w:ascii="Arial" w:cs="Arial" w:eastAsia="Arial" w:hAnsi="Arial"/>
          <w:b/>
          <w:bCs/>
          <w:color w:val="00B4C8"/>
          <w:sz w:val="22"/>
          <w:szCs w:val="22"/>
        </w:rPr>
        <w:t xml:space="preserve">Backend Requirements</w:t>
      </w:r>
    </w:p>
    <w:p>
      <w:pPr>
        <w:pStyle w:val="ListParagraph"/>
        <w:numPr>
          <w:ilvl w:val="0"/>
          <w:numId w:val="2"/>
        </w:numPr>
        <w:spacing w:after="40" w:before="40"/>
      </w:pPr>
      <w:r>
        <w:rPr>
          <w:rFonts w:ascii="Arial" w:cs="Arial" w:eastAsia="Arial" w:hAnsi="Arial"/>
          <w:b w:val="false"/>
          <w:bCs w:val="false"/>
          <w:sz w:val="20"/>
          <w:szCs w:val="20"/>
        </w:rPr>
        <w:t xml:space="preserve">User table in PostgreSQL with hashed credentials</w:t>
      </w:r>
    </w:p>
    <w:p>
      <w:pPr>
        <w:pStyle w:val="ListParagraph"/>
        <w:numPr>
          <w:ilvl w:val="0"/>
          <w:numId w:val="2"/>
        </w:numPr>
        <w:spacing w:after="40" w:before="40"/>
      </w:pPr>
      <w:r>
        <w:rPr>
          <w:rFonts w:ascii="Arial" w:cs="Arial" w:eastAsia="Arial" w:hAnsi="Arial"/>
          <w:b w:val="false"/>
          <w:bCs w:val="false"/>
          <w:sz w:val="20"/>
          <w:szCs w:val="20"/>
        </w:rPr>
        <w:t xml:space="preserve">Patient-to-user relationship table — one user can own multiple patient profiles</w:t>
      </w:r>
    </w:p>
    <w:p>
      <w:pPr>
        <w:pStyle w:val="ListParagraph"/>
        <w:numPr>
          <w:ilvl w:val="0"/>
          <w:numId w:val="2"/>
        </w:numPr>
        <w:spacing w:after="40" w:before="40"/>
      </w:pPr>
      <w:r>
        <w:rPr>
          <w:rFonts w:ascii="Arial" w:cs="Arial" w:eastAsia="Arial" w:hAnsi="Arial"/>
          <w:b w:val="false"/>
          <w:bCs w:val="false"/>
          <w:sz w:val="20"/>
          <w:szCs w:val="20"/>
        </w:rPr>
        <w:t xml:space="preserve">API authentication middleware — all endpoints require valid JWT</w:t>
      </w:r>
    </w:p>
    <w:p>
      <w:pPr>
        <w:pStyle w:val="ListParagraph"/>
        <w:numPr>
          <w:ilvl w:val="0"/>
          <w:numId w:val="2"/>
        </w:numPr>
        <w:spacing w:after="40" w:before="40"/>
      </w:pPr>
      <w:r>
        <w:rPr>
          <w:rFonts w:ascii="Arial" w:cs="Arial" w:eastAsia="Arial" w:hAnsi="Arial"/>
          <w:b w:val="false"/>
          <w:bCs w:val="false"/>
          <w:sz w:val="20"/>
          <w:szCs w:val="20"/>
        </w:rPr>
        <w:t xml:space="preserve">DigitalOcean Droplet migration — Pi 3B+ not suitable for paying subscribers. Nginx + FastAPI + PostgreSQL on cloud infrastructure.</w:t>
      </w:r>
    </w:p>
    <w:p>
      <w:pPr>
        <w:pStyle w:val="ListParagraph"/>
        <w:numPr>
          <w:ilvl w:val="0"/>
          <w:numId w:val="2"/>
        </w:numPr>
        <w:spacing w:after="40" w:before="40"/>
      </w:pPr>
      <w:r>
        <w:rPr>
          <w:rFonts w:ascii="Arial" w:cs="Arial" w:eastAsia="Arial" w:hAnsi="Arial"/>
          <w:b w:val="false"/>
          <w:bCs w:val="false"/>
          <w:sz w:val="20"/>
          <w:szCs w:val="20"/>
        </w:rPr>
        <w:t xml:space="preserve">Cross-household data isolation audit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discovered and fixed a real cross-account data leak (a second signup's patients were being written into the original household) traced to two root causes — a hardcoded household ID used across most endpoints instead of the authenticated caller's own household, and JWT auth being silently ignored whenever the legacy API key header was also present (which the mobile client always sends). Every patient-scoped endpoint (vitals, medications, doctors, allergies, visits, incidents, notes, user preferences) now verifies the record actually belongs to the caller's household before reading or writing it.</w:t>
      </w:r>
    </w:p>
    <w:p>
      <w:pPr>
        <w:pStyle w:val="ListParagraph"/>
        <w:numPr>
          <w:ilvl w:val="0"/>
          <w:numId w:val="2"/>
        </w:numPr>
        <w:spacing w:after="40" w:before="40"/>
      </w:pPr>
      <w:r>
        <w:rPr>
          <w:rFonts w:ascii="Arial" w:cs="Arial" w:eastAsia="Arial" w:hAnsi="Arial"/>
          <w:b w:val="false"/>
          <w:bCs w:val="false"/>
          <w:sz w:val="20"/>
          <w:szCs w:val="20"/>
        </w:rPr>
        <w:t xml:space="preserve">Session verification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a locally-cached JWT no longer implies a valid account — app launch now calls /api/auth/verify to confirm the account still exists server-side before trusting a restored session, closing a gap where a deleted account would still open straight to the Dashboard.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register, verify email, log in, and log out</w:t>
      </w:r>
    </w:p>
    <w:p>
      <w:pPr>
        <w:pStyle w:val="ListParagraph"/>
        <w:numPr>
          <w:ilvl w:val="0"/>
          <w:numId w:val="2"/>
        </w:numPr>
        <w:spacing w:after="40" w:before="40"/>
      </w:pPr>
      <w:r>
        <w:rPr>
          <w:rFonts w:ascii="Arial" w:cs="Arial" w:eastAsia="Arial" w:hAnsi="Arial"/>
          <w:b w:val="false"/>
          <w:bCs w:val="false"/>
          <w:sz w:val="20"/>
          <w:szCs w:val="20"/>
        </w:rPr>
        <w:t xml:space="preserve">All vitals data correctly associates with authenticated user account</w:t>
      </w:r>
    </w:p>
    <w:p>
      <w:pPr>
        <w:pStyle w:val="ListParagraph"/>
        <w:numPr>
          <w:ilvl w:val="0"/>
          <w:numId w:val="2"/>
        </w:numPr>
        <w:spacing w:after="40" w:before="40"/>
      </w:pPr>
      <w:r>
        <w:rPr>
          <w:rFonts w:ascii="Arial" w:cs="Arial" w:eastAsia="Arial" w:hAnsi="Arial"/>
          <w:b w:val="false"/>
          <w:bCs w:val="false"/>
          <w:sz w:val="20"/>
          <w:szCs w:val="20"/>
        </w:rPr>
        <w:t xml:space="preserve">Family tier allows creation and switching between up to 5 patient profiles</w:t>
      </w:r>
    </w:p>
    <w:p>
      <w:pPr>
        <w:pStyle w:val="ListParagraph"/>
        <w:numPr>
          <w:ilvl w:val="0"/>
          <w:numId w:val="2"/>
        </w:numPr>
        <w:spacing w:after="40" w:before="40"/>
      </w:pPr>
      <w:r>
        <w:rPr>
          <w:rFonts w:ascii="Arial" w:cs="Arial" w:eastAsia="Arial" w:hAnsi="Arial"/>
          <w:b w:val="false"/>
          <w:bCs w:val="false"/>
          <w:sz w:val="20"/>
          <w:szCs w:val="20"/>
        </w:rPr>
        <w:t xml:space="preserve">Token refresh works correctly — user stays logged in across sessions</w:t>
      </w:r>
    </w:p>
    <w:p>
      <w:pPr>
        <w:pStyle w:val="ListParagraph"/>
        <w:numPr>
          <w:ilvl w:val="0"/>
          <w:numId w:val="2"/>
        </w:numPr>
        <w:spacing w:after="40" w:before="40"/>
      </w:pPr>
      <w:r>
        <w:rPr>
          <w:rFonts w:ascii="Arial" w:cs="Arial" w:eastAsia="Arial" w:hAnsi="Arial"/>
          <w:b w:val="false"/>
          <w:bCs w:val="false"/>
          <w:sz w:val="20"/>
          <w:szCs w:val="20"/>
        </w:rPr>
        <w:t xml:space="preserve">DigitalOcean backend live and serving authenticated requests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6</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Onboarding Flow</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Aug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In Progress</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Build the first-time user experience that converts trial downloads into habitual daily users. The onboarding flow is not built until Phase 4 because there needs to be something worth onboarding people into — the core loop, clinical data, and PDF export all need to exist first.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Welcome Screen — 'Welcome to Vitals. You're about to turn your daily readings into clear, understandable trends.'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Purpose Screen — brief explanation of what the app does and why it matters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Personalization Screen — 'Who are you tracking for?' (Myself / A family member / Both). Surfaces family plan naturally without a sales pitch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Patient Setup Screen (added scope) — collects name, date of birth, and gender for whoever is being tracked (self and/or family member); creates the actual patient record via the household-scoped /api/patients endpoint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Sample Dashboard Screen — pre-populated with example data, clearly labeled 'Example'. Shows what the user's dashboard will look like with real data. Built as a guided coach-mark tour over the real dashboard layout rather than a static mockup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Vital Preferences Screen (added scope) — choose which vitals beyond blood pressure to track (heart rate, SpO₂, temperature, weight, glucose). Preferences are patient-scoped and persisted server-side; the Home Dashboard, Vitals Entry, Vitals Analysis, and clinician PDF use the selected patient's persisted settings — </w:t>
      </w:r>
      <w:r>
        <w:rPr>
          <w:rFonts w:ascii="Arial" w:cs="Arial" w:eastAsia="Arial" w:hAnsi="Arial"/>
          <w:b/>
          <w:bCs/>
          <w:color w:val="2E7D32"/>
          <w:sz w:val="20"/>
          <w:szCs w:val="20"/>
        </w:rPr>
        <w:t>✅ Built</w:t>
      </w:r>
    </w:p>
    <w:p>
      <w:pPr>
        <w:pStyle w:val="ListParagraph"/>
        <w:numPr>
          <w:ilvl w:val="0"/>
          <w:numId w:val="2"/>
        </w:numPr>
        <w:spacing w:after="40" w:before="40"/>
      </w:pPr>
      <w:r>
        <w:rPr>
          <w:rFonts w:ascii="Arial" w:cs="Arial" w:eastAsia="Arial" w:hAnsi="Arial"/>
          <w:b w:val="false"/>
          <w:bCs w:val="false"/>
          <w:sz w:val="20"/>
          <w:szCs w:val="20"/>
        </w:rPr>
        <w:t xml:space="preserve">First Log Prompt — 'Your baseline starts now. Log your first reading.' Includes a Skip option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Login Screen (added scope) — email/password fields + Google sign-in, with a 'New to Vitals? Sign up here' link. Google functional; email/password shown as disabled placeholder pending backend support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Sign Up Screen (added scope) — email/password/confirm fields, or sign up with Google/Apple ID. Google functional and correctly routes new vs. existing accounts (via /api/auth/google's is_new_user); email/password and Apple ID shown as disabled placeholders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Apple ID Sign-In/Sign-Up (outstanding) — gated on Apple Developer Program enrollment ($99/yr), not yet complete. Xcode is installed and the hardware prerequisite (a Mac) is now in place — </w:t>
      </w:r>
      <w:r>
        <w:rPr>
          <w:rFonts w:ascii="Arial" w:cs="Arial" w:eastAsia="Arial" w:hAnsi="Arial"/>
          <w:b/>
          <w:bCs/>
          <w:color w:val="E65100"/>
          <w:sz w:val="20"/>
          <w:szCs w:val="20"/>
        </w:rPr>
        <w:t xml:space="preserve">⏳ Not built</w:t>
      </w:r>
    </w:p>
    <w:p>
      <w:pPr>
        <w:pStyle w:val="ListParagraph"/>
        <w:numPr>
          <w:ilvl w:val="0"/>
          <w:numId w:val="2"/>
        </w:numPr>
        <w:spacing w:after="40" w:before="40"/>
      </w:pPr>
      <w:r>
        <w:rPr>
          <w:rFonts w:ascii="Arial" w:cs="Arial" w:eastAsia="Arial" w:hAnsi="Arial"/>
          <w:b w:val="false"/>
          <w:bCs w:val="false"/>
          <w:sz w:val="20"/>
          <w:szCs w:val="20"/>
        </w:rPr>
        <w:t xml:space="preserve">Household Sharing / Invite — the primary account holder invites a household member by email from Manage Household (Settings); recipient gets a branded email with a short code, redeemed on the new plan-selection screen’s “Join an existing household” option during their own normal sign-up. Invite codes expire in 24 hours and reserve a patient slot against the household’s limit until used or cancelled, so a second person can never join expecting a slot that isn’t actually available. The joining user attaches to an existing patient (with a DOB/gender confirmation step to prevent claiming the wrong person) or creates a new one if slots remain. patient_users now tracks the relationship (self vs. caregiver) between each user and patient — </w:t>
      </w:r>
      <w:r>
        <w:rPr>
          <w:rFonts w:ascii="Arial" w:cs="Arial" w:eastAsia="Arial" w:hAnsi="Arial"/>
          <w:b/>
          <w:bCs/>
          <w:color w:val="2E7D32"/>
          <w:sz w:val="20"/>
          <w:szCs w:val="20"/>
        </w:rPr>
        <w:t xml:space="preserve">✅ Built</w:t>
      </w:r>
    </w:p>
    <w:p>
      <w:pPr>
        <w:spacing w:after="100" w:before="0"/>
      </w:pPr>
      <w:r>
        <w:t xml:space="preserve"/>
      </w:r>
    </w:p>
    <w:p>
      <w:pPr>
        <w:spacing w:after="60" w:before="180"/>
      </w:pPr>
      <w:r>
        <w:rPr>
          <w:rFonts w:ascii="Arial" w:cs="Arial" w:eastAsia="Arial" w:hAnsi="Arial"/>
          <w:b/>
          <w:bCs/>
          <w:color w:val="00B4C8"/>
          <w:sz w:val="22"/>
          <w:szCs w:val="22"/>
        </w:rPr>
        <w:t>Resolved Issues</w:t>
      </w:r>
    </w:p>
    <w:p>
      <w:pPr>
        <w:pStyle w:val="ListParagraph"/>
        <w:numPr>
          <w:ilvl w:val="0"/>
          <w:numId w:val="2"/>
        </w:numPr>
        <w:spacing w:after="40" w:before="40"/>
      </w:pPr>
      <w:r>
        <w:rPr>
          <w:rFonts w:ascii="Arial" w:cs="Arial" w:eastAsia="Arial" w:hAnsi="Arial"/>
          <w:b w:val="false"/>
          <w:bCs w:val="false"/>
          <w:sz w:val="20"/>
          <w:szCs w:val="20"/>
        </w:rPr>
        <w:t xml:space="preserve">Vital preference display consistency (resolved Oct 1, 2026) — The current product contract now gates optional vitals consistently across the Home Dashboard, Vitals Entry, Vitals Analysis, and clinician PDF using the selected patient's persisted Settings preferences. Weight and Glucose are no longer absent when enabled, and optional metrics are not forced visible when disabled. Preference writes are patient-scoped, server-confirmed, and serialized to prevent stale local state. Vitals History is not part of the current preference-gating contract and should be handled separately if that behavior is revisited — </w:t>
      </w:r>
      <w:r>
        <w:rPr>
          <w:rFonts w:ascii="Arial" w:cs="Arial" w:eastAsia="Arial" w:hAnsi="Arial"/>
          <w:b/>
          <w:bCs/>
          <w:color w:val="2E7D32"/>
          <w:sz w:val="20"/>
          <w:szCs w:val="20"/>
        </w:rPr>
        <w:t>✅ Resolved</w:t>
      </w:r>
    </w:p>
    <w:p>
      <w:pPr>
        <w:spacing w:after="100" w:before="0"/>
      </w:pPr>
      <w:r>
        <w:t xml:space="preserve"/>
      </w:r>
    </w:p>
    <w:p>
      <w:pPr>
        <w:spacing w:after="60" w:before="180"/>
      </w:pPr>
      <w:r>
        <w:rPr>
          <w:rFonts w:ascii="Arial" w:cs="Arial" w:eastAsia="Arial" w:hAnsi="Arial"/>
          <w:b/>
          <w:bCs/>
          <w:color w:val="00B4C8"/>
          <w:sz w:val="22"/>
          <w:szCs w:val="22"/>
        </w:rPr>
        <w:t xml:space="preserve">Tone &amp; Design Principles</w:t>
      </w:r>
    </w:p>
    <w:p>
      <w:pPr>
        <w:pStyle w:val="ListParagraph"/>
        <w:numPr>
          <w:ilvl w:val="0"/>
          <w:numId w:val="2"/>
        </w:numPr>
        <w:spacing w:after="40" w:before="40"/>
      </w:pPr>
      <w:r>
        <w:rPr>
          <w:rFonts w:ascii="Arial" w:cs="Arial" w:eastAsia="Arial" w:hAnsi="Arial"/>
          <w:b w:val="false"/>
          <w:bCs w:val="false"/>
          <w:sz w:val="20"/>
          <w:szCs w:val="20"/>
        </w:rPr>
        <w:t xml:space="preserve">Calm and supportive — caregivers are already anxious</w:t>
      </w:r>
    </w:p>
    <w:p>
      <w:pPr>
        <w:pStyle w:val="ListParagraph"/>
        <w:numPr>
          <w:ilvl w:val="0"/>
          <w:numId w:val="2"/>
        </w:numPr>
        <w:spacing w:after="40" w:before="40"/>
      </w:pPr>
      <w:r>
        <w:rPr>
          <w:rFonts w:ascii="Arial" w:cs="Arial" w:eastAsia="Arial" w:hAnsi="Arial"/>
          <w:b w:val="false"/>
          <w:bCs w:val="false"/>
          <w:sz w:val="20"/>
          <w:szCs w:val="20"/>
        </w:rPr>
        <w:t xml:space="preserve">No fear-based messaging, no urgency without context, no clinical jargon</w:t>
      </w:r>
    </w:p>
    <w:p>
      <w:pPr>
        <w:pStyle w:val="ListParagraph"/>
        <w:numPr>
          <w:ilvl w:val="0"/>
          <w:numId w:val="2"/>
        </w:numPr>
        <w:spacing w:after="40" w:before="40"/>
      </w:pPr>
      <w:r>
        <w:rPr>
          <w:rFonts w:ascii="Arial" w:cs="Arial" w:eastAsia="Arial" w:hAnsi="Arial"/>
          <w:b w:val="false"/>
          <w:bCs w:val="false"/>
          <w:sz w:val="20"/>
          <w:szCs w:val="20"/>
        </w:rPr>
        <w:t xml:space="preserve">Promise progress, not instant results: 'In a few days you'll see patterns. In two weeks, the full picture.'</w:t>
      </w:r>
    </w:p>
    <w:p>
      <w:pPr>
        <w:pStyle w:val="ListParagraph"/>
        <w:numPr>
          <w:ilvl w:val="0"/>
          <w:numId w:val="2"/>
        </w:numPr>
        <w:spacing w:after="40" w:before="40"/>
      </w:pPr>
      <w:r>
        <w:rPr>
          <w:rFonts w:ascii="Arial" w:cs="Arial" w:eastAsia="Arial" w:hAnsi="Arial"/>
          <w:b w:val="false"/>
          <w:bCs w:val="false"/>
          <w:sz w:val="20"/>
          <w:szCs w:val="20"/>
        </w:rPr>
        <w:t xml:space="preserve">Use 'meaningful' rather than 'accurate' when describing trend data</w:t>
      </w:r>
    </w:p>
    <w:p>
      <w:pPr>
        <w:spacing w:after="100" w:before="0"/>
      </w:pPr>
      <w:r>
        <w:t xml:space="preserve"/>
      </w:r>
    </w:p>
    <w:p>
      <w:pPr>
        <w:spacing w:after="60" w:before="180"/>
      </w:pPr>
      <w:r>
        <w:rPr>
          <w:rFonts w:ascii="Arial" w:cs="Arial" w:eastAsia="Arial" w:hAnsi="Arial"/>
          <w:b/>
          <w:bCs/>
          <w:color w:val="00B4C8"/>
          <w:sz w:val="22"/>
          <w:szCs w:val="22"/>
        </w:rPr>
        <w:t xml:space="preserve">Notification Strategy — Local Notifications</w:t>
      </w:r>
    </w:p>
    <w:p>
      <w:pPr>
        <w:spacing w:after="60" w:before="60"/>
      </w:pPr>
      <w:r>
        <w:rPr>
          <w:rFonts w:ascii="Arial" w:cs="Arial" w:eastAsia="Arial" w:hAnsi="Arial"/>
          <w:sz w:val="20"/>
          <w:szCs w:val="20"/>
        </w:rPr>
        <w:t xml:space="preserve">Phase 6 introduces local push notifications for retention. Implementation uses OS-level scheduled notifications — no background app process required, minimal battery impact.</w:t>
      </w:r>
    </w:p>
    <w:p>
      <w:pPr>
        <w:pStyle w:val="ListParagraph"/>
        <w:numPr>
          <w:ilvl w:val="0"/>
          <w:numId w:val="2"/>
        </w:numPr>
        <w:spacing w:after="40" w:before="40"/>
      </w:pPr>
      <w:r>
        <w:rPr>
          <w:rFonts w:ascii="Arial" w:cs="Arial" w:eastAsia="Arial" w:hAnsi="Arial"/>
          <w:b w:val="false"/>
          <w:bCs w:val="false"/>
          <w:sz w:val="20"/>
          <w:szCs w:val="20"/>
        </w:rPr>
        <w:t xml:space="preserve">Log reminder: Scheduled at time of last entry. If no new log within 24 hours, fire notification.</w:t>
      </w:r>
    </w:p>
    <w:p>
      <w:pPr>
        <w:pStyle w:val="ListParagraph"/>
        <w:numPr>
          <w:ilvl w:val="0"/>
          <w:numId w:val="2"/>
        </w:numPr>
        <w:spacing w:after="40" w:before="40"/>
      </w:pPr>
      <w:r>
        <w:rPr>
          <w:rFonts w:ascii="Arial" w:cs="Arial" w:eastAsia="Arial" w:hAnsi="Arial"/>
          <w:b w:val="false"/>
          <w:bCs w:val="false"/>
          <w:sz w:val="20"/>
          <w:szCs w:val="20"/>
        </w:rPr>
        <w:t xml:space="preserve">Momentum framing: 'Your 7-day trend is building. Log today to keep it going.' Not 'You missed a day.'</w:t>
      </w:r>
    </w:p>
    <w:p>
      <w:pPr>
        <w:pStyle w:val="ListParagraph"/>
        <w:numPr>
          <w:ilvl w:val="0"/>
          <w:numId w:val="2"/>
        </w:numPr>
        <w:spacing w:after="40" w:before="40"/>
      </w:pPr>
      <w:r>
        <w:rPr>
          <w:rFonts w:ascii="Arial" w:cs="Arial" w:eastAsia="Arial" w:hAnsi="Arial"/>
          <w:b w:val="false"/>
          <w:bCs w:val="false"/>
          <w:sz w:val="20"/>
          <w:szCs w:val="20"/>
        </w:rPr>
        <w:t xml:space="preserve">Milestone notifications: 'You've logged 7 days in a row. Your first trend report is ready.'</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New user completes onboarding in under 2 minutes</w:t>
      </w:r>
    </w:p>
    <w:p>
      <w:pPr>
        <w:pStyle w:val="ListParagraph"/>
        <w:numPr>
          <w:ilvl w:val="0"/>
          <w:numId w:val="2"/>
        </w:numPr>
        <w:spacing w:after="40" w:before="40"/>
      </w:pPr>
      <w:r>
        <w:rPr>
          <w:rFonts w:ascii="Arial" w:cs="Arial" w:eastAsia="Arial" w:hAnsi="Arial"/>
          <w:b w:val="false"/>
          <w:bCs w:val="false"/>
          <w:sz w:val="20"/>
          <w:szCs w:val="20"/>
        </w:rPr>
        <w:t xml:space="preserve">Sample dashboard correctly demonstrates the value of the paid tier</w:t>
      </w:r>
    </w:p>
    <w:p>
      <w:pPr>
        <w:pStyle w:val="ListParagraph"/>
        <w:numPr>
          <w:ilvl w:val="0"/>
          <w:numId w:val="2"/>
        </w:numPr>
        <w:spacing w:after="40" w:before="40"/>
      </w:pPr>
      <w:r>
        <w:rPr>
          <w:rFonts w:ascii="Arial" w:cs="Arial" w:eastAsia="Arial" w:hAnsi="Arial"/>
          <w:b w:val="false"/>
          <w:bCs w:val="false"/>
          <w:sz w:val="20"/>
          <w:szCs w:val="20"/>
        </w:rPr>
        <w:t xml:space="preserve">Personalization selection correctly configures the app for individual vs. caregiver use case</w:t>
      </w:r>
    </w:p>
    <w:p>
      <w:pPr>
        <w:pStyle w:val="ListParagraph"/>
        <w:numPr>
          <w:ilvl w:val="0"/>
          <w:numId w:val="2"/>
        </w:numPr>
        <w:spacing w:after="40" w:before="40"/>
      </w:pPr>
      <w:r>
        <w:rPr>
          <w:rFonts w:ascii="Arial" w:cs="Arial" w:eastAsia="Arial" w:hAnsi="Arial"/>
          <w:b w:val="false"/>
          <w:bCs w:val="false"/>
          <w:sz w:val="20"/>
          <w:szCs w:val="20"/>
        </w:rPr>
        <w:t xml:space="preserve">Local notification scheduling implemented and tested on both platforms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7</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Stripe Integration &amp; Launch</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Sep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E65100"/>
                <w:sz w:val="18"/>
                <w:szCs w:val="18"/>
              </w:rPr>
              <w:t xml:space="preserve">Launch</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payment processing, subscription management, and trial conversion — then ship. September 2026 is the hard launch target. This phase converts Vitals from a development project into a revenue-generating product.</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Stripe integration — subscription billing for Individual ($10/mo or $89/yr) and Family ($20/mo or $189/yr) tiers</w:t>
      </w:r>
    </w:p>
    <w:p>
      <w:pPr>
        <w:pStyle w:val="ListParagraph"/>
        <w:numPr>
          <w:ilvl w:val="0"/>
          <w:numId w:val="2"/>
        </w:numPr>
        <w:spacing w:after="40" w:before="40"/>
      </w:pPr>
      <w:r>
        <w:rPr>
          <w:rFonts w:ascii="Arial" w:cs="Arial" w:eastAsia="Arial" w:hAnsi="Arial"/>
          <w:b w:val="false"/>
          <w:bCs w:val="false"/>
          <w:sz w:val="20"/>
          <w:szCs w:val="20"/>
        </w:rPr>
        <w:t xml:space="preserve">Stripe Tax enabled from day one — 0.5% automatic SaaS tax compliance</w:t>
      </w:r>
    </w:p>
    <w:p>
      <w:pPr>
        <w:pStyle w:val="ListParagraph"/>
        <w:numPr>
          <w:ilvl w:val="0"/>
          <w:numId w:val="2"/>
        </w:numPr>
        <w:spacing w:after="40" w:before="40"/>
      </w:pPr>
      <w:r>
        <w:rPr>
          <w:rFonts w:ascii="Arial" w:cs="Arial" w:eastAsia="Arial" w:hAnsi="Arial"/>
          <w:b w:val="false"/>
          <w:bCs w:val="false"/>
          <w:sz w:val="20"/>
          <w:szCs w:val="20"/>
        </w:rPr>
        <w:t xml:space="preserve">Free trial management — 30-day trial with card required. KDP journal QR code links to 90-day trial without card required.</w:t>
      </w:r>
    </w:p>
    <w:p>
      <w:pPr>
        <w:pStyle w:val="ListParagraph"/>
        <w:numPr>
          <w:ilvl w:val="0"/>
          <w:numId w:val="2"/>
        </w:numPr>
        <w:spacing w:after="40" w:before="40"/>
      </w:pPr>
      <w:r>
        <w:rPr>
          <w:rFonts w:ascii="Arial" w:cs="Arial" w:eastAsia="Arial" w:hAnsi="Arial"/>
          <w:b w:val="false"/>
          <w:bCs w:val="false"/>
          <w:sz w:val="20"/>
          <w:szCs w:val="20"/>
        </w:rPr>
        <w:t xml:space="preserve">Paywall enforcement — free tier limited to 5 medications, no PDF export, no care team, no clinical visualization</w:t>
      </w:r>
    </w:p>
    <w:p>
      <w:pPr>
        <w:pStyle w:val="ListParagraph"/>
        <w:numPr>
          <w:ilvl w:val="0"/>
          <w:numId w:val="2"/>
        </w:numPr>
        <w:spacing w:after="40" w:before="40"/>
      </w:pPr>
      <w:r>
        <w:rPr>
          <w:rFonts w:ascii="Arial" w:cs="Arial" w:eastAsia="Arial" w:hAnsi="Arial"/>
          <w:b w:val="false"/>
          <w:bCs w:val="false"/>
          <w:sz w:val="20"/>
          <w:szCs w:val="20"/>
        </w:rPr>
        <w:t xml:space="preserve">Subscription management screen — plan details, billing date, upgrade/downgrade, cancellation</w:t>
      </w:r>
    </w:p>
    <w:p>
      <w:pPr>
        <w:pStyle w:val="ListParagraph"/>
        <w:numPr>
          <w:ilvl w:val="0"/>
          <w:numId w:val="2"/>
        </w:numPr>
        <w:spacing w:after="40" w:before="40"/>
      </w:pPr>
      <w:r>
        <w:rPr>
          <w:rFonts w:ascii="Arial" w:cs="Arial" w:eastAsia="Arial" w:hAnsi="Arial"/>
          <w:b w:val="false"/>
          <w:bCs w:val="false"/>
          <w:sz w:val="20"/>
          <w:szCs w:val="20"/>
        </w:rPr>
        <w:t xml:space="preserve">Trial expiration flow — graceful conversion prompt at day 25, 28, 30</w:t>
      </w:r>
    </w:p>
    <w:p>
      <w:pPr>
        <w:spacing w:after="100" w:before="0"/>
      </w:pPr>
      <w:r>
        <w:t xml:space="preserve"/>
      </w:r>
    </w:p>
    <w:p>
      <w:pPr>
        <w:spacing w:after="60" w:before="180"/>
      </w:pPr>
      <w:r>
        <w:rPr>
          <w:rFonts w:ascii="Arial" w:cs="Arial" w:eastAsia="Arial" w:hAnsi="Arial"/>
          <w:b/>
          <w:bCs/>
          <w:color w:val="00B4C8"/>
          <w:sz w:val="22"/>
          <w:szCs w:val="22"/>
        </w:rPr>
        <w:t xml:space="preserve">App Store &amp; Google Play Submission</w:t>
      </w:r>
    </w:p>
    <w:p>
      <w:pPr>
        <w:spacing w:after="120" w:before="60"/>
      </w:pPr>
      <w:r>
        <w:rPr>
          <w:rFonts w:ascii="Arial" w:cs="Arial" w:eastAsia="Arial" w:hAnsi="Arial"/>
          <w:b/>
          <w:bCs/>
          <w:i/>
          <w:iCs/>
          <w:color w:val="1565C0"/>
          <w:sz w:val="19"/>
          <w:szCs w:val="19"/>
        </w:rPr>
        <w:t xml:space="preserve">Decision (Sep 3, 2026): Android-first launch. Apple’s review process typically runs 1–2 weeks after submission, and submission itself can’t happen until enrollment is approved and the app is signed with a production certificate — the single biggest scheduling risk to a September date. Android ships first; iOS follows as a fast-follow once Apple’s process clears. Apple Sign-In remains a real Phase 6 requirement regardless — this only changes launch sequencing, not feature scope.</w:t>
      </w:r>
    </w:p>
    <w:p>
      <w:pPr>
        <w:spacing w:after="60" w:before="120"/>
      </w:pPr>
      <w:r>
        <w:rPr>
          <w:rFonts w:ascii="Arial" w:cs="Arial" w:eastAsia="Arial" w:hAnsi="Arial"/>
          <w:b/>
          <w:bCs/>
          <w:color w:val="2E7D32"/>
          <w:sz w:val="20"/>
          <w:szCs w:val="20"/>
        </w:rPr>
        <w:t xml:space="preserve">Android — Active Launch Target</w:t>
      </w:r>
    </w:p>
    <w:p>
      <w:pPr>
        <w:pStyle w:val="ListParagraph"/>
        <w:numPr>
          <w:ilvl w:val="0"/>
          <w:numId w:val="2"/>
        </w:numPr>
        <w:spacing w:after="40" w:before="40"/>
      </w:pPr>
      <w:r>
        <w:rPr>
          <w:rFonts w:ascii="Arial" w:cs="Arial" w:eastAsia="Arial" w:hAnsi="Arial"/>
          <w:b w:val="false"/>
          <w:bCs w:val="false"/>
          <w:sz w:val="20"/>
          <w:szCs w:val="20"/>
        </w:rPr>
        <w:t xml:space="preserve">Google Play Console listing — screenshots, description, keywords, age rating</w:t>
      </w:r>
    </w:p>
    <w:p>
      <w:pPr>
        <w:pStyle w:val="ListParagraph"/>
        <w:numPr>
          <w:ilvl w:val="0"/>
          <w:numId w:val="2"/>
        </w:numPr>
        <w:spacing w:after="40" w:before="40"/>
      </w:pPr>
      <w:r>
        <w:rPr>
          <w:rFonts w:ascii="Arial" w:cs="Arial" w:eastAsia="Arial" w:hAnsi="Arial"/>
          <w:b w:val="false"/>
          <w:bCs w:val="false"/>
          <w:sz w:val="20"/>
          <w:szCs w:val="20"/>
        </w:rPr>
        <w:t xml:space="preserve">Production signing keystore generated and used for release builds — still on the debug keystore as of Sep 2026</w:t>
      </w:r>
    </w:p>
    <w:p>
      <w:pPr>
        <w:pStyle w:val="ListParagraph"/>
        <w:numPr>
          <w:ilvl w:val="0"/>
          <w:numId w:val="2"/>
        </w:numPr>
        <w:spacing w:after="40" w:before="40"/>
      </w:pPr>
      <w:r>
        <w:rPr>
          <w:rFonts w:ascii="Arial" w:cs="Arial" w:eastAsia="Arial" w:hAnsi="Arial"/>
          <w:b w:val="false"/>
          <w:bCs w:val="false"/>
          <w:sz w:val="20"/>
          <w:szCs w:val="20"/>
        </w:rPr>
        <w:t xml:space="preserve">vitals-wellness.com landing page live — domain already registered</w:t>
      </w:r>
    </w:p>
    <w:p>
      <w:pPr>
        <w:spacing w:after="60" w:before="120"/>
      </w:pPr>
      <w:r>
        <w:rPr>
          <w:rFonts w:ascii="Arial" w:cs="Arial" w:eastAsia="Arial" w:hAnsi="Arial"/>
          <w:b/>
          <w:bCs/>
          <w:color w:val="E65100"/>
          <w:sz w:val="20"/>
          <w:szCs w:val="20"/>
        </w:rPr>
        <w:t xml:space="preserve">iOS / Apple — Deferred (fast-follow after Android launch)</w:t>
      </w:r>
    </w:p>
    <w:p>
      <w:pPr>
        <w:pStyle w:val="ListParagraph"/>
        <w:numPr>
          <w:ilvl w:val="0"/>
          <w:numId w:val="2"/>
        </w:numPr>
        <w:spacing w:after="40" w:before="40"/>
      </w:pPr>
      <w:r>
        <w:rPr>
          <w:rFonts w:ascii="Arial" w:cs="Arial" w:eastAsia="Arial" w:hAnsi="Arial"/>
          <w:b w:val="false"/>
          <w:bCs w:val="false"/>
          <w:sz w:val="20"/>
          <w:szCs w:val="20"/>
        </w:rPr>
        <w:t xml:space="preserve">Apple Developer Program enrollment ($99/yr) — required for iOS App Store submission; not yet started as of Sep 2026</w:t>
      </w:r>
    </w:p>
    <w:p>
      <w:pPr>
        <w:pStyle w:val="ListParagraph"/>
        <w:numPr>
          <w:ilvl w:val="0"/>
          <w:numId w:val="2"/>
        </w:numPr>
        <w:spacing w:after="40" w:before="40"/>
      </w:pPr>
      <w:r>
        <w:rPr>
          <w:rFonts w:ascii="Arial" w:cs="Arial" w:eastAsia="Arial" w:hAnsi="Arial"/>
          <w:b w:val="false"/>
          <w:bCs w:val="false"/>
          <w:sz w:val="20"/>
          <w:szCs w:val="20"/>
        </w:rPr>
        <w:t xml:space="preserve">App Store Connect listing — screenshots, description, keywords, age rating</w:t>
      </w:r>
    </w:p>
    <w:p>
      <w:pPr>
        <w:pStyle w:val="ListParagraph"/>
        <w:numPr>
          <w:ilvl w:val="0"/>
          <w:numId w:val="2"/>
        </w:numPr>
        <w:spacing w:after="40" w:before="40"/>
      </w:pPr>
      <w:r>
        <w:rPr>
          <w:rFonts w:ascii="Arial" w:cs="Arial" w:eastAsia="Arial" w:hAnsi="Arial"/>
          <w:b w:val="false"/>
          <w:bCs w:val="false"/>
          <w:sz w:val="20"/>
          <w:szCs w:val="20"/>
        </w:rPr>
        <w:t xml:space="preserve">App review process — allow 1-2 weeks buffer for Apple review</w:t>
      </w:r>
    </w:p>
    <w:p>
      <w:pPr>
        <w:spacing w:after="100" w:before="0"/>
      </w:pPr>
      <w:r>
        <w:t xml:space="preserve"/>
      </w:r>
    </w:p>
    <w:p>
      <w:pPr>
        <w:spacing w:after="60" w:before="180"/>
      </w:pPr>
      <w:r>
        <w:rPr>
          <w:rFonts w:ascii="Arial" w:cs="Arial" w:eastAsia="Arial" w:hAnsi="Arial"/>
          <w:b/>
          <w:bCs/>
          <w:color w:val="00B4C8"/>
          <w:sz w:val="22"/>
          <w:szCs w:val="22"/>
        </w:rPr>
        <w:t xml:space="preserve">Launch Checklist</w:t>
      </w:r>
    </w:p>
    <w:p>
      <w:pPr>
        <w:pStyle w:val="ListParagraph"/>
        <w:numPr>
          <w:ilvl w:val="0"/>
          <w:numId w:val="2"/>
        </w:numPr>
        <w:spacing w:after="40" w:before="40"/>
      </w:pPr>
      <w:r>
        <w:rPr>
          <w:rFonts w:ascii="Arial" w:cs="Arial" w:eastAsia="Arial" w:hAnsi="Arial"/>
          <w:b w:val="false"/>
          <w:bCs w:val="false"/>
          <w:sz w:val="20"/>
          <w:szCs w:val="20"/>
        </w:rPr>
        <w:t xml:space="preserve">All 7 phases complete and tested on physical devices</w:t>
      </w:r>
    </w:p>
    <w:p>
      <w:pPr>
        <w:pStyle w:val="ListParagraph"/>
        <w:numPr>
          <w:ilvl w:val="0"/>
          <w:numId w:val="2"/>
        </w:numPr>
        <w:spacing w:after="40" w:before="40"/>
      </w:pPr>
      <w:r>
        <w:rPr>
          <w:rFonts w:ascii="Arial" w:cs="Arial" w:eastAsia="Arial" w:hAnsi="Arial"/>
          <w:b w:val="false"/>
          <w:bCs w:val="false"/>
          <w:sz w:val="20"/>
          <w:szCs w:val="20"/>
        </w:rPr>
        <w:t xml:space="preserve">Dr. Warren distribution card designed, printed, and delivered</w:t>
      </w:r>
    </w:p>
    <w:p>
      <w:pPr>
        <w:pStyle w:val="ListParagraph"/>
        <w:numPr>
          <w:ilvl w:val="0"/>
          <w:numId w:val="2"/>
        </w:numPr>
        <w:spacing w:after="40" w:before="40"/>
      </w:pPr>
      <w:r>
        <w:rPr>
          <w:rFonts w:ascii="Arial" w:cs="Arial" w:eastAsia="Arial" w:hAnsi="Arial"/>
          <w:b w:val="false"/>
          <w:bCs w:val="false"/>
          <w:sz w:val="20"/>
          <w:szCs w:val="20"/>
        </w:rPr>
        <w:t xml:space="preserve">KDP journals listed on Amazon with QR codes live</w:t>
      </w:r>
    </w:p>
    <w:p>
      <w:pPr>
        <w:pStyle w:val="ListParagraph"/>
        <w:numPr>
          <w:ilvl w:val="0"/>
          <w:numId w:val="2"/>
        </w:numPr>
        <w:spacing w:after="40" w:before="40"/>
      </w:pPr>
      <w:r>
        <w:rPr>
          <w:rFonts w:ascii="Arial" w:cs="Arial" w:eastAsia="Arial" w:hAnsi="Arial"/>
          <w:b w:val="false"/>
          <w:bCs w:val="false"/>
          <w:sz w:val="20"/>
          <w:szCs w:val="20"/>
        </w:rPr>
        <w:t xml:space="preserve">Privacy policy and terms of service published at vitals-wellness.com</w:t>
      </w:r>
    </w:p>
    <w:p>
      <w:pPr>
        <w:pStyle w:val="ListParagraph"/>
        <w:numPr>
          <w:ilvl w:val="0"/>
          <w:numId w:val="2"/>
        </w:numPr>
        <w:spacing w:after="40" w:before="40"/>
      </w:pPr>
      <w:r>
        <w:rPr>
          <w:rFonts w:ascii="Arial" w:cs="Arial" w:eastAsia="Arial" w:hAnsi="Arial"/>
          <w:b w:val="false"/>
          <w:bCs w:val="false"/>
          <w:sz w:val="20"/>
          <w:szCs w:val="20"/>
        </w:rPr>
        <w:t xml:space="preserve">Support email configured at vitals-wellness.com Microsoft 365</w:t>
      </w:r>
    </w:p>
    <w:p>
      <w:pPr>
        <w:pStyle w:val="ListParagraph"/>
        <w:numPr>
          <w:ilvl w:val="0"/>
          <w:numId w:val="2"/>
        </w:numPr>
        <w:spacing w:after="40" w:before="40"/>
      </w:pPr>
      <w:r>
        <w:rPr>
          <w:rFonts w:ascii="Arial" w:cs="Arial" w:eastAsia="Arial" w:hAnsi="Arial"/>
          <w:b w:val="false"/>
          <w:bCs w:val="false"/>
          <w:sz w:val="20"/>
          <w:szCs w:val="20"/>
        </w:rPr>
        <w:t xml:space="preserve">DigitalOcean infrastructure scaled for initial subscriber load</w:t>
      </w:r>
    </w:p>
    <w:p>
      <w:pPr>
        <w:pStyle w:val="ListParagraph"/>
        <w:numPr>
          <w:ilvl w:val="0"/>
          <w:numId w:val="2"/>
        </w:numPr>
        <w:spacing w:after="40" w:before="40"/>
      </w:pPr>
      <w:r>
        <w:rPr>
          <w:rFonts w:ascii="Arial" w:cs="Arial" w:eastAsia="Arial" w:hAnsi="Arial"/>
          <w:b w:val="false"/>
          <w:bCs w:val="false"/>
          <w:sz w:val="20"/>
          <w:szCs w:val="20"/>
        </w:rPr>
        <w:t xml:space="preserve">Stripe webhooks tested — subscription creation, renewal, cancellation all confirmed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spacing w:after="60" w:before="60"/>
      </w:pPr>
      <w:r>
        <w:rPr>
          <w:rFonts w:ascii="Arial" w:cs="Arial" w:eastAsia="Arial" w:hAnsi="Arial"/>
          <w:sz w:val="20"/>
          <w:szCs w:val="20"/>
        </w:rPr>
        <w:t xml:space="preserve">Vitals is live in the Apple App Store and Google Play Store. A paying subscriber can download the app, complete onboarding, log vitals, view trends, manage medications, build a care team, generate a physician-grade PDF, and share it — all from their phone, for $10 a month.</w:t>
      </w:r>
    </w:p>
    <w:p>
      <w:pPr>
        <w:spacing w:after="200" w:before="80"/>
      </w:pPr>
      <w:r>
        <w:rPr>
          <w:rFonts w:ascii="Arial" w:cs="Arial" w:eastAsia="Arial" w:hAnsi="Arial"/>
          <w:b/>
          <w:bCs/>
          <w:i/>
          <w:iCs/>
          <w:color w:val="1565C0"/>
          <w:sz w:val="19"/>
          <w:szCs w:val="19"/>
        </w:rPr>
        <w:t xml:space="preserve">Interim milestone (Android-first): the above holds true on Google Play alone as the actual September target — Apple App Store availability follows once enrollment and review clear, per the Android-first decision above.</w:t>
      </w:r>
    </w:p>
    <w:p>
      <w:pPr>
        <w:spacing w:after="200" w:before="0"/>
      </w:pPr>
      <w:r>
        <w:t xml:space="preserve"/>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Post-Launch Development Priorities</w:t>
      </w:r>
    </w:p>
    <w:p>
      <w:pPr>
        <w:spacing w:after="60" w:before="60"/>
      </w:pPr>
      <w:r>
        <w:rPr>
          <w:rFonts w:ascii="Arial" w:cs="Arial" w:eastAsia="Arial" w:hAnsi="Arial"/>
          <w:sz w:val="20"/>
          <w:szCs w:val="20"/>
        </w:rPr>
        <w:t xml:space="preserve">The following features are confirmed for post-launch development, sequenced by clinical impact and subscriber retention value: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336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c>
          <w:tcPr>
            <w:tcW w:type="dxa" w:w="24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Requested By</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NDC drug database autofill for medication entry</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Reduces friction for medication setup</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Appointment notifications with Last/Next Visit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Caregiver workflow support</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Amy (RN)</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Firebase Cloud Messaging push notifications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Server-personalized retention messaging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Bluetooth device integration (BP cuffs, glucometers)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Eliminates manual entry friction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Koopman et al. research</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Cognitive state tracking module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Dementia/TBI caregiver use case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Founder caregiving experience</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White paper publication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 distribution network activation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Dr. Martinez co-authorship target</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HL7 integration for enterprise licensing</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WellMed, Baylor Scott White potential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Long-term enterprise strategy</w:t>
            </w:r>
          </w:p>
        </w:tc>
      </w:tr>
    </w:tbl>
    <w:p>
      <w:pPr>
        <w:spacing w:after="200" w:before="0"/>
      </w:pPr>
      <w:r>
        <w:t xml:space="preserve"/>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Project Management Notes</w:t>
      </w:r>
    </w:p>
    <w:p>
      <w:pPr>
        <w:pStyle w:val="Heading2"/>
        <w:spacing w:after="80" w:before="240"/>
      </w:pPr>
      <w:r>
        <w:rPr>
          <w:rFonts w:ascii="Arial" w:cs="Arial" w:eastAsia="Arial" w:hAnsi="Arial"/>
          <w:b/>
          <w:bCs/>
          <w:color w:val="1B2A4A"/>
          <w:sz w:val="26"/>
          <w:szCs w:val="26"/>
        </w:rPr>
        <w:t xml:space="preserve">Single Developer Context</w:t>
      </w:r>
    </w:p>
    <w:p>
      <w:pPr>
        <w:spacing w:after="60" w:before="60"/>
      </w:pPr>
      <w:r>
        <w:rPr>
          <w:rFonts w:ascii="Arial" w:cs="Arial" w:eastAsia="Arial" w:hAnsi="Arial"/>
          <w:sz w:val="20"/>
          <w:szCs w:val="20"/>
        </w:rPr>
        <w:t xml:space="preserve">This roadmap is built for a single senior developer working on Vitals as a side project alongside full-time employment. Phase durations are estimated conservatively. Jeremy's assignment load and caregiving responsibilities are real scheduling variables. The roadmap is designed to be sequential — no phase requires parallel tracks — so that progress is always forward even when velocity varies.</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GitHub Repository Strategy</w:t>
      </w:r>
    </w:p>
    <w:p>
      <w:pPr>
        <w:spacing w:after="60" w:before="60"/>
      </w:pPr>
      <w:r>
        <w:rPr>
          <w:rFonts w:ascii="Arial" w:cs="Arial" w:eastAsia="Arial" w:hAnsi="Arial"/>
          <w:sz w:val="20"/>
          <w:szCs w:val="20"/>
        </w:rPr>
        <w:t xml:space="preserve">All Vitals development should be committed to a dedicated private GitHub repository separate from any Pharmacy Unlimited repositories. No Vitals code, architecture, or methodology should touch Pharmacy Unlimited systems or repositories. This is both an IP protection measure and a contractual compliance requirement given the existing NDA and IP assignment clauses.</w:t>
      </w:r>
    </w:p>
    <w:p>
      <w:pPr>
        <w:spacing w:after="100" w:before="0"/>
      </w:pPr>
      <w:r>
        <w:t xml:space="preserve"/>
      </w:r>
    </w:p>
    <w:p>
      <w:pPr>
        <w:pStyle w:val="Heading2"/>
        <w:spacing w:after="80" w:before="240"/>
      </w:pPr>
      <w:r>
        <w:rPr>
          <w:rFonts w:ascii="Arial" w:cs="Arial" w:eastAsia="Arial" w:hAnsi="Arial"/>
          <w:b/>
          <w:bCs/>
          <w:color w:val="1B2A4A"/>
          <w:sz w:val="26"/>
          <w:szCs w:val="26"/>
        </w:rPr>
        <w:t>Backend Migration Status</w:t>
      </w:r>
    </w:p>
    <w:p>
      <w:pPr>
        <w:spacing w:after="60" w:before="60"/>
      </w:pPr>
      <w:r>
        <w:rPr>
          <w:rFonts w:ascii="Arial" w:cs="Arial" w:eastAsia="Arial" w:hAnsi="Arial"/>
          <w:sz w:val="20"/>
          <w:szCs w:val="20"/>
        </w:rPr>
        <w:t>The DigitalOcean production backend is now live and serving authenticated requests. Current deployment work is operational hardening and feature rollout rather than initial migration. The October 1, 2026 Weight Analysis v6 deployment used the production FastAPI deployment path and restarted the vitals-api service successfully; the clinician PDF and mobile Analysis view were then validated against the deployed API.</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The September 2026 Constraint</w:t>
      </w:r>
    </w:p>
    <w:p>
      <w:pPr>
        <w:spacing w:after="60" w:before="60"/>
      </w:pPr>
      <w:r>
        <w:rPr>
          <w:rFonts w:ascii="Arial" w:cs="Arial" w:eastAsia="Arial" w:hAnsi="Arial"/>
          <w:sz w:val="20"/>
          <w:szCs w:val="20"/>
        </w:rPr>
        <w:t xml:space="preserve">September 2026 is not an arbitrary date. It represents approximately 5 months from the current sprint, which is the realistic timeline for a single developer completing 7 phases of a production mobile application while employed full time. The date also aligns with the strategic goal: 1,000 subscribers at $10/month = $10,000/month = financial independence and exit from Pharmacy Unlimited.</w:t>
      </w:r>
    </w:p>
    <w:p>
      <w:pPr>
        <w:spacing w:after="100" w:before="0"/>
      </w:pPr>
      <w:r>
        <w:t xml:space="preserve"/>
      </w:r>
    </w:p>
    <w:p>
      <w:pPr>
        <w:spacing w:after="60" w:before="60"/>
      </w:pPr>
      <w:r>
        <w:rPr>
          <w:rFonts w:ascii="Arial" w:cs="Arial" w:eastAsia="Arial" w:hAnsi="Arial"/>
          <w:sz w:val="20"/>
          <w:szCs w:val="20"/>
        </w:rPr>
        <w:t xml:space="preserve">Every phase completed is one step closer to that number. Every subscriber is one step closer to the exit.</w:t>
      </w:r>
    </w:p>
    <w:p>
      <w:pPr>
        <w:spacing w:after="200" w:before="0"/>
      </w:pPr>
      <w:r>
        <w:t xml:space="preserve"/>
      </w:r>
    </w:p>
    <w:p>
      <w:pPr>
        <w:spacing w:after="120" w:before="240"/>
        <w:jc w:val="center"/>
      </w:pPr>
      <w:r>
        <w:rPr>
          <w:rFonts w:ascii="Arial" w:cs="Arial" w:eastAsia="Arial" w:hAnsi="Arial"/>
          <w:b/>
          <w:bCs/>
          <w:color w:val="1B2A4A"/>
          <w:sz w:val="32"/>
          <w:szCs w:val="32"/>
        </w:rPr>
        <w:t xml:space="preserve">September 2026.</w:t>
      </w:r>
    </w:p>
    <w:p>
      <w:pPr>
        <w:jc w:val="center"/>
      </w:pPr>
      <w:r>
        <w:rPr>
          <w:rFonts w:ascii="Arial" w:cs="Arial" w:eastAsia="Arial" w:hAnsi="Arial"/>
          <w:i/>
          <w:iCs/>
          <w:color w:val="999999"/>
          <w:sz w:val="18"/>
          <w:szCs w:val="18"/>
        </w:rPr>
        <w:t>Vitals — Mobile Application Development Roadmap | Updated October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2A4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5f3cd631937742a9f07cccfde2155912bf1809.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2026-04-10T19:10:33.827Z</dcterms:created>
  <dcterms:modified xsi:type="dcterms:W3CDTF">2026-04-10T19:10:33.828Z</dcterms:modified>
</cp:coreProperties>
</file>

<file path=docProps/custom.xml><?xml version="1.0" encoding="utf-8"?>
<Properties xmlns="http://schemas.openxmlformats.org/officeDocument/2006/custom-properties" xmlns:vt="http://schemas.openxmlformats.org/officeDocument/2006/docPropsVTypes"/>
</file>