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2057400" cy="937491"/>
            <wp:docPr id="1" name="Picture 1"/>
            <wp:cNvGraphicFramePr>
              <a:graphicFrameLocks noChangeAspect="1"/>
            </wp:cNvGraphicFramePr>
            <a:graphic>
              <a:graphicData uri="http://schemas.openxmlformats.org/drawingml/2006/picture">
                <pic:pic>
                  <pic:nvPicPr>
                    <pic:cNvPr id="0" name="vitals_logo_cropped.png"/>
                    <pic:cNvPicPr/>
                  </pic:nvPicPr>
                  <pic:blipFill>
                    <a:blip r:embed="rId11"/>
                    <a:stretch>
                      <a:fillRect/>
                    </a:stretch>
                  </pic:blipFill>
                  <pic:spPr>
                    <a:xfrm>
                      <a:off x="0" y="0"/>
                      <a:ext cx="2057400" cy="937491"/>
                    </a:xfrm>
                    <a:prstGeom prst="rect"/>
                  </pic:spPr>
                </pic:pic>
              </a:graphicData>
            </a:graphic>
          </wp:inline>
        </w:drawing>
      </w:r>
    </w:p>
    <w:p>
      <w:pPr>
        <w:spacing w:before="0" w:after="100" w:line="240" w:lineRule="auto"/>
        <w:jc w:val="center"/>
      </w:pPr>
      <w:r>
        <w:rPr>
          <w:rFonts w:ascii="Arial" w:hAnsi="Arial"/>
          <w:b/>
          <w:color w:val="1B2A4A"/>
          <w:sz w:val="52"/>
        </w:rPr>
        <w:t>Glucose Analysis Engine</w:t>
      </w:r>
    </w:p>
    <w:p>
      <w:pPr>
        <w:spacing w:before="0" w:after="120" w:line="240" w:lineRule="auto"/>
        <w:jc w:val="center"/>
      </w:pPr>
      <w:r>
        <w:rPr>
          <w:rFonts w:ascii="Arial" w:hAnsi="Arial"/>
          <w:b/>
          <w:color w:val="0E7484"/>
          <w:sz w:val="28"/>
        </w:rPr>
        <w:t>Engineering Specification - High-Priority Analysis Sets</w:t>
      </w:r>
    </w:p>
    <w:p>
      <w:pPr>
        <w:spacing w:before="0" w:after="320" w:line="240" w:lineRule="auto"/>
        <w:jc w:val="center"/>
      </w:pPr>
      <w:r>
        <w:rPr>
          <w:rFonts w:ascii="Arial" w:hAnsi="Arial"/>
          <w:i/>
          <w:color w:val="6B7280"/>
          <w:sz w:val="19"/>
        </w:rPr>
        <w:t>.NET MAUI | FastAPI | Manual/BGM First | CGM-Ready Architecture</w:t>
      </w:r>
    </w:p>
    <w:tbl>
      <w:tblPr>
        <w:tblW w:type="auto" w:w="0"/>
        <w:jc w:val="center"/>
        <w:tblLayout w:type="fixed"/>
        <w:tblLook w:firstColumn="1" w:firstRow="1" w:lastColumn="0" w:lastRow="0" w:noHBand="0" w:noVBand="1" w:val="04A0"/>
      </w:tblPr>
      <w:tblGrid>
        <w:gridCol w:w="2498"/>
        <w:gridCol w:w="2498"/>
        <w:gridCol w:w="2498"/>
        <w:gridCol w:w="2498"/>
      </w:tblGrid>
      <w:tr>
        <w:trPr>
          <w:cantSplit/>
        </w:trPr>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tcPr>
          <w:p>
            <w:pPr>
              <w:jc w:val="center"/>
            </w:pPr>
            <w:r>
              <w:rPr>
                <w:rFonts w:ascii="Arial" w:hAnsi="Arial"/>
                <w:b/>
                <w:color w:val="FFFFFF"/>
                <w:sz w:val="16"/>
              </w:rPr>
              <w:t>Document</w:t>
            </w:r>
          </w:p>
        </w:tc>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tcPr>
          <w:p>
            <w:pPr>
              <w:jc w:val="center"/>
            </w:pPr>
            <w:r>
              <w:rPr>
                <w:rFonts w:ascii="Arial" w:hAnsi="Arial"/>
                <w:b/>
                <w:color w:val="FFFFFF"/>
                <w:sz w:val="16"/>
              </w:rPr>
              <w:t>Version</w:t>
            </w:r>
          </w:p>
        </w:tc>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tcPr>
          <w:p>
            <w:pPr>
              <w:jc w:val="center"/>
            </w:pPr>
            <w:r>
              <w:rPr>
                <w:rFonts w:ascii="Arial" w:hAnsi="Arial"/>
                <w:b/>
                <w:color w:val="FFFFFF"/>
                <w:sz w:val="16"/>
              </w:rPr>
              <w:t>Date</w:t>
            </w:r>
          </w:p>
        </w:tc>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tcPr>
          <w:p>
            <w:pPr>
              <w:jc w:val="center"/>
            </w:pPr>
            <w:r>
              <w:rPr>
                <w:rFonts w:ascii="Arial" w:hAnsi="Arial"/>
                <w:b/>
                <w:color w:val="FFFFFF"/>
                <w:sz w:val="16"/>
              </w:rPr>
              <w:t>Status</w:t>
            </w:r>
          </w:p>
        </w:tc>
      </w:tr>
      <w:tr>
        <w:trPr>
          <w:cantSplit/>
        </w:trPr>
        <w:tc>
          <w:tcPr>
            <w:tcW w:type="dxa" w:w="2498"/>
            <w:shd w:fill="F4F5F7"/>
            <w:tcBorders>
              <w:top w:val="single" w:sz="3" w:color="D5D9E0"/>
              <w:left w:val="single" w:sz="3" w:color="D5D9E0"/>
              <w:bottom w:val="single" w:sz="3" w:color="D5D9E0"/>
              <w:right w:val="single" w:sz="3" w:color="D5D9E0"/>
            </w:tcBorders>
            <w:tcMar>
              <w:top w:w="90" w:type="dxa"/>
              <w:start w:w="100" w:type="dxa"/>
              <w:bottom w:w="90" w:type="dxa"/>
              <w:end w:w="100" w:type="dxa"/>
            </w:tcMar>
          </w:tcPr>
          <w:p>
            <w:pPr>
              <w:jc w:val="center"/>
            </w:pPr>
            <w:r>
              <w:rPr>
                <w:rFonts w:ascii="Arial" w:hAnsi="Arial"/>
                <w:b w:val="0"/>
                <w:color w:val="20242A"/>
                <w:sz w:val="17"/>
              </w:rPr>
              <w:t>Engineering Specification</w:t>
            </w:r>
          </w:p>
        </w:tc>
        <w:tc>
          <w:tcPr>
            <w:tcW w:type="dxa" w:w="2498"/>
            <w:shd w:fill="F4F5F7"/>
            <w:tcBorders>
              <w:top w:val="single" w:sz="3" w:color="D5D9E0"/>
              <w:left w:val="single" w:sz="3" w:color="D5D9E0"/>
              <w:bottom w:val="single" w:sz="3" w:color="D5D9E0"/>
              <w:right w:val="single" w:sz="3" w:color="D5D9E0"/>
            </w:tcBorders>
            <w:tcMar>
              <w:top w:w="90" w:type="dxa"/>
              <w:start w:w="100" w:type="dxa"/>
              <w:bottom w:w="90" w:type="dxa"/>
              <w:end w:w="100" w:type="dxa"/>
            </w:tcMar>
          </w:tcPr>
          <w:p>
            <w:r>
              <w:rPr>
                <w:rFonts w:ascii="Arial" w:hAnsi="Arial"/>
                <w:color w:val="20242A"/>
                <w:sz w:val="17"/>
              </w:rPr>
              <w:t>0.2 Draft</w:t>
            </w:r>
          </w:p>
        </w:tc>
        <w:tc>
          <w:tcPr>
            <w:tcW w:type="dxa" w:w="2498"/>
            <w:shd w:fill="F4F5F7"/>
            <w:tcBorders>
              <w:top w:val="single" w:sz="3" w:color="D5D9E0"/>
              <w:left w:val="single" w:sz="3" w:color="D5D9E0"/>
              <w:bottom w:val="single" w:sz="3" w:color="D5D9E0"/>
              <w:right w:val="single" w:sz="3" w:color="D5D9E0"/>
            </w:tcBorders>
            <w:tcMar>
              <w:top w:w="90" w:type="dxa"/>
              <w:start w:w="100" w:type="dxa"/>
              <w:bottom w:w="90" w:type="dxa"/>
              <w:end w:w="100" w:type="dxa"/>
            </w:tcMar>
          </w:tcPr>
          <w:p>
            <w:r>
              <w:rPr>
                <w:rFonts w:ascii="Arial" w:hAnsi="Arial"/>
                <w:color w:val="20242A"/>
                <w:sz w:val="17"/>
              </w:rPr>
              <w:t>September 13, 2026</w:t>
            </w:r>
          </w:p>
        </w:tc>
        <w:tc>
          <w:tcPr>
            <w:tcW w:type="dxa" w:w="2498"/>
            <w:shd w:fill="F4F5F7"/>
            <w:tcBorders>
              <w:top w:val="single" w:sz="3" w:color="D5D9E0"/>
              <w:left w:val="single" w:sz="3" w:color="D5D9E0"/>
              <w:bottom w:val="single" w:sz="3" w:color="D5D9E0"/>
              <w:right w:val="single" w:sz="3" w:color="D5D9E0"/>
            </w:tcBorders>
            <w:tcMar>
              <w:top w:w="90" w:type="dxa"/>
              <w:start w:w="100" w:type="dxa"/>
              <w:bottom w:w="90" w:type="dxa"/>
              <w:end w:w="100" w:type="dxa"/>
            </w:tcMar>
          </w:tcPr>
          <w:p>
            <w:pPr>
              <w:jc w:val="center"/>
            </w:pPr>
            <w:r>
              <w:rPr>
                <w:rFonts w:ascii="Arial" w:hAnsi="Arial"/>
                <w:b w:val="0"/>
                <w:color w:val="20242A"/>
                <w:sz w:val="17"/>
              </w:rPr>
              <w:t>For implementation review</w:t>
            </w:r>
          </w:p>
        </w:tc>
      </w:tr>
    </w:tbl>
    <w:p/>
    <w:p/>
    <w:tbl>
      <w:tblPr>
        <w:tblW w:type="auto" w:w="0"/>
        <w:jc w:val="center"/>
        <w:tblLayout w:type="fixed"/>
        <w:tblLook w:firstColumn="1" w:firstRow="1" w:lastColumn="0" w:lastRow="0" w:noHBand="0" w:noVBand="1" w:val="04A0"/>
      </w:tblPr>
      <w:tblGrid>
        <w:gridCol w:w="9994"/>
      </w:tblGrid>
      <w:tr>
        <w:trPr>
          <w:cantSplit/>
        </w:trPr>
        <w:tc>
          <w:tcPr>
            <w:tcW w:type="dxa" w:w="9216"/>
            <w:shd w:fill="EAF7F8"/>
            <w:tcMar>
              <w:top w:w="120" w:type="dxa"/>
              <w:start w:w="140" w:type="dxa"/>
              <w:bottom w:w="120" w:type="dxa"/>
              <w:end w:w="140" w:type="dxa"/>
            </w:tcMar>
            <w:tcBorders>
              <w:top w:val="nil"/>
              <w:left w:val="single" w:sz="18" w:color="19A7B5"/>
              <w:bottom w:val="nil"/>
              <w:right w:val="nil"/>
            </w:tcBorders>
          </w:tcPr>
          <w:p>
            <w:pPr>
              <w:spacing w:before="0" w:after="40" w:line="240" w:lineRule="auto"/>
            </w:pPr>
            <w:r>
              <w:rPr>
                <w:rFonts w:ascii="Arial" w:hAnsi="Arial"/>
                <w:b/>
                <w:color w:val="1B2A4A"/>
                <w:sz w:val="19"/>
              </w:rPr>
              <w:t>Core engineering decision</w:t>
            </w:r>
          </w:p>
          <w:p>
            <w:pPr>
              <w:spacing w:before="0" w:after="0" w:line="252" w:lineRule="auto"/>
            </w:pPr>
            <w:r>
              <w:rPr>
                <w:rFonts w:ascii="Arial" w:hAnsi="Arial"/>
                <w:color w:val="20242A"/>
                <w:sz w:val="18"/>
              </w:rPr>
              <w:t>Glucose will use the shared Vitals visualization/statistics infrastructure, but it will not be interpreted as "blood pressure with different units." Analysis must be context-aware (fasting, pre-meal, post-meal, bedtime, random) and capability-gated by the density and source of glucose data.</w:t>
            </w:r>
          </w:p>
        </w:tc>
      </w:tr>
    </w:tbl>
    <w:p>
      <w:pPr>
        <w:spacing w:after="20"/>
      </w:pPr>
    </w:p>
    <w:p>
      <w:pPr>
        <w:spacing w:before="0" w:after="0" w:line="259" w:lineRule="auto"/>
      </w:pPr>
      <w:r>
        <w:rPr>
          <w:rFonts w:ascii="Arial" w:hAnsi="Arial"/>
          <w:i w:val="0"/>
          <w:color w:val="20242A"/>
          <w:sz w:val="19"/>
        </w:rPr>
        <w:t>This specification refines the Phase 4 roadmap statement that the mathematical layers apply identically to every tracked metric. The reusable math stays shared; the clinical meaning, grouping rules, eligibility gates, and patient language are glucose-specific. It also addresses the Phase 6 display gap where glucose is available from the backend but is not consistently represented in Dashboard and History.</w:t>
      </w:r>
      <w:r>
        <w:rPr>
          <w:rFonts w:ascii="Arial" w:hAnsi="Arial"/>
          <w:color w:val="20242A"/>
          <w:sz w:val="19"/>
        </w:rPr>
        <w:t xml:space="preserve"> [1]</w:t>
      </w:r>
    </w:p>
    <w:p>
      <w:r>
        <w:br w:type="page"/>
      </w:r>
    </w:p>
    <w:p>
      <w:pPr>
        <w:spacing w:before="200" w:after="160" w:line="240" w:lineRule="auto"/>
        <w:pBdr>
          <w:bottom w:val="single" w:sz="10" w:space="3" w:color="19A7B5"/>
        </w:pBdr>
        <w:keepNext/>
      </w:pPr>
      <w:r>
        <w:rPr>
          <w:rFonts w:ascii="Arial" w:hAnsi="Arial"/>
          <w:b/>
          <w:color w:val="1B2A4A"/>
          <w:sz w:val="32"/>
        </w:rPr>
        <w:t>1. Purpose and Scope</w:t>
      </w:r>
    </w:p>
    <w:p>
      <w:pPr>
        <w:spacing w:before="0" w:after="100" w:line="259" w:lineRule="auto"/>
      </w:pPr>
      <w:r>
        <w:rPr>
          <w:rFonts w:ascii="Arial" w:hAnsi="Arial"/>
          <w:i w:val="0"/>
          <w:color w:val="20242A"/>
          <w:sz w:val="19"/>
        </w:rPr>
        <w:t>This document defines the high-priority glucose analysis sets for Vitals, the minimum data required to activate each set, the proposed engineering contracts, and the clinical-language guardrails needed to present the results safely. It is intended to be implementation-ready enough to drive backend analysis services, MAUI view models, Dashboard cards, the Glucose Details screen, and the physician-grade PDF.</w:t>
      </w:r>
    </w:p>
    <w:p>
      <w:pPr>
        <w:spacing w:before="0" w:after="100" w:line="259" w:lineRule="auto"/>
      </w:pPr>
      <w:r>
        <w:rPr>
          <w:rFonts w:ascii="Arial" w:hAnsi="Arial"/>
          <w:i w:val="0"/>
          <w:color w:val="20242A"/>
          <w:sz w:val="19"/>
        </w:rPr>
        <w:t>The design intentionally separates manual/self-monitored blood glucose (BGM) analysis from continuous glucose monitoring (CGM) analysis. Vitals can ship valuable glucose analysis without a proprietary CGM integration. CGM-only analysis remains dormant until Vitals receives sufficiently dense CGM-quality data from a supported source.</w:t>
      </w:r>
    </w:p>
    <w:tbl>
      <w:tblPr>
        <w:tblW w:type="auto" w:w="0"/>
        <w:jc w:val="center"/>
        <w:tblLayout w:type="fixed"/>
        <w:tblLook w:firstColumn="1" w:firstRow="1" w:lastColumn="0" w:lastRow="0" w:noHBand="0" w:noVBand="1" w:val="04A0"/>
      </w:tblPr>
      <w:tblGrid>
        <w:gridCol w:w="9994"/>
      </w:tblGrid>
      <w:tr>
        <w:trPr>
          <w:cantSplit/>
        </w:trPr>
        <w:tc>
          <w:tcPr>
            <w:tcW w:type="dxa" w:w="9216"/>
            <w:shd w:fill="EEF3F8"/>
            <w:tcMar>
              <w:top w:w="120" w:type="dxa"/>
              <w:start w:w="140" w:type="dxa"/>
              <w:bottom w:w="120" w:type="dxa"/>
              <w:end w:w="140" w:type="dxa"/>
            </w:tcMar>
            <w:tcBorders>
              <w:top w:val="nil"/>
              <w:left w:val="single" w:sz="18" w:color="19A7B5"/>
              <w:bottom w:val="nil"/>
              <w:right w:val="nil"/>
            </w:tcBorders>
          </w:tcPr>
          <w:p>
            <w:pPr>
              <w:spacing w:before="0" w:after="40" w:line="240" w:lineRule="auto"/>
            </w:pPr>
            <w:r>
              <w:rPr>
                <w:rFonts w:ascii="Arial" w:hAnsi="Arial"/>
                <w:b/>
                <w:color w:val="1B2A4A"/>
                <w:sz w:val="19"/>
              </w:rPr>
              <w:t>Not a clinical protocol</w:t>
            </w:r>
          </w:p>
          <w:p>
            <w:pPr>
              <w:spacing w:before="0" w:after="0" w:line="252" w:lineRule="auto"/>
            </w:pPr>
            <w:r>
              <w:rPr>
                <w:rFonts w:ascii="Arial" w:hAnsi="Arial"/>
                <w:color w:val="20242A"/>
                <w:sz w:val="18"/>
              </w:rPr>
              <w:t>This is an engineering specification informed by published diabetes standards. It does not define diagnosis, medication dosing, or treatment. Thresholds and wording that affect patient safety should receive clinical review before production release.</w:t>
            </w:r>
          </w:p>
        </w:tc>
      </w:tr>
    </w:tbl>
    <w:p>
      <w:pPr>
        <w:spacing w:after="20"/>
      </w:pPr>
    </w:p>
    <w:tbl>
      <w:tblPr>
        <w:tblW w:type="auto" w:w="0"/>
        <w:jc w:val="center"/>
        <w:tblLayout w:type="fixed"/>
        <w:tblLook w:firstColumn="1" w:firstRow="1" w:lastColumn="0" w:lastRow="0" w:noHBand="0" w:noVBand="1" w:val="04A0"/>
      </w:tblPr>
      <w:tblGrid>
        <w:gridCol w:w="9965"/>
      </w:tblGrid>
      <w:tr>
        <w:tc>
          <w:tcPr>
            <w:tcW w:type="dxa" w:w="9994"/>
            <w:shd w:fill="EDF4F7"/>
            <w:tcBorders>
              <w:left w:val="single" w:sz="22" w:color="0AA5B5"/>
              <w:top w:val="nil"/>
              <w:right w:val="nil"/>
              <w:bottom w:val="nil"/>
            </w:tcBorders>
            <w:tcMar>
              <w:top w:w="80" w:type="dxa"/>
              <w:start w:w="110" w:type="dxa"/>
              <w:bottom w:w="80" w:type="dxa"/>
              <w:end w:w="100" w:type="dxa"/>
            </w:tcMar>
          </w:tcPr>
          <w:p>
            <w:pPr>
              <w:spacing w:after="40"/>
            </w:pPr>
            <w:r>
              <w:rPr>
                <w:rFonts w:ascii="Arial" w:hAnsi="Arial"/>
                <w:b/>
                <w:color w:val="1D3357"/>
                <w:sz w:val="20"/>
              </w:rPr>
              <w:t>Citation convention</w:t>
            </w:r>
          </w:p>
          <w:p>
            <w:pPr>
              <w:spacing w:after="0"/>
            </w:pPr>
            <w:r>
              <w:rPr>
                <w:rFonts w:ascii="Arial" w:hAnsi="Arial"/>
                <w:color w:val="20242A"/>
                <w:sz w:val="18"/>
              </w:rPr>
              <w:t>Bracketed citations such as [2] refer to the numbered References block in Section 16. Clinical thresholds, population reference ranges, diagnostic/safety boundaries, and externally validated formulas carry adjacent citations. Sample-count gates, time windows, display thresholds, grouping rules, and UI activation criteria that are not externally sourced are explicitly treated as Vitals engineering decisions.</w:t>
            </w:r>
          </w:p>
        </w:tc>
      </w:tr>
    </w:tbl>
    <w:p>
      <w:pPr>
        <w:spacing w:before="200" w:after="160" w:line="240" w:lineRule="auto"/>
        <w:pBdr>
          <w:bottom w:val="single" w:sz="10" w:space="3" w:color="19A7B5"/>
        </w:pBdr>
        <w:keepNext/>
      </w:pPr>
      <w:r>
        <w:rPr>
          <w:rFonts w:ascii="Arial" w:hAnsi="Arial"/>
          <w:b/>
          <w:color w:val="1B2A4A"/>
          <w:sz w:val="32"/>
        </w:rPr>
        <w:t>2. Project Context and Design Principles</w:t>
      </w:r>
    </w:p>
    <w:p>
      <w:pPr>
        <w:spacing w:before="0" w:after="40" w:line="252" w:lineRule="auto"/>
        <w:ind w:left="317" w:hanging="230"/>
      </w:pPr>
      <w:r>
        <w:rPr>
          <w:rFonts w:ascii="Arial" w:hAnsi="Arial"/>
          <w:b/>
          <w:color w:val="19A7B5"/>
          <w:sz w:val="18"/>
        </w:rPr>
        <w:t xml:space="preserve">• </w:t>
      </w:r>
      <w:r>
        <w:rPr>
          <w:rFonts w:ascii="Arial" w:hAnsi="Arial"/>
          <w:color w:val="20242A"/>
          <w:sz w:val="18"/>
        </w:rPr>
        <w:t>Metric-driven UI: Dashboard and Details should render from the patient's enabled vital definitions, not a hardcoded list of blood-pressure-era cards.</w:t>
      </w:r>
    </w:p>
    <w:p>
      <w:pPr>
        <w:spacing w:before="0" w:after="40" w:line="252" w:lineRule="auto"/>
        <w:ind w:left="317" w:hanging="230"/>
      </w:pPr>
      <w:r>
        <w:rPr>
          <w:rFonts w:ascii="Arial" w:hAnsi="Arial"/>
          <w:b/>
          <w:color w:val="19A7B5"/>
          <w:sz w:val="18"/>
        </w:rPr>
        <w:t xml:space="preserve">• </w:t>
      </w:r>
      <w:r>
        <w:rPr>
          <w:rFonts w:ascii="Arial" w:hAnsi="Arial"/>
          <w:color w:val="20242A"/>
          <w:sz w:val="18"/>
        </w:rPr>
        <w:t>Context before statistics: a glucose value is not analytically comparable unless its measurement context is known or intentionally grouped.</w:t>
      </w:r>
    </w:p>
    <w:p>
      <w:pPr>
        <w:spacing w:before="0" w:after="40" w:line="252" w:lineRule="auto"/>
        <w:ind w:left="317" w:hanging="230"/>
      </w:pPr>
      <w:r>
        <w:rPr>
          <w:rFonts w:ascii="Arial" w:hAnsi="Arial"/>
          <w:b/>
          <w:color w:val="19A7B5"/>
          <w:sz w:val="18"/>
        </w:rPr>
        <w:t xml:space="preserve">• </w:t>
      </w:r>
      <w:r>
        <w:rPr>
          <w:rFonts w:ascii="Arial" w:hAnsi="Arial"/>
          <w:color w:val="20242A"/>
          <w:sz w:val="18"/>
        </w:rPr>
        <w:t>Manual/BGM first: all P0 analysis sets must work with user-entered or imported spot readings and must not depend on a CGM vendor partnership.</w:t>
      </w:r>
    </w:p>
    <w:p>
      <w:pPr>
        <w:spacing w:before="0" w:after="40" w:line="252" w:lineRule="auto"/>
        <w:ind w:left="317" w:hanging="230"/>
      </w:pPr>
      <w:r>
        <w:rPr>
          <w:rFonts w:ascii="Arial" w:hAnsi="Arial"/>
          <w:b/>
          <w:color w:val="19A7B5"/>
          <w:sz w:val="18"/>
        </w:rPr>
        <w:t xml:space="preserve">• </w:t>
      </w:r>
      <w:r>
        <w:rPr>
          <w:rFonts w:ascii="Arial" w:hAnsi="Arial"/>
          <w:color w:val="20242A"/>
          <w:sz w:val="18"/>
        </w:rPr>
        <w:t>CGM-ready, vendor-neutral: the analysis engine consumes normalized glucose observations plus source/density metadata, not vendor-specific records.</w:t>
      </w:r>
    </w:p>
    <w:p>
      <w:pPr>
        <w:spacing w:before="0" w:after="40" w:line="252" w:lineRule="auto"/>
        <w:ind w:left="317" w:hanging="230"/>
      </w:pPr>
      <w:r>
        <w:rPr>
          <w:rFonts w:ascii="Arial" w:hAnsi="Arial"/>
          <w:b/>
          <w:color w:val="19A7B5"/>
          <w:sz w:val="18"/>
        </w:rPr>
        <w:t xml:space="preserve">• </w:t>
      </w:r>
      <w:r>
        <w:rPr>
          <w:rFonts w:ascii="Arial" w:hAnsi="Arial"/>
          <w:color w:val="20242A"/>
          <w:sz w:val="18"/>
        </w:rPr>
        <w:t>Progressive disclosure: only show an analysis set when the underlying data can support it. Do not fill the UI with disabled or misleading metrics.</w:t>
      </w:r>
    </w:p>
    <w:p>
      <w:pPr>
        <w:spacing w:before="0" w:after="40" w:line="252" w:lineRule="auto"/>
        <w:ind w:left="317" w:hanging="230"/>
      </w:pPr>
      <w:r>
        <w:rPr>
          <w:rFonts w:ascii="Arial" w:hAnsi="Arial"/>
          <w:b/>
          <w:color w:val="19A7B5"/>
          <w:sz w:val="18"/>
        </w:rPr>
        <w:t xml:space="preserve">• </w:t>
      </w:r>
      <w:r>
        <w:rPr>
          <w:rFonts w:ascii="Arial" w:hAnsi="Arial"/>
          <w:color w:val="20242A"/>
          <w:sz w:val="18"/>
        </w:rPr>
        <w:t>Describe patterns, do not diagnose: Vitals may summarize and compare observations, but CGM/BGM data must not be used by Vitals to diagnose diabetes or prediabetes. ADA 2026 states that evidence is insufficient to use CGM for screening or diagnosis.[4]</w:t>
      </w:r>
    </w:p>
    <w:p>
      <w:pPr>
        <w:spacing w:before="0" w:after="40" w:line="252" w:lineRule="auto"/>
        <w:ind w:left="317" w:hanging="230"/>
      </w:pPr>
      <w:r>
        <w:rPr>
          <w:rFonts w:ascii="Arial" w:hAnsi="Arial"/>
          <w:b/>
          <w:color w:val="19A7B5"/>
          <w:sz w:val="18"/>
        </w:rPr>
        <w:t xml:space="preserve">• </w:t>
      </w:r>
      <w:r>
        <w:rPr>
          <w:rFonts w:ascii="Arial" w:hAnsi="Arial"/>
          <w:color w:val="20242A"/>
          <w:sz w:val="18"/>
        </w:rPr>
        <w:t>Individualized targets: published adult targets may be offered as reference defaults, but ranges must be overridable and should be presented as individualized goals rather than universal rules.[2]</w:t>
      </w:r>
    </w:p>
    <w:p>
      <w:pPr>
        <w:spacing w:before="200" w:after="160" w:line="240" w:lineRule="auto"/>
        <w:pBdr>
          <w:bottom w:val="single" w:sz="10" w:space="3" w:color="19A7B5"/>
        </w:pBdr>
        <w:keepNext/>
      </w:pPr>
      <w:r>
        <w:rPr>
          <w:rFonts w:ascii="Arial" w:hAnsi="Arial"/>
          <w:b/>
          <w:color w:val="1B2A4A"/>
          <w:sz w:val="32"/>
        </w:rPr>
        <w:t>3. Priority Summary</w:t>
      </w:r>
    </w:p>
    <w:p>
      <w:pPr>
        <w:spacing w:before="0" w:after="100" w:line="259" w:lineRule="auto"/>
      </w:pPr>
      <w:r>
        <w:rPr>
          <w:rFonts w:ascii="Arial" w:hAnsi="Arial"/>
          <w:i w:val="0"/>
          <w:color w:val="20242A"/>
          <w:sz w:val="19"/>
        </w:rPr>
        <w:t>P0 sets are the launch/highest-priority analysis for manual or meter readings. P1 sets are also high priority, but activate only when CGM-quality data becomes available. The service interfaces should anticipate P1 now so a future data source does not require a redesign.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Priority</w:t>
            </w:r>
          </w:p>
        </w:tc>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Analysis set</w:t>
            </w:r>
          </w:p>
        </w:tc>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Manual / BGM</w:t>
            </w:r>
          </w:p>
        </w:tc>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CGM</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Snapshot + measurement context</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Context-specific averages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Context-specific trend analysis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Low / out-of-target event analysis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Logged readings in target</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Not used when true TIR available</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Meal-response / glucose excursion</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Variability summary</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 descriptive</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Time-of-day patterns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Medication-change correlation</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EAF4E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Data sufficiency / confidence</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F2ECF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P1</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data coverage</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No</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F2ECF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P1</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Mean CGM glucose</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No</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F2ECF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P1</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Glucose Management Indicator (GMI)</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No</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F2ECF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P1</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Time in / above / below range</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No</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F2ECF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P1</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coefficient of variation</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No</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F2ECF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P1</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episode patterns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No</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r>
        <w:trPr>
          <w:cantSplit/>
        </w:trPr>
        <w:tc>
          <w:tcPr>
            <w:tcW w:type="dxa" w:w="2498"/>
            <w:shd w:fill="F2ECF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P1</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GMI vs laboratory A1C</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Lab A1C can be stored</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r>
    </w:tbl>
    <w:p>
      <w:pPr>
        <w:spacing w:before="200" w:after="160" w:line="240" w:lineRule="auto"/>
        <w:pBdr>
          <w:bottom w:val="single" w:sz="10" w:space="3" w:color="19A7B5"/>
        </w:pBdr>
        <w:keepNext/>
      </w:pPr>
      <w:r>
        <w:rPr>
          <w:rFonts w:ascii="Arial" w:hAnsi="Arial"/>
          <w:b/>
          <w:color w:val="1B2A4A"/>
          <w:sz w:val="32"/>
        </w:rPr>
        <w:t>4. Required Glucose Data Model</w:t>
      </w:r>
    </w:p>
    <w:p>
      <w:pPr>
        <w:spacing w:before="0" w:after="100" w:line="259" w:lineRule="auto"/>
      </w:pPr>
      <w:r>
        <w:rPr>
          <w:rFonts w:ascii="Arial" w:hAnsi="Arial"/>
          <w:i w:val="0"/>
          <w:color w:val="20242A"/>
          <w:sz w:val="19"/>
        </w:rPr>
        <w:t>The quality of the analysis depends more on context capture than on adding another statistical formula. A single glucose numeric value is insufficient for several high-value analyses. The normalized observation should retain both the original reading and enough metadata to stratify it correctly.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Field</w:t>
            </w:r>
          </w:p>
        </w:tc>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Type / example</w:t>
            </w:r>
          </w:p>
        </w:tc>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Required</w:t>
            </w:r>
          </w:p>
        </w:tc>
        <w:tc>
          <w:tcPr>
            <w:tcW w:type="dxa" w:w="2498"/>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Purpose</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value_mg_dl</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decimal; normalized internal unit</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Primary numeric analysis value</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original_value / unit</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126 mg/dL or 7.0 mmol/L</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Preserve source/display fidelity</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observed_at</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UTC timestamp + source timezone</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Windowing and time-of-day analysis</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context</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fasting, pre_meal, post_meal, bedtime, random, other</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Strongly recommended</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Prevents invalid cross-context trends</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meal_type</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breakfast, lunch, dinner, snack</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Conditional</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Meal-pattern stratification</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minutes_after_meal</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e.g., 120</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Conditional</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Postprandial comparability</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meal_event_id</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optional GUID</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Optional but preferred</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Reliable pre/post meal pairing</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source_type</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manual, BGM, CGM, import</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Capability gating</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source_device</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vendor/model if known</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Optional</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Traceability; never required by engine</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notes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free text</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Optional</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Patient context, not used in calculations by default</w:t>
            </w:r>
          </w:p>
        </w:tc>
      </w:tr>
      <w:tr>
        <w:trPr>
          <w:cantSplit/>
        </w:trPr>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is_invalidated</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boolean</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Yes</w:t>
            </w:r>
          </w:p>
        </w:tc>
        <w:tc>
          <w:tcPr>
            <w:tcW w:type="dxa" w:w="2498"/>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Exclude user-marked bad readings without deleting history</w:t>
            </w:r>
          </w:p>
        </w:tc>
      </w:tr>
    </w:tbl>
    <w:p>
      <w:pPr>
        <w:spacing w:before="160" w:after="80" w:line="240" w:lineRule="auto"/>
        <w:keepNext/>
      </w:pPr>
      <w:r>
        <w:rPr>
          <w:rFonts w:ascii="Arial" w:hAnsi="Arial"/>
          <w:b/>
          <w:color w:val="1B2A4A"/>
          <w:sz w:val="25"/>
        </w:rPr>
        <w:t>4.1 Supporting records</w:t>
      </w:r>
    </w:p>
    <w:p>
      <w:pPr>
        <w:spacing w:before="0" w:after="40" w:line="252" w:lineRule="auto"/>
        <w:ind w:left="317" w:hanging="230"/>
      </w:pPr>
      <w:r>
        <w:rPr>
          <w:rFonts w:ascii="Arial" w:hAnsi="Arial"/>
          <w:b/>
          <w:color w:val="19A7B5"/>
          <w:sz w:val="18"/>
        </w:rPr>
        <w:t xml:space="preserve">• </w:t>
      </w:r>
      <w:r>
        <w:rPr>
          <w:rFonts w:ascii="Arial" w:hAnsi="Arial"/>
          <w:color w:val="20242A"/>
          <w:sz w:val="18"/>
        </w:rPr>
        <w:t>Patient glucose target profile: configurable pre-meal range, post-meal ceiling/range, low thresholds, CGM target range, and optional clinician-defined custom goals.</w:t>
      </w:r>
    </w:p>
    <w:p>
      <w:pPr>
        <w:spacing w:before="0" w:after="40" w:line="252" w:lineRule="auto"/>
        <w:ind w:left="317" w:hanging="230"/>
      </w:pPr>
      <w:r>
        <w:rPr>
          <w:rFonts w:ascii="Arial" w:hAnsi="Arial"/>
          <w:b/>
          <w:color w:val="19A7B5"/>
          <w:sz w:val="18"/>
        </w:rPr>
        <w:t xml:space="preserve">• </w:t>
      </w:r>
      <w:r>
        <w:rPr>
          <w:rFonts w:ascii="Arial" w:hAnsi="Arial"/>
          <w:color w:val="20242A"/>
          <w:sz w:val="18"/>
        </w:rPr>
        <w:t>Medication timeline: start, stop, dose/frequency change, and effective date. This already aligns with the medication-history dependency in the Vitals clinical visualization design.</w:t>
      </w:r>
    </w:p>
    <w:p>
      <w:pPr>
        <w:spacing w:before="0" w:after="40" w:line="252" w:lineRule="auto"/>
        <w:ind w:left="317" w:hanging="230"/>
      </w:pPr>
      <w:r>
        <w:rPr>
          <w:rFonts w:ascii="Arial" w:hAnsi="Arial"/>
          <w:b/>
          <w:color w:val="19A7B5"/>
          <w:sz w:val="18"/>
        </w:rPr>
        <w:t xml:space="preserve">• </w:t>
      </w:r>
      <w:r>
        <w:rPr>
          <w:rFonts w:ascii="Arial" w:hAnsi="Arial"/>
          <w:color w:val="20242A"/>
          <w:sz w:val="18"/>
        </w:rPr>
        <w:t>Laboratory A1C record: value, collection date, source = Laboratory / Patient Entered, and optional lab/provider note. Never overwrite GMI with laboratory A1C or vice versa.</w:t>
      </w:r>
    </w:p>
    <w:p>
      <w:pPr>
        <w:spacing w:before="0" w:after="40" w:line="252" w:lineRule="auto"/>
        <w:ind w:left="317" w:hanging="230"/>
      </w:pPr>
      <w:r>
        <w:rPr>
          <w:rFonts w:ascii="Arial" w:hAnsi="Arial"/>
          <w:b/>
          <w:color w:val="19A7B5"/>
          <w:sz w:val="18"/>
        </w:rPr>
        <w:t xml:space="preserve">• </w:t>
      </w:r>
      <w:r>
        <w:rPr>
          <w:rFonts w:ascii="Arial" w:hAnsi="Arial"/>
          <w:color w:val="20242A"/>
          <w:sz w:val="18"/>
        </w:rPr>
        <w:t>CGM source metadata: sampling interval when known, first/last sample, expected sample count, received sample count, and active percentage used to qualify dense-data analyses.</w:t>
      </w:r>
    </w:p>
    <w:p>
      <w:pPr>
        <w:spacing w:before="160" w:after="80" w:line="240" w:lineRule="auto"/>
        <w:keepNext/>
      </w:pPr>
      <w:r>
        <w:rPr>
          <w:rFonts w:ascii="Arial" w:hAnsi="Arial"/>
          <w:b/>
          <w:color w:val="1B2A4A"/>
          <w:sz w:val="25"/>
        </w:rPr>
        <w:t>4.2 Units</w:t>
      </w:r>
    </w:p>
    <w:p>
      <w:pPr>
        <w:spacing w:before="0" w:after="100" w:line="259" w:lineRule="auto"/>
      </w:pPr>
      <w:r>
        <w:rPr>
          <w:rFonts w:ascii="Arial" w:hAnsi="Arial"/>
          <w:i w:val="0"/>
          <w:color w:val="20242A"/>
          <w:sz w:val="19"/>
        </w:rPr>
        <w:t>Use mg/dL as the internal normalized unit for analysis consistency. Preserve the source unit and convert for display when the user prefers mmol/L. Conversion: mmol/L = mg/dL / 18.0182. Calculations must be performed on a single normalized unit, not mixed display values.</w:t>
      </w:r>
    </w:p>
    <w:p>
      <w:pPr>
        <w:spacing w:before="200" w:after="160" w:line="240" w:lineRule="auto"/>
        <w:pBdr>
          <w:bottom w:val="single" w:sz="10" w:space="3" w:color="19A7B5"/>
        </w:pBdr>
        <w:keepNext/>
      </w:pPr>
      <w:r>
        <w:rPr>
          <w:rFonts w:ascii="Arial" w:hAnsi="Arial"/>
          <w:b/>
          <w:color w:val="1B2A4A"/>
          <w:sz w:val="32"/>
        </w:rPr>
        <w:t>5. P0 Analysis Sets - Manual/BGM First</w:t>
      </w:r>
    </w:p>
    <w:p>
      <w:pPr>
        <w:spacing w:before="0" w:after="100" w:line="259" w:lineRule="auto"/>
      </w:pPr>
      <w:r>
        <w:rPr>
          <w:rFonts w:ascii="Arial" w:hAnsi="Arial"/>
          <w:i w:val="0"/>
          <w:color w:val="20242A"/>
          <w:sz w:val="19"/>
        </w:rPr>
        <w:t>The following sets should be considered the glucose launch package. Proposed minimum sample gates below are engineering defaults, not ADA clinical standards; they should be configurable and validated during clinical review.</w:t>
      </w:r>
    </w:p>
    <w:p>
      <w:pPr>
        <w:spacing w:before="160" w:after="80" w:line="240" w:lineRule="auto"/>
        <w:keepNext/>
      </w:pPr>
      <w:r>
        <w:rPr>
          <w:rFonts w:ascii="Arial" w:hAnsi="Arial"/>
          <w:b/>
          <w:color w:val="1B2A4A"/>
          <w:sz w:val="25"/>
        </w:rPr>
        <w:t>5.1. Snapshot and Measurement Context</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 CGM</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Provide an immediately understandable latest reading without stripping away the context that gives the value meaning.</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Latest non-invalidated reading; timestamp; context; meal metadata; display unit.</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Return the most recent reading plus age-of-reading. No smoothing or inference.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At least 1 valid reading.</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Latest value, context label, timestamp, source, optional meal timing.</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"126 mg/dL - Fasting - Today 7:12 AM"</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Never label a random reading as fasting. Unknown context remains "Context not recorded."</w:t>
            </w:r>
          </w:p>
        </w:tc>
      </w:tr>
    </w:tbl>
    <w:p>
      <w:pPr>
        <w:spacing w:after="20"/>
      </w:pPr>
    </w:p>
    <w:p>
      <w:pPr>
        <w:spacing w:before="160" w:after="80" w:line="240" w:lineRule="auto"/>
        <w:keepNext/>
      </w:pPr>
      <w:r>
        <w:rPr>
          <w:rFonts w:ascii="Arial" w:hAnsi="Arial"/>
          <w:b/>
          <w:color w:val="1B2A4A"/>
          <w:sz w:val="25"/>
        </w:rPr>
        <w:t>5.2. Context-Specific Averages</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 CGM</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Summarize typical glucose separately for analytically comparable contexts instead of averaging unlike observations together.</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Valid readings grouped by context; selected analysis window.</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Arithmetic mean, min, max, median, count for each context. Supported windows should reuse Vitals windows (7/15/30/45/60 days) for BGM; CGM uses its own 14-day standard summary.</w:t>
            </w:r>
            <w:r>
              <w:rPr>
                <w:rFonts w:ascii="Arial" w:hAnsi="Arial"/>
                <w:color w:val="20242A"/>
                <w:sz w:val="17"/>
              </w:rPr>
              <w:t xml:space="preserve"> [9]</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Overall summary: &gt;=3 readings. Context summary: &gt;=3 readings in that context. Otherwise show count only or "not enough data."</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Overall mean (clearly labeled when mixed-context), fasting mean, pre-meal mean, post-meal mean, bedtime mean, sample count.</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"30-day fasting average: 118 mg/dL (12 readings)"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Prefer context-specific averages in patient-facing UI. Mixed-context mean is secondary because it can be distorted by measurement habits.</w:t>
            </w:r>
          </w:p>
        </w:tc>
      </w:tr>
    </w:tbl>
    <w:p>
      <w:pPr>
        <w:spacing w:after="20"/>
      </w:pPr>
    </w:p>
    <w:p>
      <w:pPr>
        <w:spacing w:before="160" w:after="80" w:line="240" w:lineRule="auto"/>
        <w:keepNext/>
      </w:pPr>
      <w:r>
        <w:rPr>
          <w:rFonts w:ascii="Arial" w:hAnsi="Arial"/>
          <w:b/>
          <w:color w:val="1B2A4A"/>
          <w:sz w:val="25"/>
        </w:rPr>
        <w:t>5.3. Context-Specific Trend Analysis</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 CGM</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Reuse Vitals LOESS/regression infrastructure to identify direction and magnitude of change while avoiding trends across incompatible glucose contexts.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Readings from one context; timestamps; window; optional target band.</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Plot raw points. Apply LOESS when sample count is sufficient. Fit OLS slope in mg/dL/day for the same context. Statistical significance may be computed for clinician/PDF output but should not be overemphasized in the consumer UI.</w:t>
            </w:r>
            <w:r>
              <w:rPr>
                <w:rFonts w:ascii="Arial" w:hAnsi="Arial"/>
                <w:color w:val="20242A"/>
                <w:sz w:val="17"/>
              </w:rPr>
              <w:t xml:space="preserve"> [7][8]</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Proposed: &gt;=5 readings across &gt;=7 days for directional trend; &gt;=10 readings across &gt;=14 days before displaying regression significance.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Direction (rising/falling/stable), absolute change over window, slope, smoothed series, optional p-value/R-squared for clinician view.</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"Your fasting glucose has gradually decreased over the past 30 days."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Do not run a single regression through fasting + post-meal + random values. If context coverage is poor, show the raw timeline without a trend claim.</w:t>
            </w:r>
          </w:p>
        </w:tc>
      </w:tr>
    </w:tbl>
    <w:p>
      <w:pPr>
        <w:spacing w:after="20"/>
      </w:pPr>
    </w:p>
    <w:p>
      <w:pPr>
        <w:spacing w:before="160" w:after="80" w:line="240" w:lineRule="auto"/>
        <w:keepNext/>
      </w:pPr>
      <w:r>
        <w:rPr>
          <w:rFonts w:ascii="Arial" w:hAnsi="Arial"/>
          <w:b/>
          <w:color w:val="1B2A4A"/>
          <w:sz w:val="25"/>
        </w:rPr>
        <w:t>5.4. Low and Out-of-Target Event Analysis</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 CGM</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Identify clinically important low-glucose observations and recurring readings outside the patient's configured goals.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Valid readings; context; patient target profile.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Classify low readings using ADA categories: Level 1 &lt;70 and &gt;=54 mg/dL; Level 2 &lt;54 mg/dL.[2] For high readings in manual/BGM mode, classify relative to the patient's context-specific configured target rather than pretending every spot reading is a CGM time-range sample.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At least 1 reading. Pattern language requires &gt;=2 events in the selected window.</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Count of Level 1 lows; count of Level 2 lows; count/percentage above configured context target; timestamps and repeated-period patterns.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"2 low readings were recorded in the past 30 days; both occurred before breakfast."</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Level 3 hypoglycemia is defined by need for assistance, not a glucose number.[2] If Vitals later captures severe events, store them as an event/incident rather than infer them from a reading.</w:t>
            </w:r>
          </w:p>
        </w:tc>
      </w:tr>
    </w:tbl>
    <w:p>
      <w:pPr>
        <w:spacing w:after="20"/>
      </w:pPr>
    </w:p>
    <w:p>
      <w:pPr>
        <w:spacing w:before="160" w:after="80" w:line="240" w:lineRule="auto"/>
        <w:keepNext/>
      </w:pPr>
      <w:r>
        <w:rPr>
          <w:rFonts w:ascii="Arial" w:hAnsi="Arial"/>
          <w:b/>
          <w:color w:val="1B2A4A"/>
          <w:sz w:val="25"/>
        </w:rPr>
        <w:t>5.5. Logged Readings in Target</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only</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Give manual/BGM users a simple adherence-to-target summary without mislabeling sparse observations as Time in Range.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Valid spot readings; context; target profile.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eligible_in_target / eligible_total * 100. Determine eligibility against the target appropriate to each reading context.</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Proposed: &gt;=5 eligible readings in the selected window.</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Percentage and numerator/denominator, e.g., 78% (14 of 18 logged readings).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"78% of your logged readings were within your configured target."</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Never label this metric "Time in Range." Time in Range is reserved for sufficiently dense CGM data.</w:t>
            </w:r>
          </w:p>
        </w:tc>
      </w:tr>
    </w:tbl>
    <w:p>
      <w:pPr>
        <w:spacing w:after="20"/>
      </w:pPr>
    </w:p>
    <w:p>
      <w:pPr>
        <w:spacing w:before="160" w:after="80" w:line="240" w:lineRule="auto"/>
        <w:keepNext/>
      </w:pPr>
      <w:r>
        <w:rPr>
          <w:rFonts w:ascii="Arial" w:hAnsi="Arial"/>
          <w:b/>
          <w:color w:val="1B2A4A"/>
          <w:sz w:val="25"/>
        </w:rPr>
        <w:t>5.6. Meal-Response / Glucose Excursion</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 CGM</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Quantify how glucose changes around meals and identify repeated meal-specific patterns.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Paired pre-meal and post-meal readings; meal identity; elapsed time after meal when available.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Excursion = post-meal glucose - pre-meal glucose. Prefer explicit meal_event_id pairing. Otherwise pair the closest same-meal records only when both context and timing are unambiguous. Stratify by breakfast/lunch/dinner and by post-meal interval.</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One pair for a single excursion; proposed &gt;=3 comparable pairs before presenting an average meal pattern.</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Per-meal excursion, average excursion by meal, pair count, distribution/range.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"Dinner produced the largest observed post-meal rise: average +54 mg/dL across 6 paired meals."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ADA notes that peak postprandial glucose is generally assessed 1-2 hours after the beginning of a meal.[2] Do not average a 30-minute reading with a 2-hour reading without labeling the timing difference.</w:t>
            </w:r>
          </w:p>
        </w:tc>
      </w:tr>
    </w:tbl>
    <w:p>
      <w:pPr>
        <w:spacing w:after="20"/>
      </w:pPr>
    </w:p>
    <w:p>
      <w:pPr>
        <w:spacing w:before="160" w:after="80" w:line="240" w:lineRule="auto"/>
        <w:keepNext/>
      </w:pPr>
      <w:r>
        <w:rPr>
          <w:rFonts w:ascii="Arial" w:hAnsi="Arial"/>
          <w:b/>
          <w:color w:val="1B2A4A"/>
          <w:sz w:val="25"/>
        </w:rPr>
        <w:t>5.7. Variability Summary</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descriptive; CGM standardized</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Show whether observed glucose values are tightly clustered or widely dispersed, while acknowledging that sparse manual sampling can bias variability.</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Comparable readings within a window; ideally same context for BGM.</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Calculate standard deviation, interquartile range, min/max, and CV = 100 * SD / mean. For BGM, present as a descriptive observation only. For CGM, the standardized CV metric is addressed in P1.</w:t>
            </w:r>
            <w:r>
              <w:rPr>
                <w:rFonts w:ascii="Arial" w:hAnsi="Arial"/>
                <w:color w:val="20242A"/>
                <w:sz w:val="17"/>
              </w:rPr>
              <w:t xml:space="preserve"> [9]</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Proposed: &gt;=5 readings for basic spread; &gt;=10 for CV display in BGM mode.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SD, range, IQR, descriptive variability state based on within-patient change; BGM CV may be hidden from the consumer view.</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"Your fasting readings have been more variable over the past 30 days."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Do not apply the ADA &lt;=36% CGM CV target to sparse manual readings. That threshold belongs to the CGM analysis set.[2]</w:t>
            </w:r>
          </w:p>
        </w:tc>
      </w:tr>
    </w:tbl>
    <w:p>
      <w:pPr>
        <w:spacing w:after="20"/>
      </w:pPr>
    </w:p>
    <w:p>
      <w:pPr>
        <w:spacing w:before="160" w:after="80" w:line="240" w:lineRule="auto"/>
        <w:keepNext/>
      </w:pPr>
      <w:r>
        <w:rPr>
          <w:rFonts w:ascii="Arial" w:hAnsi="Arial"/>
          <w:b/>
          <w:color w:val="1B2A4A"/>
          <w:sz w:val="25"/>
        </w:rPr>
        <w:t>5.8. Time-of-Day Pattern Analysis</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 CGM</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Identify recurring morning, afternoon, evening, or overnight patterns that may be lost in a single daily average.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Timestamps; context; local timezone; optionally meal context.</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Bucket by local time (configurable; suggested morning 04:00-11:59, afternoon 12:00-16:59, evening 17:00-21:59, overnight 22:00-03:59). Compare medians/means only when the context mix is similar, or stratify time-of-day within context.</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Proposed: &gt;=3 readings in a bucket and &gt;=2 qualifying buckets for comparison.</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Highest/lowest observed period, per-period averages, repeated low/high event concentration.</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"Your highest fasting readings have most often occurred in the early morning."</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Time-zone changes must use the observation's local time, not current device time. Avoid comparing buckets with radically different measurement contexts.</w:t>
            </w:r>
          </w:p>
        </w:tc>
      </w:tr>
    </w:tbl>
    <w:p>
      <w:pPr>
        <w:spacing w:after="20"/>
      </w:pPr>
    </w:p>
    <w:p>
      <w:pPr>
        <w:spacing w:before="160" w:after="80" w:line="240" w:lineRule="auto"/>
        <w:keepNext/>
      </w:pPr>
      <w:r>
        <w:rPr>
          <w:rFonts w:ascii="Arial" w:hAnsi="Arial"/>
          <w:b/>
          <w:color w:val="1B2A4A"/>
          <w:sz w:val="25"/>
        </w:rPr>
        <w:t>5.9. Medication-Change Correlation</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 CGM</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Place glucose behavior around a recorded medication start/stop/dose change to support physician review and patient understanding.</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Medication events; glucose readings; context; change date; selected before/after windows.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Compare the same glucose context before vs after the medication event. Show mean/median and trend changes. Proposed default windows: 14 days before and 14 days after, expandable to 30 days. Preserve a visual medication marker on the chart.</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Proposed: &gt;=5 comparable readings in both before and after periods. If insufficient, show the medication marker without a numeric comparison.</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Before/after means, delta, slopes, sample counts, annotated timeline.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"Fasting readings were lower after the recorded medication change on Aug 18."</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Use observational language only. Never state that the medication caused the change; diet, adherence, illness, activity, and other factors can confound the relationship.</w:t>
            </w:r>
          </w:p>
        </w:tc>
      </w:tr>
    </w:tbl>
    <w:p>
      <w:pPr>
        <w:spacing w:after="20"/>
      </w:pPr>
    </w:p>
    <w:p>
      <w:pPr>
        <w:spacing w:before="160" w:after="80" w:line="240" w:lineRule="auto"/>
        <w:keepNext/>
      </w:pPr>
      <w:r>
        <w:rPr>
          <w:rFonts w:ascii="Arial" w:hAnsi="Arial"/>
          <w:b/>
          <w:color w:val="1B2A4A"/>
          <w:sz w:val="25"/>
        </w:rPr>
        <w:t>5.10. Data Sufficiency and Confidence</w:t>
      </w:r>
    </w:p>
    <w:p>
      <w:pPr>
        <w:spacing w:before="0" w:after="80" w:line="240" w:lineRule="auto"/>
      </w:pPr>
      <w:r>
        <w:rPr>
          <w:rFonts w:ascii="Arial" w:hAnsi="Arial"/>
          <w:b/>
          <w:color w:val="FFFFFF"/>
          <w:sz w:val="17"/>
          <w:shd w:fill="2E7D32"/>
        </w:rPr>
        <w:t>P0 - Ship first</w:t>
      </w:r>
      <w:r>
        <w:t xml:space="preserve">   </w:t>
      </w:r>
      <w:r>
        <w:rPr>
          <w:rFonts w:ascii="Arial" w:hAnsi="Arial"/>
          <w:b/>
          <w:color w:val="0E7484"/>
          <w:sz w:val="17"/>
        </w:rPr>
        <w:t>Manual/BGM + CGM</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Prevent the engine from generating precise-sounding conclusions from too little or badly distributed data.</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Counts, dates covered, context completeness, source type, missingness, invalidated readings.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Each analysis set returns eligibility plus reason codes: insufficient_count, insufficient_span, missing_context, mixed_context, insufficient_pairs, insufficient_coverage.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Always active as metadata even when other analysis sets are not.</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Eligibility state, sample count, date span, context completeness percentage, human explanation.</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"More fasting readings are needed before Vitals can calculate a meaningful 30-day trend."</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Confidence should be data-quality language, not a clinical probability score. Avoid a single opaque 0-100 "clinical confidence" number.</w:t>
            </w:r>
          </w:p>
        </w:tc>
      </w:tr>
    </w:tbl>
    <w:p>
      <w:pPr>
        <w:spacing w:after="20"/>
      </w:pPr>
    </w:p>
    <w:p>
      <w:pPr>
        <w:spacing w:before="200" w:after="160" w:line="240" w:lineRule="auto"/>
        <w:pBdr>
          <w:bottom w:val="single" w:sz="10" w:space="3" w:color="19A7B5"/>
        </w:pBdr>
        <w:keepNext/>
      </w:pPr>
      <w:r>
        <w:rPr>
          <w:rFonts w:ascii="Arial" w:hAnsi="Arial"/>
          <w:b/>
          <w:color w:val="1B2A4A"/>
          <w:sz w:val="32"/>
        </w:rPr>
        <w:t>6. P1 Analysis Sets - CGM-Quality Data Required</w:t>
      </w:r>
    </w:p>
    <w:p>
      <w:pPr>
        <w:spacing w:before="0" w:after="100" w:line="259" w:lineRule="auto"/>
      </w:pPr>
      <w:r>
        <w:rPr>
          <w:rFonts w:ascii="Arial" w:hAnsi="Arial"/>
          <w:i w:val="0"/>
          <w:color w:val="20242A"/>
          <w:sz w:val="19"/>
        </w:rPr>
        <w:t>These sets should be represented in the analysis contracts now but remain hidden until Vitals receives continuous/dense glucose data from a supported source. They do not require the analysis engine to know whether the source is Dexcom, Libre, HealthKit, Health Connect, a vendor API, or an authorized import; they require normalized observations and trustworthy sampling metadata.</w:t>
      </w:r>
      <w:r>
        <w:rPr>
          <w:rFonts w:ascii="Arial" w:hAnsi="Arial"/>
          <w:color w:val="20242A"/>
          <w:sz w:val="19"/>
        </w:rPr>
        <w:t xml:space="preserve"> [2][3]</w:t>
      </w:r>
    </w:p>
    <w:p>
      <w:pPr>
        <w:spacing w:before="160" w:after="80" w:line="240" w:lineRule="auto"/>
        <w:keepNext/>
      </w:pPr>
      <w:r>
        <w:rPr>
          <w:rFonts w:ascii="Arial" w:hAnsi="Arial"/>
          <w:b/>
          <w:color w:val="1B2A4A"/>
          <w:sz w:val="25"/>
        </w:rPr>
        <w:t>6.1. CGM Data Coverage / Qualification</w:t>
      </w:r>
    </w:p>
    <w:p>
      <w:pPr>
        <w:spacing w:before="0" w:after="80" w:line="240" w:lineRule="auto"/>
      </w:pPr>
      <w:r>
        <w:rPr>
          <w:rFonts w:ascii="Arial" w:hAnsi="Arial"/>
          <w:b/>
          <w:color w:val="FFFFFF"/>
          <w:sz w:val="17"/>
          <w:shd w:fill="6B4E9B"/>
        </w:rPr>
        <w:t>P1 - CGM gated</w:t>
      </w:r>
      <w:r>
        <w:t xml:space="preserve">   </w:t>
      </w:r>
      <w:r>
        <w:rPr>
          <w:rFonts w:ascii="Arial" w:hAnsi="Arial"/>
          <w:b/>
          <w:color w:val="0E7484"/>
          <w:sz w:val="17"/>
        </w:rPr>
        <w:t>CGM only</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Ensure that standardized CGM summaries are based on enough data to represent the selected period.</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CGM observations; expected sampling interval/count where known; first/last sample.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Calculate days represented and active data percentage. ADA 2026 lists &gt;=14 days of wear and &gt;=70% active time over 14 days for pattern management.[2]</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Recommended production gate for standardized CGM summary: &gt;=14 days represented AND &gt;=70% active data. A shorter preview may be shown only if clearly labeled incomplete.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Days of data, active percentage, missing intervals, qualification boolean.</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"14 days of CGM data - 94% coverage"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Coverage is a prerequisite for GMI/TIR-style summary presentation in Vitals even though an arithmetic mean could technically be computed earlier.</w:t>
            </w:r>
          </w:p>
        </w:tc>
      </w:tr>
    </w:tbl>
    <w:p>
      <w:pPr>
        <w:spacing w:after="20"/>
      </w:pPr>
    </w:p>
    <w:p>
      <w:pPr>
        <w:spacing w:before="160" w:after="80" w:line="240" w:lineRule="auto"/>
        <w:keepNext/>
      </w:pPr>
      <w:r>
        <w:rPr>
          <w:rFonts w:ascii="Arial" w:hAnsi="Arial"/>
          <w:b/>
          <w:color w:val="1B2A4A"/>
          <w:sz w:val="25"/>
        </w:rPr>
        <w:t>6.2. Mean CGM Glucose</w:t>
      </w:r>
    </w:p>
    <w:p>
      <w:pPr>
        <w:spacing w:before="0" w:after="80" w:line="240" w:lineRule="auto"/>
      </w:pPr>
      <w:r>
        <w:rPr>
          <w:rFonts w:ascii="Arial" w:hAnsi="Arial"/>
          <w:b/>
          <w:color w:val="FFFFFF"/>
          <w:sz w:val="17"/>
          <w:shd w:fill="6B4E9B"/>
        </w:rPr>
        <w:t>P1 - CGM gated</w:t>
      </w:r>
      <w:r>
        <w:t xml:space="preserve">   </w:t>
      </w:r>
      <w:r>
        <w:rPr>
          <w:rFonts w:ascii="Arial" w:hAnsi="Arial"/>
          <w:b/>
          <w:color w:val="0E7484"/>
          <w:sz w:val="17"/>
        </w:rPr>
        <w:t>CGM only</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Provide the dense-data average that underpins GMI and complements time-in-range metrics.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Qualified CGM observations.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Arithmetic mean of valid sensor glucose observations in the selected CGM window.</w:t>
            </w:r>
            <w:r>
              <w:rPr>
                <w:rFonts w:ascii="Arial" w:hAnsi="Arial"/>
                <w:color w:val="20242A"/>
                <w:sz w:val="17"/>
              </w:rPr>
              <w:t xml:space="preserve"> [9]</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CGM qualification passed.</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Mean glucose in preferred unit; observation count; coverage.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"14-day mean glucose: 148 mg/dL"</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Keep this separate from mixed-context BGM averages. Dense sampling makes it substantially more representative of day-long exposure.</w:t>
            </w:r>
          </w:p>
        </w:tc>
      </w:tr>
    </w:tbl>
    <w:p>
      <w:pPr>
        <w:spacing w:after="20"/>
      </w:pPr>
    </w:p>
    <w:p>
      <w:pPr>
        <w:spacing w:before="160" w:after="80" w:line="240" w:lineRule="auto"/>
        <w:keepNext/>
      </w:pPr>
      <w:r>
        <w:rPr>
          <w:rFonts w:ascii="Arial" w:hAnsi="Arial"/>
          <w:b/>
          <w:color w:val="1B2A4A"/>
          <w:sz w:val="25"/>
        </w:rPr>
        <w:t>6.3. Glucose Management Indicator (GMI)</w:t>
      </w:r>
    </w:p>
    <w:p>
      <w:pPr>
        <w:spacing w:before="0" w:after="80" w:line="240" w:lineRule="auto"/>
      </w:pPr>
      <w:r>
        <w:rPr>
          <w:rFonts w:ascii="Arial" w:hAnsi="Arial"/>
          <w:b/>
          <w:color w:val="FFFFFF"/>
          <w:sz w:val="17"/>
          <w:shd w:fill="6B4E9B"/>
        </w:rPr>
        <w:t>P1 - CGM gated</w:t>
      </w:r>
      <w:r>
        <w:t xml:space="preserve">   </w:t>
      </w:r>
      <w:r>
        <w:rPr>
          <w:rFonts w:ascii="Arial" w:hAnsi="Arial"/>
          <w:b/>
          <w:color w:val="0E7484"/>
          <w:sz w:val="17"/>
        </w:rPr>
        <w:t>CGM only</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Provide the standardized CGM-derived indicator that approximates what A1C may correspond to, while explicitly distinguishing it from a laboratory A1C.</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Qualified mean CGM glucose.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GMI (%) = 3.31 + 0.02392 * mean glucose (mg/dL).[5] Retain higher precision internally; display one decimal place.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CGM qualification passed. Do not compute/display GMI from sparse manual/BGM entries.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GMI %, mean glucose, data period, coverage, required disclosure.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"GMI 6.9% - calculated from your recent CGM glucose. This is not a laboratory A1C result and may differ from your measured A1C."</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ADA 2026 describes GMI as a calculated value approximating A1C and notes it is not always equivalent.[2] Vitals should refer users to their healthcare professional for laboratory A1C testing and interpretation.</w:t>
            </w:r>
          </w:p>
        </w:tc>
      </w:tr>
    </w:tbl>
    <w:p>
      <w:pPr>
        <w:spacing w:after="20"/>
      </w:pPr>
    </w:p>
    <w:p>
      <w:pPr>
        <w:spacing w:before="160" w:after="80" w:line="240" w:lineRule="auto"/>
        <w:keepNext/>
      </w:pPr>
      <w:r>
        <w:rPr>
          <w:rFonts w:ascii="Arial" w:hAnsi="Arial"/>
          <w:b/>
          <w:color w:val="1B2A4A"/>
          <w:sz w:val="25"/>
        </w:rPr>
        <w:t>6.4. Time in Range / Above Range / Below Range</w:t>
      </w:r>
    </w:p>
    <w:p>
      <w:pPr>
        <w:spacing w:before="0" w:after="80" w:line="240" w:lineRule="auto"/>
      </w:pPr>
      <w:r>
        <w:rPr>
          <w:rFonts w:ascii="Arial" w:hAnsi="Arial"/>
          <w:b/>
          <w:color w:val="FFFFFF"/>
          <w:sz w:val="17"/>
          <w:shd w:fill="6B4E9B"/>
        </w:rPr>
        <w:t>P1 - CGM gated</w:t>
      </w:r>
      <w:r>
        <w:t xml:space="preserve">   </w:t>
      </w:r>
      <w:r>
        <w:rPr>
          <w:rFonts w:ascii="Arial" w:hAnsi="Arial"/>
          <w:b/>
          <w:color w:val="0E7484"/>
          <w:sz w:val="17"/>
        </w:rPr>
        <w:t>CGM only</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Summarize the proportion of dense CGM observations spent in standardized glucose ranges.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Qualified CGM observations; target profile.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For the default nonpregnant adult reference profile: TIR 70-180 mg/dL; TAR &gt;180 and &gt;250; TBR &lt;70 and &lt;54. Compute percent of qualified CGM observations/time in each band.[2][6]</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CGM qualification passed. Use a different target profile when the patient's clinician-defined goals or population-specific goals differ.</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TIR, TAR level 1/2, TBR level 1/2, minutes/day equivalents, target comparison.</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"Time in range: 72% over the past 14 days."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ADA reference goals for many nonpregnant adults include TIR &gt;70%, TAR &gt;180 &lt;25%, TAR &gt;250 &lt;5%, TBR &lt;70 &lt;4%, and TBR &lt;54 &lt;1%.[2] These must not be treated as universal targets.</w:t>
            </w:r>
          </w:p>
        </w:tc>
      </w:tr>
    </w:tbl>
    <w:p>
      <w:pPr>
        <w:spacing w:after="20"/>
      </w:pPr>
    </w:p>
    <w:p>
      <w:pPr>
        <w:spacing w:before="160" w:after="80" w:line="240" w:lineRule="auto"/>
        <w:keepNext/>
      </w:pPr>
      <w:r>
        <w:rPr>
          <w:rFonts w:ascii="Arial" w:hAnsi="Arial"/>
          <w:b/>
          <w:color w:val="1B2A4A"/>
          <w:sz w:val="25"/>
        </w:rPr>
        <w:t>6.5. CGM Coefficient of Variation</w:t>
      </w:r>
    </w:p>
    <w:p>
      <w:pPr>
        <w:spacing w:before="0" w:after="80" w:line="240" w:lineRule="auto"/>
      </w:pPr>
      <w:r>
        <w:rPr>
          <w:rFonts w:ascii="Arial" w:hAnsi="Arial"/>
          <w:b/>
          <w:color w:val="FFFFFF"/>
          <w:sz w:val="17"/>
          <w:shd w:fill="6B4E9B"/>
        </w:rPr>
        <w:t>P1 - CGM gated</w:t>
      </w:r>
      <w:r>
        <w:t xml:space="preserve">   </w:t>
      </w:r>
      <w:r>
        <w:rPr>
          <w:rFonts w:ascii="Arial" w:hAnsi="Arial"/>
          <w:b/>
          <w:color w:val="0E7484"/>
          <w:sz w:val="17"/>
        </w:rPr>
        <w:t>CGM only</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Quantify glycemic variability using the standardized dense-data metric.</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Qualified CGM observations.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CV = 100 * SD / mean. ADA 2026 lists &lt;=36% as a general CGM variability goal, with lower targets sometimes suggested for selected therapies.[2]</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CGM qualification passed.</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CV %, SD, trend compared with prior qualified period.</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"Glucose variability: 31% CV"</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Present the numeric target as reference context, not a diagnosis. Do not reuse the &lt;=36% goal for sparse manual data.</w:t>
            </w:r>
          </w:p>
        </w:tc>
      </w:tr>
    </w:tbl>
    <w:p>
      <w:pPr>
        <w:spacing w:after="20"/>
      </w:pPr>
    </w:p>
    <w:p>
      <w:pPr>
        <w:spacing w:before="160" w:after="80" w:line="240" w:lineRule="auto"/>
        <w:keepNext/>
      </w:pPr>
      <w:r>
        <w:rPr>
          <w:rFonts w:ascii="Arial" w:hAnsi="Arial"/>
          <w:b/>
          <w:color w:val="1B2A4A"/>
          <w:sz w:val="25"/>
        </w:rPr>
        <w:t>6.6. CGM Low / High Episode Patterns</w:t>
      </w:r>
    </w:p>
    <w:p>
      <w:pPr>
        <w:spacing w:before="0" w:after="80" w:line="240" w:lineRule="auto"/>
      </w:pPr>
      <w:r>
        <w:rPr>
          <w:rFonts w:ascii="Arial" w:hAnsi="Arial"/>
          <w:b/>
          <w:color w:val="FFFFFF"/>
          <w:sz w:val="17"/>
          <w:shd w:fill="6B4E9B"/>
        </w:rPr>
        <w:t>P1 - CGM gated</w:t>
      </w:r>
      <w:r>
        <w:t xml:space="preserve">   </w:t>
      </w:r>
      <w:r>
        <w:rPr>
          <w:rFonts w:ascii="Arial" w:hAnsi="Arial"/>
          <w:b/>
          <w:color w:val="0E7484"/>
          <w:sz w:val="17"/>
        </w:rPr>
        <w:t>CGM only</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Go beyond aggregate percentages to identify repeated periods of clinically important low or high glucose exposure.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Qualified sequential CGM observations; timestamps; target thresholds.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Group consecutive out-of-range samples into episodes using source sampling cadence. Summarize episode count, median duration, longest duration, and time-of-day concentration. Exact episode-gap rules should be configurable by source cadence.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CGM qualification passed; episode analysis requires reliable timestamp continuity.</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Low/high episode counts, durations, common time windows, repeated overnight patterns.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"Most low-glucose exposure occurred overnight, with 3 separate episodes during the past 14 days."</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This is retrospective pattern analysis, not a real-time alarm system. Vitals must not imply that imported/delayed CGM data can provide immediate safety alerts.</w:t>
            </w:r>
          </w:p>
        </w:tc>
      </w:tr>
    </w:tbl>
    <w:p>
      <w:pPr>
        <w:spacing w:after="20"/>
      </w:pPr>
    </w:p>
    <w:p>
      <w:pPr>
        <w:spacing w:before="160" w:after="80" w:line="240" w:lineRule="auto"/>
        <w:keepNext/>
      </w:pPr>
      <w:r>
        <w:rPr>
          <w:rFonts w:ascii="Arial" w:hAnsi="Arial"/>
          <w:b/>
          <w:color w:val="1B2A4A"/>
          <w:sz w:val="25"/>
        </w:rPr>
        <w:t>6.7. GMI vs Laboratory A1C Comparison</w:t>
      </w:r>
    </w:p>
    <w:p>
      <w:pPr>
        <w:spacing w:before="0" w:after="80" w:line="240" w:lineRule="auto"/>
      </w:pPr>
      <w:r>
        <w:rPr>
          <w:rFonts w:ascii="Arial" w:hAnsi="Arial"/>
          <w:b/>
          <w:color w:val="FFFFFF"/>
          <w:sz w:val="17"/>
          <w:shd w:fill="6B4E9B"/>
        </w:rPr>
        <w:t>P1 - CGM gated</w:t>
      </w:r>
      <w:r>
        <w:t xml:space="preserve">   </w:t>
      </w:r>
      <w:r>
        <w:rPr>
          <w:rFonts w:ascii="Arial" w:hAnsi="Arial"/>
          <w:b/>
          <w:color w:val="0E7484"/>
          <w:sz w:val="17"/>
        </w:rPr>
        <w:t>CGM + optional lab A1C</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Purpose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Place the glucose-derived GMI next to an actual laboratory A1C so patients and clinicians can see concordance or discordance without conflating the two.</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Required inputs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Qualified GMI; latest laboratory A1C; collection date.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Calculation / logic</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Display both values, dates/periods, and arithmetic difference. Do not convert the difference into improvement/decline unless comparing like-with-like longitudinal lab A1C values. ADA advises evaluation when glucose and A1C are consistently and substantially discordant.[4]</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Activation gate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Qualified GMI + at least one lab A1C record. If lab A1C is old, label its age prominently.</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Analysis output</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GMI, lab A1C, lab date, difference, disclosure.</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Patient-facing example</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"Current GMI: 6.8%. Laboratory A1C: 7.2% on Aug 18. These measures may differ and should not be expected to match exactly."</w:t>
            </w:r>
          </w:p>
        </w:tc>
      </w:tr>
      <w:tr>
        <w:trPr>
          <w:cantSplit/>
        </w:trPr>
        <w:tc>
          <w:tcPr>
            <w:tcW w:type="dxa" w:w="2232"/>
            <w:shd w:fill="EEF3F8"/>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0" w:lineRule="auto"/>
            </w:pPr>
            <w:r>
              <w:rPr>
                <w:rFonts w:ascii="Arial" w:hAnsi="Arial"/>
                <w:b/>
                <w:color w:val="1B2A4A"/>
                <w:sz w:val="17"/>
              </w:rPr>
              <w:t>Engineering notes</w:t>
            </w:r>
          </w:p>
        </w:tc>
        <w:tc>
          <w:tcPr>
            <w:tcW w:type="dxa" w:w="6984"/>
            <w:tcBorders>
              <w:top w:val="single" w:sz="3" w:color="D5D9E0"/>
              <w:left w:val="single" w:sz="3" w:color="D5D9E0"/>
              <w:bottom w:val="single" w:sz="3" w:color="D5D9E0"/>
              <w:right w:val="single" w:sz="3" w:color="D5D9E0"/>
            </w:tcBorders>
            <w:tcMar>
              <w:top w:w="90" w:type="dxa"/>
              <w:start w:w="100" w:type="dxa"/>
              <w:bottom w:w="90" w:type="dxa"/>
              <w:end w:w="100" w:type="dxa"/>
            </w:tcMar>
          </w:tcPr>
          <w:p>
            <w:pPr>
              <w:spacing w:before="0" w:after="0" w:line="245" w:lineRule="auto"/>
            </w:pPr>
            <w:r>
              <w:rPr>
                <w:rFonts w:ascii="Arial" w:hAnsi="Arial"/>
                <w:color w:val="20242A"/>
                <w:sz w:val="17"/>
              </w:rPr>
              <w:t>Laboratory A1C reflects a longer biological interval and may be affected by red-cell and other factors; GMI reflects recent mean CGM glucose.[4][5]</w:t>
            </w:r>
          </w:p>
        </w:tc>
      </w:tr>
    </w:tbl>
    <w:p>
      <w:pPr>
        <w:spacing w:after="20"/>
      </w:pPr>
    </w:p>
    <w:p>
      <w:pPr>
        <w:spacing w:before="200" w:after="160" w:line="240" w:lineRule="auto"/>
        <w:pBdr>
          <w:bottom w:val="single" w:sz="10" w:space="3" w:color="19A7B5"/>
        </w:pBdr>
        <w:keepNext/>
      </w:pPr>
      <w:r>
        <w:rPr>
          <w:rFonts w:ascii="Arial" w:hAnsi="Arial"/>
          <w:b/>
          <w:color w:val="1B2A4A"/>
          <w:sz w:val="32"/>
        </w:rPr>
        <w:t>7. Reference Thresholds and Target Profiles</w:t>
      </w:r>
    </w:p>
    <w:p>
      <w:pPr>
        <w:spacing w:before="0" w:after="100" w:line="259" w:lineRule="auto"/>
      </w:pPr>
      <w:r>
        <w:rPr>
          <w:rFonts w:ascii="Arial" w:hAnsi="Arial"/>
          <w:i w:val="0"/>
          <w:color w:val="20242A"/>
          <w:sz w:val="19"/>
        </w:rPr>
        <w:t>The following values are sourced from ADA 2026 for many nonpregnant adults and from the standardized CGM framework. They are reference defaults only. Vitals must support individualized targets and should not silently apply these values to pregnancy, pediatric populations, frail/complex older adults, or clinician-customized care plans.[2]</w:t>
      </w:r>
      <w:r>
        <w:rPr>
          <w:rFonts w:ascii="Arial" w:hAnsi="Arial"/>
          <w:color w:val="20242A"/>
          <w:sz w:val="19"/>
        </w:rPr>
        <w:t xml:space="preserve"> [6]</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331"/>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Metric / context</w:t>
            </w:r>
          </w:p>
        </w:tc>
        <w:tc>
          <w:tcPr>
            <w:tcW w:type="dxa" w:w="3331"/>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Reference value</w:t>
            </w:r>
          </w:p>
        </w:tc>
        <w:tc>
          <w:tcPr>
            <w:tcW w:type="dxa" w:w="3331"/>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Implementation use</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Preprandial capillary glucose</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80-130 mg/dL</w:t>
            </w:r>
            <w:r>
              <w:rPr>
                <w:rFonts w:ascii="Arial" w:hAnsi="Arial"/>
                <w:color w:val="20242A"/>
                <w:sz w:val="17"/>
              </w:rPr>
              <w:t xml:space="preserve"> [2]</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Optional default target for many nonpregnant adults; customizable</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Peak postprandial capillary glucose</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&lt;180 mg/dL</w:t>
            </w:r>
            <w:r>
              <w:rPr>
                <w:rFonts w:ascii="Arial" w:hAnsi="Arial"/>
                <w:color w:val="20242A"/>
                <w:sz w:val="17"/>
              </w:rPr>
              <w:t xml:space="preserve"> [2]</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Reference ceiling; post-meal timing matters</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Level 1 hypoglycemia</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&lt;70 and &gt;=54 mg/dL</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Event classification</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Level 2 hypoglycemia</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&lt;54 mg/dL</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Event classification</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TIR</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70-180 mg/dL; goal &gt;70%</w:t>
            </w:r>
            <w:r>
              <w:rPr>
                <w:rFonts w:ascii="Arial" w:hAnsi="Arial"/>
                <w:color w:val="20242A"/>
                <w:sz w:val="17"/>
              </w:rPr>
              <w:t xml:space="preserve"> [2][6]</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qualified summary only</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TAR</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&gt;180 goal &lt;25%; &gt;250 goal &lt;5%</w:t>
            </w:r>
            <w:r>
              <w:rPr>
                <w:rFonts w:ascii="Arial" w:hAnsi="Arial"/>
                <w:color w:val="20242A"/>
                <w:sz w:val="17"/>
              </w:rPr>
              <w:t xml:space="preserve"> [2][6]</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qualified summary only</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TBR</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&lt;70 goal &lt;4%; &lt;54 goal &lt;1%</w:t>
            </w:r>
            <w:r>
              <w:rPr>
                <w:rFonts w:ascii="Arial" w:hAnsi="Arial"/>
                <w:color w:val="20242A"/>
                <w:sz w:val="17"/>
              </w:rPr>
              <w:t xml:space="preserve"> [2][6]</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qualified summary only</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CV</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&lt;=36%</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variability reference</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data sufficiency</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&gt;=14 days and &gt;=70% active</w:t>
            </w:r>
            <w:r>
              <w:rPr>
                <w:rFonts w:ascii="Arial" w:hAnsi="Arial"/>
                <w:color w:val="20242A"/>
                <w:sz w:val="17"/>
              </w:rPr>
              <w:t xml:space="preserve"> [2]</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Qualification gate for standardized CGM summary</w:t>
            </w:r>
          </w:p>
        </w:tc>
      </w:tr>
    </w:tbl>
    <w:p>
      <w:pPr>
        <w:spacing w:before="200" w:after="160" w:line="240" w:lineRule="auto"/>
        <w:pBdr>
          <w:bottom w:val="single" w:sz="10" w:space="3" w:color="19A7B5"/>
        </w:pBdr>
        <w:keepNext/>
      </w:pPr>
      <w:r>
        <w:rPr>
          <w:rFonts w:ascii="Arial" w:hAnsi="Arial"/>
          <w:b/>
          <w:color w:val="1B2A4A"/>
          <w:sz w:val="32"/>
        </w:rPr>
        <w:t>8. Analysis Service Architecture</w:t>
      </w:r>
    </w:p>
    <w:p>
      <w:pPr>
        <w:spacing w:before="0" w:after="100" w:line="259" w:lineRule="auto"/>
      </w:pPr>
      <w:r>
        <w:rPr>
          <w:rFonts w:ascii="Arial" w:hAnsi="Arial"/>
          <w:i w:val="0"/>
          <w:color w:val="20242A"/>
          <w:sz w:val="19"/>
        </w:rPr>
        <w:t>The backend should expose a glucose-specific strategy behind the common vital analysis interface. The caller should not decide which metrics are valid; the analysis service should return both results and capability/eligibility metadata.</w:t>
      </w:r>
    </w:p>
    <w:tbl>
      <w:tblPr>
        <w:tblW w:type="auto" w:w="0"/>
        <w:jc w:val="center"/>
        <w:tblLayout w:type="fixed"/>
        <w:tblLook w:firstColumn="1" w:firstRow="1" w:lastColumn="0" w:lastRow="0" w:noHBand="0" w:noVBand="1" w:val="04A0"/>
      </w:tblPr>
      <w:tblGrid>
        <w:gridCol w:w="9994"/>
      </w:tblGrid>
      <w:tr>
        <w:trPr>
          <w:cantSplit/>
        </w:trPr>
        <w:tc>
          <w:tcPr>
            <w:tcW w:type="dxa" w:w="9216"/>
            <w:shd w:fill="EAF7F8"/>
            <w:tcMar>
              <w:top w:w="120" w:type="dxa"/>
              <w:start w:w="140" w:type="dxa"/>
              <w:bottom w:w="120" w:type="dxa"/>
              <w:end w:w="140" w:type="dxa"/>
            </w:tcMar>
            <w:tcBorders>
              <w:top w:val="nil"/>
              <w:left w:val="single" w:sz="18" w:color="19A7B5"/>
              <w:bottom w:val="nil"/>
              <w:right w:val="nil"/>
            </w:tcBorders>
          </w:tcPr>
          <w:p>
            <w:pPr>
              <w:spacing w:before="0" w:after="40" w:line="240" w:lineRule="auto"/>
            </w:pPr>
            <w:r>
              <w:rPr>
                <w:rFonts w:ascii="Arial" w:hAnsi="Arial"/>
                <w:b/>
                <w:color w:val="1B2A4A"/>
                <w:sz w:val="19"/>
              </w:rPr>
              <w:t>Recommended boundary</w:t>
            </w:r>
          </w:p>
          <w:p>
            <w:pPr>
              <w:spacing w:before="0" w:after="0" w:line="252" w:lineRule="auto"/>
            </w:pPr>
            <w:r>
              <w:rPr>
                <w:rFonts w:ascii="Arial" w:hAnsi="Arial"/>
                <w:color w:val="20242A"/>
                <w:sz w:val="18"/>
              </w:rPr>
              <w:t>VitalAnalysisService selects a metric strategy. GlucoseAnalysisService consumes normalized glucose observations, patient targets, medication events, lab A1C records, and source-quality metadata. The MAUI client renders returned capabilities rather than hardcoding a glucose metric list.</w:t>
            </w:r>
          </w:p>
        </w:tc>
      </w:tr>
    </w:tbl>
    <w:p>
      <w:pPr>
        <w:spacing w:after="20"/>
      </w:pPr>
    </w:p>
    <w:p>
      <w:pPr>
        <w:spacing w:before="160" w:after="80" w:line="240" w:lineRule="auto"/>
        <w:keepNext/>
      </w:pPr>
      <w:r>
        <w:rPr>
          <w:rFonts w:ascii="Arial" w:hAnsi="Arial"/>
          <w:b/>
          <w:color w:val="1B2A4A"/>
          <w:sz w:val="25"/>
        </w:rPr>
        <w:t>8.1 Suggested result model</w:t>
      </w:r>
    </w:p>
    <w:p>
      <w:pPr>
        <w:spacing w:before="0" w:after="120" w:line="240" w:lineRule="auto"/>
        <w:ind w:left="360" w:right="360"/>
        <w:shd w:fill="F4F5F7"/>
      </w:pPr>
      <w:r>
        <w:rPr>
          <w:rFonts w:ascii="Courier New" w:hAnsi="Courier New"/>
          <w:color w:val="20242A"/>
          <w:sz w:val="17"/>
        </w:rPr>
        <w:t>GlucoseAnalysisResult</w:t>
        <w:br/>
        <w:t xml:space="preserve">  patient_id</w:t>
        <w:br/>
        <w:t xml:space="preserve">  window</w:t>
        <w:br/>
        <w:t xml:space="preserve">  source_summary</w:t>
        <w:br/>
        <w:t xml:space="preserve">  snapshot</w:t>
        <w:br/>
        <w:t xml:space="preserve">  context_summaries[]</w:t>
        <w:br/>
        <w:t xml:space="preserve">  trends[]</w:t>
        <w:br/>
        <w:t xml:space="preserve">  range_events</w:t>
        <w:br/>
        <w:t xml:space="preserve">  logged_readings_in_target</w:t>
        <w:br/>
        <w:t xml:space="preserve">  meal_excursions[]</w:t>
        <w:br/>
        <w:t xml:space="preserve">  variability[]</w:t>
        <w:br/>
        <w:t xml:space="preserve">  time_of_day[]</w:t>
        <w:br/>
        <w:t xml:space="preserve">  medication_correlations[]</w:t>
        <w:br/>
        <w:t xml:space="preserve">  cgm_summary?</w:t>
        <w:br/>
        <w:t xml:space="preserve">    coverage</w:t>
        <w:br/>
        <w:t xml:space="preserve">    mean_glucose</w:t>
        <w:br/>
        <w:t xml:space="preserve">    gmi</w:t>
        <w:br/>
        <w:t xml:space="preserve">    tir / tar / tbr</w:t>
        <w:br/>
        <w:t xml:space="preserve">    cv</w:t>
        <w:br/>
        <w:t xml:space="preserve">    episodes[]</w:t>
        <w:br/>
        <w:t xml:space="preserve">  lab_a1c_comparison?</w:t>
        <w:br/>
        <w:t xml:space="preserve">  eligibility[]</w:t>
        <w:br/>
        <w:t xml:space="preserve">  generated_at</w:t>
      </w:r>
    </w:p>
    <w:p>
      <w:pPr>
        <w:spacing w:before="160" w:after="80" w:line="240" w:lineRule="auto"/>
        <w:keepNext/>
      </w:pPr>
      <w:r>
        <w:rPr>
          <w:rFonts w:ascii="Arial" w:hAnsi="Arial"/>
          <w:b/>
          <w:color w:val="1B2A4A"/>
          <w:sz w:val="25"/>
        </w:rPr>
        <w:t>8.2 Capability gating</w:t>
      </w:r>
    </w:p>
    <w:p>
      <w:pPr>
        <w:spacing w:before="0" w:after="100" w:line="259" w:lineRule="auto"/>
      </w:pPr>
      <w:r>
        <w:rPr>
          <w:rFonts w:ascii="Arial" w:hAnsi="Arial"/>
          <w:i w:val="0"/>
          <w:color w:val="20242A"/>
          <w:sz w:val="19"/>
        </w:rPr>
        <w:t>Every result block should include `is_available`, `reason_code`, `sample_count`, `date_span_days`, and source classification. The UI may then omit, soften, or explain unavailable metrics consistently.</w:t>
      </w:r>
    </w:p>
    <w:p>
      <w:pPr>
        <w:spacing w:before="0" w:after="40" w:line="252" w:lineRule="auto"/>
        <w:ind w:left="317" w:hanging="230"/>
      </w:pPr>
      <w:r>
        <w:rPr>
          <w:rFonts w:ascii="Arial" w:hAnsi="Arial"/>
          <w:b/>
          <w:color w:val="19A7B5"/>
          <w:sz w:val="18"/>
        </w:rPr>
        <w:t xml:space="preserve">• </w:t>
      </w:r>
      <w:r>
        <w:rPr>
          <w:rFonts w:ascii="Arial" w:hAnsi="Arial"/>
          <w:color w:val="20242A"/>
          <w:sz w:val="18"/>
        </w:rPr>
        <w:t>Manual/BGM source =&gt; GMI, TIR/TAR/TBR, and CGM-target CV are unavailable.</w:t>
      </w:r>
    </w:p>
    <w:p>
      <w:pPr>
        <w:spacing w:before="0" w:after="40" w:line="252" w:lineRule="auto"/>
        <w:ind w:left="317" w:hanging="230"/>
      </w:pPr>
      <w:r>
        <w:rPr>
          <w:rFonts w:ascii="Arial" w:hAnsi="Arial"/>
          <w:b/>
          <w:color w:val="19A7B5"/>
          <w:sz w:val="18"/>
        </w:rPr>
        <w:t xml:space="preserve">• </w:t>
      </w:r>
      <w:r>
        <w:rPr>
          <w:rFonts w:ascii="Arial" w:hAnsi="Arial"/>
          <w:color w:val="20242A"/>
          <w:sz w:val="18"/>
        </w:rPr>
        <w:t>CGM source but &lt;14 days or &lt;70% coverage =&gt; show raw/preview trends if useful, but withhold the standardized CGM summary by default.</w:t>
      </w:r>
    </w:p>
    <w:p>
      <w:pPr>
        <w:spacing w:before="0" w:after="40" w:line="252" w:lineRule="auto"/>
        <w:ind w:left="317" w:hanging="230"/>
      </w:pPr>
      <w:r>
        <w:rPr>
          <w:rFonts w:ascii="Arial" w:hAnsi="Arial"/>
          <w:b/>
          <w:color w:val="19A7B5"/>
          <w:sz w:val="18"/>
        </w:rPr>
        <w:t xml:space="preserve">• </w:t>
      </w:r>
      <w:r>
        <w:rPr>
          <w:rFonts w:ascii="Arial" w:hAnsi="Arial"/>
          <w:color w:val="20242A"/>
          <w:sz w:val="18"/>
        </w:rPr>
        <w:t>Missing measurement context =&gt; raw timeline can render; context-specific average/trend cannot be inferred.</w:t>
      </w:r>
    </w:p>
    <w:p>
      <w:pPr>
        <w:spacing w:before="0" w:after="40" w:line="252" w:lineRule="auto"/>
        <w:ind w:left="317" w:hanging="230"/>
      </w:pPr>
      <w:r>
        <w:rPr>
          <w:rFonts w:ascii="Arial" w:hAnsi="Arial"/>
          <w:b/>
          <w:color w:val="19A7B5"/>
          <w:sz w:val="18"/>
        </w:rPr>
        <w:t xml:space="preserve">• </w:t>
      </w:r>
      <w:r>
        <w:rPr>
          <w:rFonts w:ascii="Arial" w:hAnsi="Arial"/>
          <w:color w:val="20242A"/>
          <w:sz w:val="18"/>
        </w:rPr>
        <w:t>Medication event without adequate before/after samples =&gt; show chart annotation only; do not show a numeric medication-response delta.</w:t>
      </w:r>
    </w:p>
    <w:p>
      <w:pPr>
        <w:spacing w:before="200" w:after="160" w:line="240" w:lineRule="auto"/>
        <w:pBdr>
          <w:bottom w:val="single" w:sz="10" w:space="3" w:color="19A7B5"/>
        </w:pBdr>
        <w:keepNext/>
      </w:pPr>
      <w:r>
        <w:rPr>
          <w:rFonts w:ascii="Arial" w:hAnsi="Arial"/>
          <w:b/>
          <w:color w:val="1B2A4A"/>
          <w:sz w:val="32"/>
        </w:rPr>
        <w:t>9. UI / Reporting Presentation</w:t>
      </w:r>
    </w:p>
    <w:p>
      <w:pPr>
        <w:spacing w:before="160" w:after="80" w:line="240" w:lineRule="auto"/>
        <w:keepNext/>
      </w:pPr>
      <w:r>
        <w:rPr>
          <w:rFonts w:ascii="Arial" w:hAnsi="Arial"/>
          <w:b/>
          <w:color w:val="1B2A4A"/>
          <w:sz w:val="25"/>
        </w:rPr>
        <w:t>9.1 Dashboard card</w:t>
      </w:r>
    </w:p>
    <w:p>
      <w:pPr>
        <w:spacing w:before="0" w:after="100" w:line="259" w:lineRule="auto"/>
      </w:pPr>
      <w:r>
        <w:rPr>
          <w:rFonts w:ascii="Arial" w:hAnsi="Arial"/>
          <w:i w:val="0"/>
          <w:color w:val="20242A"/>
          <w:sz w:val="19"/>
        </w:rPr>
        <w:t>The glucose card should be composed from the patient's enabled vital configuration and current capabilities. Recommended minimum: latest reading + context, one qualifying trend, and one concise pattern/range metric. Do not cram the full analysis onto Home.</w:t>
      </w:r>
    </w:p>
    <w:tbl>
      <w:tblPr>
        <w:tblW w:type="auto" w:w="0"/>
        <w:jc w:val="center"/>
        <w:tblLayout w:type="fixed"/>
        <w:tblLook w:firstColumn="1" w:firstRow="1" w:lastColumn="0" w:lastRow="0" w:noHBand="0" w:noVBand="1" w:val="04A0"/>
      </w:tblPr>
      <w:tblGrid>
        <w:gridCol w:w="9994"/>
      </w:tblGrid>
      <w:tr>
        <w:trPr>
          <w:cantSplit/>
        </w:trPr>
        <w:tc>
          <w:tcPr>
            <w:tcW w:type="dxa" w:w="9216"/>
            <w:shd w:fill="F3FBFB"/>
            <w:tcMar>
              <w:top w:w="120" w:type="dxa"/>
              <w:start w:w="140" w:type="dxa"/>
              <w:bottom w:w="120" w:type="dxa"/>
              <w:end w:w="140" w:type="dxa"/>
            </w:tcMar>
            <w:tcBorders>
              <w:top w:val="nil"/>
              <w:left w:val="single" w:sz="18" w:color="19A7B5"/>
              <w:bottom w:val="nil"/>
              <w:right w:val="nil"/>
            </w:tcBorders>
          </w:tcPr>
          <w:p>
            <w:pPr>
              <w:spacing w:before="0" w:after="40" w:line="240" w:lineRule="auto"/>
            </w:pPr>
            <w:r>
              <w:rPr>
                <w:rFonts w:ascii="Arial" w:hAnsi="Arial"/>
                <w:b/>
                <w:color w:val="1B2A4A"/>
                <w:sz w:val="19"/>
              </w:rPr>
              <w:t>Example dashboard card</w:t>
            </w:r>
          </w:p>
          <w:p>
            <w:pPr>
              <w:spacing w:before="0" w:after="0" w:line="252" w:lineRule="auto"/>
            </w:pPr>
            <w:r>
              <w:rPr>
                <w:rFonts w:ascii="Arial" w:hAnsi="Arial"/>
                <w:color w:val="20242A"/>
                <w:sz w:val="18"/>
              </w:rPr>
              <w:t>GLUCOSE</w:t>
              <w:br/>
              <w:t>Latest: 126 mg/dL - Fasting</w:t>
              <w:br/>
              <w:t>30-day fasting trend: down 6 mg/dL</w:t>
              <w:br/>
              <w:t>Logged readings in target: 78%</w:t>
              <w:br/>
              <w:t>[View analysis]</w:t>
            </w:r>
          </w:p>
        </w:tc>
      </w:tr>
    </w:tbl>
    <w:p>
      <w:pPr>
        <w:spacing w:after="20"/>
      </w:pPr>
    </w:p>
    <w:p>
      <w:pPr>
        <w:spacing w:before="160" w:after="80" w:line="240" w:lineRule="auto"/>
        <w:keepNext/>
      </w:pPr>
      <w:r>
        <w:rPr>
          <w:rFonts w:ascii="Arial" w:hAnsi="Arial"/>
          <w:b/>
          <w:color w:val="1B2A4A"/>
          <w:sz w:val="25"/>
        </w:rPr>
        <w:t>9.2 Glucose Details / Analysis screen</w:t>
      </w:r>
    </w:p>
    <w:p>
      <w:pPr>
        <w:spacing w:before="0" w:after="40" w:line="252" w:lineRule="auto"/>
        <w:ind w:left="317" w:hanging="230"/>
      </w:pPr>
      <w:r>
        <w:rPr>
          <w:rFonts w:ascii="Arial" w:hAnsi="Arial"/>
          <w:b/>
          <w:color w:val="19A7B5"/>
          <w:sz w:val="18"/>
        </w:rPr>
        <w:t xml:space="preserve">• </w:t>
      </w:r>
      <w:r>
        <w:rPr>
          <w:rFonts w:ascii="Arial" w:hAnsi="Arial"/>
          <w:color w:val="20242A"/>
          <w:sz w:val="18"/>
        </w:rPr>
        <w:t>Header: latest reading, context, timestamp, selected time window.</w:t>
      </w:r>
    </w:p>
    <w:p>
      <w:pPr>
        <w:spacing w:before="0" w:after="40" w:line="252" w:lineRule="auto"/>
        <w:ind w:left="317" w:hanging="230"/>
      </w:pPr>
      <w:r>
        <w:rPr>
          <w:rFonts w:ascii="Arial" w:hAnsi="Arial"/>
          <w:b/>
          <w:color w:val="19A7B5"/>
          <w:sz w:val="18"/>
        </w:rPr>
        <w:t xml:space="preserve">• </w:t>
      </w:r>
      <w:r>
        <w:rPr>
          <w:rFonts w:ascii="Arial" w:hAnsi="Arial"/>
          <w:color w:val="20242A"/>
          <w:sz w:val="18"/>
        </w:rPr>
        <w:t>Context trend chart: raw points + LOESS + patient target band; filter by fasting / pre-meal / post-meal / bedtime.</w:t>
      </w:r>
    </w:p>
    <w:p>
      <w:pPr>
        <w:spacing w:before="0" w:after="40" w:line="252" w:lineRule="auto"/>
        <w:ind w:left="317" w:hanging="230"/>
      </w:pPr>
      <w:r>
        <w:rPr>
          <w:rFonts w:ascii="Arial" w:hAnsi="Arial"/>
          <w:b/>
          <w:color w:val="19A7B5"/>
          <w:sz w:val="18"/>
        </w:rPr>
        <w:t xml:space="preserve">• </w:t>
      </w:r>
      <w:r>
        <w:rPr>
          <w:rFonts w:ascii="Arial" w:hAnsi="Arial"/>
          <w:color w:val="20242A"/>
          <w:sz w:val="18"/>
        </w:rPr>
        <w:t>Pattern cards: fasting average, post-meal average, low events, logged readings in target, variability, highest recurring time period.</w:t>
      </w:r>
    </w:p>
    <w:p>
      <w:pPr>
        <w:spacing w:before="0" w:after="40" w:line="252" w:lineRule="auto"/>
        <w:ind w:left="317" w:hanging="230"/>
      </w:pPr>
      <w:r>
        <w:rPr>
          <w:rFonts w:ascii="Arial" w:hAnsi="Arial"/>
          <w:b/>
          <w:color w:val="19A7B5"/>
          <w:sz w:val="18"/>
        </w:rPr>
        <w:t xml:space="preserve">• </w:t>
      </w:r>
      <w:r>
        <w:rPr>
          <w:rFonts w:ascii="Arial" w:hAnsi="Arial"/>
          <w:color w:val="20242A"/>
          <w:sz w:val="18"/>
        </w:rPr>
        <w:t>Meal response section: average excursion by meal with pair counts.</w:t>
      </w:r>
    </w:p>
    <w:p>
      <w:pPr>
        <w:spacing w:before="0" w:after="40" w:line="252" w:lineRule="auto"/>
        <w:ind w:left="317" w:hanging="230"/>
      </w:pPr>
      <w:r>
        <w:rPr>
          <w:rFonts w:ascii="Arial" w:hAnsi="Arial"/>
          <w:b/>
          <w:color w:val="19A7B5"/>
          <w:sz w:val="18"/>
        </w:rPr>
        <w:t xml:space="preserve">• </w:t>
      </w:r>
      <w:r>
        <w:rPr>
          <w:rFonts w:ascii="Arial" w:hAnsi="Arial"/>
          <w:color w:val="20242A"/>
          <w:sz w:val="18"/>
        </w:rPr>
        <w:t>Medication timeline: chart annotations and eligible before/after comparison.</w:t>
      </w:r>
    </w:p>
    <w:p>
      <w:pPr>
        <w:spacing w:before="0" w:after="40" w:line="252" w:lineRule="auto"/>
        <w:ind w:left="317" w:hanging="230"/>
      </w:pPr>
      <w:r>
        <w:rPr>
          <w:rFonts w:ascii="Arial" w:hAnsi="Arial"/>
          <w:b/>
          <w:color w:val="19A7B5"/>
          <w:sz w:val="18"/>
        </w:rPr>
        <w:t xml:space="preserve">• </w:t>
      </w:r>
      <w:r>
        <w:rPr>
          <w:rFonts w:ascii="Arial" w:hAnsi="Arial"/>
          <w:color w:val="20242A"/>
          <w:sz w:val="18"/>
        </w:rPr>
        <w:t>CGM section appears only when qualified: coverage, mean glucose, GMI, TIR/TAR/TBR, CV, episode patterns.</w:t>
      </w:r>
    </w:p>
    <w:p>
      <w:pPr>
        <w:spacing w:before="0" w:after="40" w:line="252" w:lineRule="auto"/>
        <w:ind w:left="317" w:hanging="230"/>
      </w:pPr>
      <w:r>
        <w:rPr>
          <w:rFonts w:ascii="Arial" w:hAnsi="Arial"/>
          <w:b/>
          <w:color w:val="19A7B5"/>
          <w:sz w:val="18"/>
        </w:rPr>
        <w:t xml:space="preserve">• </w:t>
      </w:r>
      <w:r>
        <w:rPr>
          <w:rFonts w:ascii="Arial" w:hAnsi="Arial"/>
          <w:color w:val="20242A"/>
          <w:sz w:val="18"/>
        </w:rPr>
        <w:t>A1C section: latest laboratory A1C; when qualified CGM exists, show side-by-side GMI comparison with explicit disclosure.</w:t>
      </w:r>
    </w:p>
    <w:p>
      <w:pPr>
        <w:spacing w:before="160" w:after="80" w:line="240" w:lineRule="auto"/>
        <w:keepNext/>
      </w:pPr>
      <w:r>
        <w:rPr>
          <w:rFonts w:ascii="Arial" w:hAnsi="Arial"/>
          <w:b/>
          <w:color w:val="1B2A4A"/>
          <w:sz w:val="25"/>
        </w:rPr>
        <w:t>9.3 Physician PDF</w:t>
      </w:r>
    </w:p>
    <w:p>
      <w:pPr>
        <w:spacing w:before="0" w:after="100" w:line="259" w:lineRule="auto"/>
      </w:pPr>
      <w:r>
        <w:rPr>
          <w:rFonts w:ascii="Arial" w:hAnsi="Arial"/>
          <w:i w:val="0"/>
          <w:color w:val="20242A"/>
          <w:sz w:val="19"/>
        </w:rPr>
        <w:t>The physician PDF should favor concise, auditable metrics: data source, observation count/coverage, context-specific averages/trends, low-event counts, meal excursions, medication annotations, and - when CGM is qualified - mean glucose, GMI, TIR/TAR/TBR, and CV. Each derived value should include its time window and sample/coverage basis.</w:t>
      </w:r>
    </w:p>
    <w:p>
      <w:pPr>
        <w:spacing w:before="200" w:after="160" w:line="240" w:lineRule="auto"/>
        <w:pBdr>
          <w:bottom w:val="single" w:sz="10" w:space="3" w:color="19A7B5"/>
        </w:pBdr>
        <w:keepNext/>
      </w:pPr>
      <w:r>
        <w:rPr>
          <w:rFonts w:ascii="Arial" w:hAnsi="Arial"/>
          <w:b/>
          <w:color w:val="1B2A4A"/>
          <w:sz w:val="32"/>
        </w:rPr>
        <w:t>10. Clinical Safety and Language Guardrails</w:t>
      </w:r>
    </w:p>
    <w:p>
      <w:pPr>
        <w:spacing w:before="0" w:after="40" w:line="252" w:lineRule="auto"/>
        <w:ind w:left="317" w:hanging="230"/>
      </w:pPr>
      <w:r>
        <w:rPr>
          <w:rFonts w:ascii="Arial" w:hAnsi="Arial"/>
          <w:b/>
          <w:color w:val="19A7B5"/>
          <w:sz w:val="18"/>
        </w:rPr>
        <w:t xml:space="preserve">• </w:t>
      </w:r>
      <w:r>
        <w:rPr>
          <w:rFonts w:ascii="Arial" w:hAnsi="Arial"/>
          <w:color w:val="20242A"/>
          <w:sz w:val="18"/>
        </w:rPr>
        <w:t>Do not diagnose diabetes, prediabetes, hypoglycemia disorders, or medication failure from Vitals analysis. ADA diagnostic criteria rely on laboratory/clinical testing and confirmatory processes; CGM is not currently supported for diagnosis.[4]</w:t>
      </w:r>
    </w:p>
    <w:p>
      <w:pPr>
        <w:spacing w:before="0" w:after="40" w:line="252" w:lineRule="auto"/>
        <w:ind w:left="317" w:hanging="230"/>
      </w:pPr>
      <w:r>
        <w:rPr>
          <w:rFonts w:ascii="Arial" w:hAnsi="Arial"/>
          <w:b/>
          <w:color w:val="19A7B5"/>
          <w:sz w:val="18"/>
        </w:rPr>
        <w:t xml:space="preserve">• </w:t>
      </w:r>
      <w:r>
        <w:rPr>
          <w:rFonts w:ascii="Arial" w:hAnsi="Arial"/>
          <w:color w:val="20242A"/>
          <w:sz w:val="18"/>
        </w:rPr>
        <w:t>Do not provide insulin-dose or medication-dose recommendations from analysis output.</w:t>
      </w:r>
    </w:p>
    <w:p>
      <w:pPr>
        <w:spacing w:before="0" w:after="40" w:line="252" w:lineRule="auto"/>
        <w:ind w:left="317" w:hanging="230"/>
      </w:pPr>
      <w:r>
        <w:rPr>
          <w:rFonts w:ascii="Arial" w:hAnsi="Arial"/>
          <w:b/>
          <w:color w:val="19A7B5"/>
          <w:sz w:val="18"/>
        </w:rPr>
        <w:t xml:space="preserve">• </w:t>
      </w:r>
      <w:r>
        <w:rPr>
          <w:rFonts w:ascii="Arial" w:hAnsi="Arial"/>
          <w:color w:val="20242A"/>
          <w:sz w:val="18"/>
        </w:rPr>
        <w:t>Do not call manual/BGM "logged readings in target" a Time in Range metric.</w:t>
      </w:r>
    </w:p>
    <w:p>
      <w:pPr>
        <w:spacing w:before="0" w:after="40" w:line="252" w:lineRule="auto"/>
        <w:ind w:left="317" w:hanging="230"/>
      </w:pPr>
      <w:r>
        <w:rPr>
          <w:rFonts w:ascii="Arial" w:hAnsi="Arial"/>
          <w:b/>
          <w:color w:val="19A7B5"/>
          <w:sz w:val="18"/>
        </w:rPr>
        <w:t xml:space="preserve">• </w:t>
      </w:r>
      <w:r>
        <w:rPr>
          <w:rFonts w:ascii="Arial" w:hAnsi="Arial"/>
          <w:color w:val="20242A"/>
          <w:sz w:val="18"/>
        </w:rPr>
        <w:t>Do not calculate GMI from sparse manually entered glucose data.</w:t>
      </w:r>
    </w:p>
    <w:p>
      <w:pPr>
        <w:spacing w:before="0" w:after="40" w:line="252" w:lineRule="auto"/>
        <w:ind w:left="317" w:hanging="230"/>
      </w:pPr>
      <w:r>
        <w:rPr>
          <w:rFonts w:ascii="Arial" w:hAnsi="Arial"/>
          <w:b/>
          <w:color w:val="19A7B5"/>
          <w:sz w:val="18"/>
        </w:rPr>
        <w:t xml:space="preserve">• </w:t>
      </w:r>
      <w:r>
        <w:rPr>
          <w:rFonts w:ascii="Arial" w:hAnsi="Arial"/>
          <w:color w:val="20242A"/>
          <w:sz w:val="18"/>
        </w:rPr>
        <w:t>Display GMI as "Glucose Management Indicator (GMI)," not as an unlabeled "Estimated A1C."</w:t>
      </w:r>
    </w:p>
    <w:p>
      <w:pPr>
        <w:spacing w:before="0" w:after="40" w:line="252" w:lineRule="auto"/>
        <w:ind w:left="317" w:hanging="230"/>
      </w:pPr>
      <w:r>
        <w:rPr>
          <w:rFonts w:ascii="Arial" w:hAnsi="Arial"/>
          <w:b/>
          <w:color w:val="19A7B5"/>
          <w:sz w:val="18"/>
        </w:rPr>
        <w:t xml:space="preserve">• </w:t>
      </w:r>
      <w:r>
        <w:rPr>
          <w:rFonts w:ascii="Arial" w:hAnsi="Arial"/>
          <w:color w:val="20242A"/>
          <w:sz w:val="18"/>
        </w:rPr>
        <w:t>Required GMI disclosure: "GMI is calculated from mean CGM glucose. It is not a laboratory A1C result and may differ from your measured A1C. Talk with your healthcare professional about laboratory A1C testing and interpretation."</w:t>
      </w:r>
    </w:p>
    <w:p>
      <w:pPr>
        <w:spacing w:before="0" w:after="40" w:line="252" w:lineRule="auto"/>
        <w:ind w:left="317" w:hanging="230"/>
      </w:pPr>
      <w:r>
        <w:rPr>
          <w:rFonts w:ascii="Arial" w:hAnsi="Arial"/>
          <w:b/>
          <w:color w:val="19A7B5"/>
          <w:sz w:val="18"/>
        </w:rPr>
        <w:t xml:space="preserve">• </w:t>
      </w:r>
      <w:r>
        <w:rPr>
          <w:rFonts w:ascii="Arial" w:hAnsi="Arial"/>
          <w:color w:val="20242A"/>
          <w:sz w:val="18"/>
        </w:rPr>
        <w:t>Medication correlations must use "after," "following," or "associated with" wording; never "caused by" or "the medication is working/failing" without clinician interpretation.</w:t>
      </w:r>
    </w:p>
    <w:p>
      <w:pPr>
        <w:spacing w:before="0" w:after="40" w:line="252" w:lineRule="auto"/>
        <w:ind w:left="317" w:hanging="230"/>
      </w:pPr>
      <w:r>
        <w:rPr>
          <w:rFonts w:ascii="Arial" w:hAnsi="Arial"/>
          <w:b/>
          <w:color w:val="19A7B5"/>
          <w:sz w:val="18"/>
        </w:rPr>
        <w:t xml:space="preserve">• </w:t>
      </w:r>
      <w:r>
        <w:rPr>
          <w:rFonts w:ascii="Arial" w:hAnsi="Arial"/>
          <w:color w:val="20242A"/>
          <w:sz w:val="18"/>
        </w:rPr>
        <w:t>Imported or delayed CGM data is retrospective analysis. Vitals should not claim to provide real-time low/high alerts unless a separate, validated real-time feature is explicitly built.</w:t>
      </w:r>
    </w:p>
    <w:p>
      <w:pPr>
        <w:spacing w:before="0" w:after="40" w:line="252" w:lineRule="auto"/>
        <w:ind w:left="317" w:hanging="230"/>
      </w:pPr>
      <w:r>
        <w:rPr>
          <w:rFonts w:ascii="Arial" w:hAnsi="Arial"/>
          <w:b/>
          <w:color w:val="19A7B5"/>
          <w:sz w:val="18"/>
        </w:rPr>
        <w:t xml:space="preserve">• </w:t>
      </w:r>
      <w:r>
        <w:rPr>
          <w:rFonts w:ascii="Arial" w:hAnsi="Arial"/>
          <w:color w:val="20242A"/>
          <w:sz w:val="18"/>
        </w:rPr>
        <w:t>Targets must be patient-configurable and population-aware. Pregnancy and pediatric glucose goals require separate clinical profiles and are outside this version of the specification.</w:t>
      </w:r>
    </w:p>
    <w:p>
      <w:pPr>
        <w:spacing w:before="200" w:after="160" w:line="240" w:lineRule="auto"/>
        <w:pBdr>
          <w:bottom w:val="single" w:sz="10" w:space="3" w:color="19A7B5"/>
        </w:pBdr>
        <w:keepNext/>
      </w:pPr>
      <w:r>
        <w:rPr>
          <w:rFonts w:ascii="Arial" w:hAnsi="Arial"/>
          <w:b/>
          <w:color w:val="1B2A4A"/>
          <w:sz w:val="32"/>
        </w:rPr>
        <w:t>11. Verification and Acceptance Criteria</w:t>
      </w:r>
    </w:p>
    <w:p>
      <w:pPr>
        <w:spacing w:before="160" w:after="80" w:line="240" w:lineRule="auto"/>
        <w:keepNext/>
      </w:pPr>
      <w:r>
        <w:rPr>
          <w:rFonts w:ascii="Arial" w:hAnsi="Arial"/>
          <w:b/>
          <w:color w:val="1B2A4A"/>
          <w:sz w:val="25"/>
        </w:rPr>
        <w:t>11.1 Calculation tests</w:t>
      </w:r>
    </w:p>
    <w:p>
      <w:pPr>
        <w:spacing w:before="0" w:after="40" w:line="252" w:lineRule="auto"/>
        <w:ind w:left="317" w:hanging="230"/>
      </w:pPr>
      <w:r>
        <w:rPr>
          <w:rFonts w:ascii="Arial" w:hAnsi="Arial"/>
          <w:b/>
          <w:color w:val="19A7B5"/>
          <w:sz w:val="18"/>
        </w:rPr>
        <w:t xml:space="preserve">• </w:t>
      </w:r>
      <w:r>
        <w:rPr>
          <w:rFonts w:ascii="Arial" w:hAnsi="Arial"/>
          <w:color w:val="20242A"/>
          <w:sz w:val="18"/>
        </w:rPr>
        <w:t>Unit conversion produces consistent analysis for equivalent mg/dL and mmol/L values.</w:t>
      </w:r>
    </w:p>
    <w:p>
      <w:pPr>
        <w:spacing w:before="0" w:after="40" w:line="252" w:lineRule="auto"/>
        <w:ind w:left="317" w:hanging="230"/>
      </w:pPr>
      <w:r>
        <w:rPr>
          <w:rFonts w:ascii="Arial" w:hAnsi="Arial"/>
          <w:b/>
          <w:color w:val="19A7B5"/>
          <w:sz w:val="18"/>
        </w:rPr>
        <w:t xml:space="preserve">• </w:t>
      </w:r>
      <w:r>
        <w:rPr>
          <w:rFonts w:ascii="Arial" w:hAnsi="Arial"/>
          <w:color w:val="20242A"/>
          <w:sz w:val="18"/>
        </w:rPr>
        <w:t>Context filtering prevents fasting and post-meal readings from entering the same context-specific trend.</w:t>
      </w:r>
    </w:p>
    <w:p>
      <w:pPr>
        <w:spacing w:before="0" w:after="40" w:line="252" w:lineRule="auto"/>
        <w:ind w:left="317" w:hanging="230"/>
      </w:pPr>
      <w:r>
        <w:rPr>
          <w:rFonts w:ascii="Arial" w:hAnsi="Arial"/>
          <w:b/>
          <w:color w:val="19A7B5"/>
          <w:sz w:val="18"/>
        </w:rPr>
        <w:t xml:space="preserve">• </w:t>
      </w:r>
      <w:r>
        <w:rPr>
          <w:rFonts w:ascii="Arial" w:hAnsi="Arial"/>
          <w:color w:val="20242A"/>
          <w:sz w:val="18"/>
        </w:rPr>
        <w:t>Level 1 low classification includes 54-69.999 mg/dL; Level 2 includes values &lt;54 mg/dL.</w:t>
      </w:r>
    </w:p>
    <w:p>
      <w:pPr>
        <w:spacing w:before="0" w:after="40" w:line="252" w:lineRule="auto"/>
        <w:ind w:left="317" w:hanging="230"/>
      </w:pPr>
      <w:r>
        <w:rPr>
          <w:rFonts w:ascii="Arial" w:hAnsi="Arial"/>
          <w:b/>
          <w:color w:val="19A7B5"/>
          <w:sz w:val="18"/>
        </w:rPr>
        <w:t xml:space="preserve">• </w:t>
      </w:r>
      <w:r>
        <w:rPr>
          <w:rFonts w:ascii="Arial" w:hAnsi="Arial"/>
          <w:color w:val="20242A"/>
          <w:sz w:val="18"/>
        </w:rPr>
        <w:t>Logged-readings-in-target denominator includes only readings eligible for a defined context target.</w:t>
      </w:r>
    </w:p>
    <w:p>
      <w:pPr>
        <w:spacing w:before="0" w:after="40" w:line="252" w:lineRule="auto"/>
        <w:ind w:left="317" w:hanging="230"/>
      </w:pPr>
      <w:r>
        <w:rPr>
          <w:rFonts w:ascii="Arial" w:hAnsi="Arial"/>
          <w:b/>
          <w:color w:val="19A7B5"/>
          <w:sz w:val="18"/>
        </w:rPr>
        <w:t xml:space="preserve">• </w:t>
      </w:r>
      <w:r>
        <w:rPr>
          <w:rFonts w:ascii="Arial" w:hAnsi="Arial"/>
          <w:color w:val="20242A"/>
          <w:sz w:val="18"/>
        </w:rPr>
        <w:t>Meal pairing never crosses patients, dates/meal events, or ambiguous contexts.</w:t>
      </w:r>
    </w:p>
    <w:p>
      <w:pPr>
        <w:spacing w:before="0" w:after="40" w:line="252" w:lineRule="auto"/>
        <w:ind w:left="317" w:hanging="230"/>
      </w:pPr>
      <w:r>
        <w:rPr>
          <w:rFonts w:ascii="Arial" w:hAnsi="Arial"/>
          <w:b/>
          <w:color w:val="19A7B5"/>
          <w:sz w:val="18"/>
        </w:rPr>
        <w:t xml:space="preserve">• </w:t>
      </w:r>
      <w:r>
        <w:rPr>
          <w:rFonts w:ascii="Arial" w:hAnsi="Arial"/>
          <w:color w:val="20242A"/>
          <w:sz w:val="18"/>
        </w:rPr>
        <w:t>GMI test vector: mean CGM glucose 150 mg/dL =&gt; 6.898%, displayed as 6.9%.</w:t>
      </w:r>
    </w:p>
    <w:p>
      <w:pPr>
        <w:spacing w:before="0" w:after="40" w:line="252" w:lineRule="auto"/>
        <w:ind w:left="317" w:hanging="230"/>
      </w:pPr>
      <w:r>
        <w:rPr>
          <w:rFonts w:ascii="Arial" w:hAnsi="Arial"/>
          <w:b/>
          <w:color w:val="19A7B5"/>
          <w:sz w:val="18"/>
        </w:rPr>
        <w:t xml:space="preserve">• </w:t>
      </w:r>
      <w:r>
        <w:rPr>
          <w:rFonts w:ascii="Arial" w:hAnsi="Arial"/>
          <w:color w:val="20242A"/>
          <w:sz w:val="18"/>
        </w:rPr>
        <w:t>GMI and TIR are unavailable for source_type = manual/BGM even if many readings exist.</w:t>
      </w:r>
    </w:p>
    <w:p>
      <w:pPr>
        <w:spacing w:before="0" w:after="40" w:line="252" w:lineRule="auto"/>
        <w:ind w:left="317" w:hanging="230"/>
      </w:pPr>
      <w:r>
        <w:rPr>
          <w:rFonts w:ascii="Arial" w:hAnsi="Arial"/>
          <w:b/>
          <w:color w:val="19A7B5"/>
          <w:sz w:val="18"/>
        </w:rPr>
        <w:t xml:space="preserve">• </w:t>
      </w:r>
      <w:r>
        <w:rPr>
          <w:rFonts w:ascii="Arial" w:hAnsi="Arial"/>
          <w:color w:val="20242A"/>
          <w:sz w:val="18"/>
        </w:rPr>
        <w:t>CGM summary is withheld when coverage gate fails and returns a reason code.</w:t>
      </w:r>
    </w:p>
    <w:p>
      <w:pPr>
        <w:spacing w:before="0" w:after="40" w:line="252" w:lineRule="auto"/>
        <w:ind w:left="317" w:hanging="230"/>
      </w:pPr>
      <w:r>
        <w:rPr>
          <w:rFonts w:ascii="Arial" w:hAnsi="Arial"/>
          <w:b/>
          <w:color w:val="19A7B5"/>
          <w:sz w:val="18"/>
        </w:rPr>
        <w:t xml:space="preserve">• </w:t>
      </w:r>
      <w:r>
        <w:rPr>
          <w:rFonts w:ascii="Arial" w:hAnsi="Arial"/>
          <w:color w:val="20242A"/>
          <w:sz w:val="18"/>
        </w:rPr>
        <w:t>CV uses the same qualified observation set as mean glucose for the selected window.</w:t>
      </w:r>
    </w:p>
    <w:p>
      <w:pPr>
        <w:spacing w:before="0" w:after="40" w:line="252" w:lineRule="auto"/>
        <w:ind w:left="317" w:hanging="230"/>
      </w:pPr>
      <w:r>
        <w:rPr>
          <w:rFonts w:ascii="Arial" w:hAnsi="Arial"/>
          <w:b/>
          <w:color w:val="19A7B5"/>
          <w:sz w:val="18"/>
        </w:rPr>
        <w:t xml:space="preserve">• </w:t>
      </w:r>
      <w:r>
        <w:rPr>
          <w:rFonts w:ascii="Arial" w:hAnsi="Arial"/>
          <w:color w:val="20242A"/>
          <w:sz w:val="18"/>
        </w:rPr>
        <w:t>Medication before/after comparison uses the same glucose context on both sides and never emits causal wording.</w:t>
      </w:r>
    </w:p>
    <w:p>
      <w:pPr>
        <w:spacing w:before="160" w:after="80" w:line="240" w:lineRule="auto"/>
        <w:keepNext/>
      </w:pPr>
      <w:r>
        <w:rPr>
          <w:rFonts w:ascii="Arial" w:hAnsi="Arial"/>
          <w:b/>
          <w:color w:val="1B2A4A"/>
          <w:sz w:val="25"/>
        </w:rPr>
        <w:t>11.2 Integration / UI acceptance</w:t>
      </w:r>
    </w:p>
    <w:p>
      <w:pPr>
        <w:spacing w:before="0" w:after="40" w:line="252" w:lineRule="auto"/>
        <w:ind w:left="317" w:hanging="230"/>
      </w:pPr>
      <w:r>
        <w:rPr>
          <w:rFonts w:ascii="Arial" w:hAnsi="Arial"/>
          <w:b/>
          <w:color w:val="19A7B5"/>
          <w:sz w:val="18"/>
        </w:rPr>
        <w:t xml:space="preserve">• </w:t>
      </w:r>
      <w:r>
        <w:rPr>
          <w:rFonts w:ascii="Arial" w:hAnsi="Arial"/>
          <w:color w:val="20242A"/>
          <w:sz w:val="18"/>
        </w:rPr>
        <w:t>Enabling glucose in Vital Preferences causes Dashboard and History to render glucose without a hardcoded Home-screen change.</w:t>
      </w:r>
    </w:p>
    <w:p>
      <w:pPr>
        <w:spacing w:before="0" w:after="40" w:line="252" w:lineRule="auto"/>
        <w:ind w:left="317" w:hanging="230"/>
      </w:pPr>
      <w:r>
        <w:rPr>
          <w:rFonts w:ascii="Arial" w:hAnsi="Arial"/>
          <w:b/>
          <w:color w:val="19A7B5"/>
          <w:sz w:val="18"/>
        </w:rPr>
        <w:t xml:space="preserve">• </w:t>
      </w:r>
      <w:r>
        <w:rPr>
          <w:rFonts w:ascii="Arial" w:hAnsi="Arial"/>
          <w:color w:val="20242A"/>
          <w:sz w:val="18"/>
        </w:rPr>
        <w:t>Disabling another optional vital removes it consistently from Entry, Dashboard, History, and analysis navigation.</w:t>
      </w:r>
    </w:p>
    <w:p>
      <w:pPr>
        <w:spacing w:before="0" w:after="40" w:line="252" w:lineRule="auto"/>
        <w:ind w:left="317" w:hanging="230"/>
      </w:pPr>
      <w:r>
        <w:rPr>
          <w:rFonts w:ascii="Arial" w:hAnsi="Arial"/>
          <w:b/>
          <w:color w:val="19A7B5"/>
          <w:sz w:val="18"/>
        </w:rPr>
        <w:t xml:space="preserve">• </w:t>
      </w:r>
      <w:r>
        <w:rPr>
          <w:rFonts w:ascii="Arial" w:hAnsi="Arial"/>
          <w:color w:val="20242A"/>
          <w:sz w:val="18"/>
        </w:rPr>
        <w:t>Glucose Details renders useful P0 analysis with manual data and does not show empty CGM cards.</w:t>
      </w:r>
    </w:p>
    <w:p>
      <w:pPr>
        <w:spacing w:before="0" w:after="40" w:line="252" w:lineRule="auto"/>
        <w:ind w:left="317" w:hanging="230"/>
      </w:pPr>
      <w:r>
        <w:rPr>
          <w:rFonts w:ascii="Arial" w:hAnsi="Arial"/>
          <w:b/>
          <w:color w:val="19A7B5"/>
          <w:sz w:val="18"/>
        </w:rPr>
        <w:t xml:space="preserve">• </w:t>
      </w:r>
      <w:r>
        <w:rPr>
          <w:rFonts w:ascii="Arial" w:hAnsi="Arial"/>
          <w:color w:val="20242A"/>
          <w:sz w:val="18"/>
        </w:rPr>
        <w:t>Every displayed derived metric shows or can reveal its time window and sample basis.</w:t>
      </w:r>
    </w:p>
    <w:p>
      <w:pPr>
        <w:spacing w:before="0" w:after="40" w:line="252" w:lineRule="auto"/>
        <w:ind w:left="317" w:hanging="230"/>
      </w:pPr>
      <w:r>
        <w:rPr>
          <w:rFonts w:ascii="Arial" w:hAnsi="Arial"/>
          <w:b/>
          <w:color w:val="19A7B5"/>
          <w:sz w:val="18"/>
        </w:rPr>
        <w:t xml:space="preserve">• </w:t>
      </w:r>
      <w:r>
        <w:rPr>
          <w:rFonts w:ascii="Arial" w:hAnsi="Arial"/>
          <w:color w:val="20242A"/>
          <w:sz w:val="18"/>
        </w:rPr>
        <w:t>Physician PDF labels manual/BGM and CGM sources distinctly.</w:t>
      </w:r>
    </w:p>
    <w:p>
      <w:pPr>
        <w:spacing w:before="0" w:after="40" w:line="252" w:lineRule="auto"/>
        <w:ind w:left="317" w:hanging="230"/>
      </w:pPr>
      <w:r>
        <w:rPr>
          <w:rFonts w:ascii="Arial" w:hAnsi="Arial"/>
          <w:b/>
          <w:color w:val="19A7B5"/>
          <w:sz w:val="18"/>
        </w:rPr>
        <w:t xml:space="preserve">• </w:t>
      </w:r>
      <w:r>
        <w:rPr>
          <w:rFonts w:ascii="Arial" w:hAnsi="Arial"/>
          <w:color w:val="20242A"/>
          <w:sz w:val="18"/>
        </w:rPr>
        <w:t>GMI disclosure is visible wherever GMI is shown, including PDF output.</w:t>
      </w:r>
    </w:p>
    <w:p>
      <w:pPr>
        <w:spacing w:before="0" w:after="40" w:line="252" w:lineRule="auto"/>
        <w:ind w:left="317" w:hanging="230"/>
      </w:pPr>
      <w:r>
        <w:rPr>
          <w:rFonts w:ascii="Arial" w:hAnsi="Arial"/>
          <w:b/>
          <w:color w:val="19A7B5"/>
          <w:sz w:val="18"/>
        </w:rPr>
        <w:t xml:space="preserve">• </w:t>
      </w:r>
      <w:r>
        <w:rPr>
          <w:rFonts w:ascii="Arial" w:hAnsi="Arial"/>
          <w:color w:val="20242A"/>
          <w:sz w:val="18"/>
        </w:rPr>
        <w:t>Laboratory A1C is visually labeled as laboratory/patient-entered and never overwritten by GMI.</w:t>
      </w:r>
    </w:p>
    <w:p>
      <w:pPr>
        <w:spacing w:before="0" w:after="40" w:line="252" w:lineRule="auto"/>
        <w:ind w:left="317" w:hanging="230"/>
      </w:pPr>
      <w:r>
        <w:rPr>
          <w:rFonts w:ascii="Arial" w:hAnsi="Arial"/>
          <w:b/>
          <w:color w:val="19A7B5"/>
          <w:sz w:val="18"/>
        </w:rPr>
        <w:t xml:space="preserve">• </w:t>
      </w:r>
      <w:r>
        <w:rPr>
          <w:rFonts w:ascii="Arial" w:hAnsi="Arial"/>
          <w:color w:val="20242A"/>
          <w:sz w:val="18"/>
        </w:rPr>
        <w:t>Analysis remains deterministic across API and client tests for the same patient/window/input dataset.</w:t>
      </w:r>
    </w:p>
    <w:p>
      <w:pPr>
        <w:spacing w:before="200" w:after="160" w:line="240" w:lineRule="auto"/>
        <w:pBdr>
          <w:bottom w:val="single" w:sz="10" w:space="3" w:color="19A7B5"/>
        </w:pBdr>
        <w:keepNext/>
      </w:pPr>
      <w:r>
        <w:rPr>
          <w:rFonts w:ascii="Arial" w:hAnsi="Arial"/>
          <w:b/>
          <w:color w:val="1B2A4A"/>
          <w:sz w:val="32"/>
        </w:rPr>
        <w:t>12. Recommended Implementation Sequence</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331"/>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Step</w:t>
            </w:r>
          </w:p>
        </w:tc>
        <w:tc>
          <w:tcPr>
            <w:tcW w:type="dxa" w:w="3331"/>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Engineering work</w:t>
            </w:r>
          </w:p>
        </w:tc>
        <w:tc>
          <w:tcPr>
            <w:tcW w:type="dxa" w:w="3331"/>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Outcome</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1</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Fix metric-driven display plumbing</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Make Dashboard and History honor Vital Preferences and add glucose/weight dynamically. This removes the current static-list blocker before new analysis UI is layered on.</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2</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Extend glucose observation model</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Add context, meal metadata, source_type, unit provenance, and invalidation semantics. Migrate safely with nullable fields for existing glucose records.</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3</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Build P0 analysis service</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Implement snapshot, context summaries, context trends, event analysis, logged readings in target, meal excursions, variability, time-of-day, medication correlation, and eligibility.</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4</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Build Glucose Details + PDF output</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Render only available result blocks and share a common presentation model with PDF generation where practical.</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5</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Add lab A1C record support</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Allow a patient to record an actual lab A1C with date/source even before CGM exists.</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6</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Land CGM-ready contracts</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Add normalized source/coverage types and P1 result models behind feature flags; do not require a vendor integration to ship.</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7</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Activate CGM analysis when a data source exists</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Once dense data is legally/technically available, qualify coverage and enable mean glucose, GMI, TIR/TAR/TBR, CV, episodes, and A1C comparison.</w:t>
            </w:r>
          </w:p>
        </w:tc>
      </w:tr>
    </w:tbl>
    <w:p>
      <w:pPr>
        <w:spacing w:before="200" w:after="160" w:line="240" w:lineRule="auto"/>
        <w:pBdr>
          <w:bottom w:val="single" w:sz="10" w:space="3" w:color="19A7B5"/>
        </w:pBdr>
        <w:keepNext/>
      </w:pPr>
      <w:r>
        <w:rPr>
          <w:rFonts w:ascii="Arial" w:hAnsi="Arial"/>
          <w:b/>
          <w:color w:val="1B2A4A"/>
          <w:sz w:val="32"/>
        </w:rPr>
        <w:t>13. Explicitly Deferred / Not High Priority</w:t>
      </w:r>
    </w:p>
    <w:p>
      <w:pPr>
        <w:spacing w:before="0" w:after="40" w:line="252" w:lineRule="auto"/>
        <w:ind w:left="317" w:hanging="230"/>
      </w:pPr>
      <w:r>
        <w:rPr>
          <w:rFonts w:ascii="Arial" w:hAnsi="Arial"/>
          <w:b/>
          <w:color w:val="19A7B5"/>
          <w:sz w:val="18"/>
        </w:rPr>
        <w:t xml:space="preserve">• </w:t>
      </w:r>
      <w:r>
        <w:rPr>
          <w:rFonts w:ascii="Arial" w:hAnsi="Arial"/>
          <w:color w:val="20242A"/>
          <w:sz w:val="18"/>
        </w:rPr>
        <w:t>Second derivative / acceleration of glucose from sparse BGM: mathematically possible but clinically noisy and highly context-dependent.</w:t>
      </w:r>
    </w:p>
    <w:p>
      <w:pPr>
        <w:spacing w:before="0" w:after="40" w:line="252" w:lineRule="auto"/>
        <w:ind w:left="317" w:hanging="230"/>
      </w:pPr>
      <w:r>
        <w:rPr>
          <w:rFonts w:ascii="Arial" w:hAnsi="Arial"/>
          <w:b/>
          <w:color w:val="19A7B5"/>
          <w:sz w:val="18"/>
        </w:rPr>
        <w:t xml:space="preserve">• </w:t>
      </w:r>
      <w:r>
        <w:rPr>
          <w:rFonts w:ascii="Arial" w:hAnsi="Arial"/>
          <w:color w:val="20242A"/>
          <w:sz w:val="18"/>
        </w:rPr>
        <w:t>Trapezoidal glucose burden / area-under-curve from sparse BGM: interpolation would invent too much between spot checks. Revisit only for dense CGM and after clinical review.</w:t>
      </w:r>
    </w:p>
    <w:p>
      <w:pPr>
        <w:spacing w:before="0" w:after="40" w:line="252" w:lineRule="auto"/>
        <w:ind w:left="317" w:hanging="230"/>
      </w:pPr>
      <w:r>
        <w:rPr>
          <w:rFonts w:ascii="Arial" w:hAnsi="Arial"/>
          <w:b/>
          <w:color w:val="19A7B5"/>
          <w:sz w:val="18"/>
        </w:rPr>
        <w:t xml:space="preserve">• </w:t>
      </w:r>
      <w:r>
        <w:rPr>
          <w:rFonts w:ascii="Arial" w:hAnsi="Arial"/>
          <w:color w:val="20242A"/>
          <w:sz w:val="18"/>
        </w:rPr>
        <w:t>Predictive low/high alerts: requires real-time data, latency guarantees, validation, and a separate safety/regulatory analysis.</w:t>
      </w:r>
    </w:p>
    <w:p>
      <w:pPr>
        <w:spacing w:before="0" w:after="40" w:line="252" w:lineRule="auto"/>
        <w:ind w:left="317" w:hanging="230"/>
      </w:pPr>
      <w:r>
        <w:rPr>
          <w:rFonts w:ascii="Arial" w:hAnsi="Arial"/>
          <w:b/>
          <w:color w:val="19A7B5"/>
          <w:sz w:val="18"/>
        </w:rPr>
        <w:t xml:space="preserve">• </w:t>
      </w:r>
      <w:r>
        <w:rPr>
          <w:rFonts w:ascii="Arial" w:hAnsi="Arial"/>
          <w:color w:val="20242A"/>
          <w:sz w:val="18"/>
        </w:rPr>
        <w:t>Automated diagnosis or diabetes-risk classification from app-entered readings: out of scope.</w:t>
      </w:r>
    </w:p>
    <w:p>
      <w:pPr>
        <w:spacing w:before="0" w:after="40" w:line="252" w:lineRule="auto"/>
        <w:ind w:left="317" w:hanging="230"/>
      </w:pPr>
      <w:r>
        <w:rPr>
          <w:rFonts w:ascii="Arial" w:hAnsi="Arial"/>
          <w:b/>
          <w:color w:val="19A7B5"/>
          <w:sz w:val="18"/>
        </w:rPr>
        <w:t xml:space="preserve">• </w:t>
      </w:r>
      <w:r>
        <w:rPr>
          <w:rFonts w:ascii="Arial" w:hAnsi="Arial"/>
          <w:color w:val="20242A"/>
          <w:sz w:val="18"/>
        </w:rPr>
        <w:t>Automated insulin or medication dosing recommendations: out of scope.</w:t>
      </w:r>
    </w:p>
    <w:p>
      <w:pPr>
        <w:spacing w:before="0" w:after="40" w:line="252" w:lineRule="auto"/>
        <w:ind w:left="317" w:hanging="230"/>
      </w:pPr>
      <w:r>
        <w:rPr>
          <w:rFonts w:ascii="Arial" w:hAnsi="Arial"/>
          <w:b/>
          <w:color w:val="19A7B5"/>
          <w:sz w:val="18"/>
        </w:rPr>
        <w:t xml:space="preserve">• </w:t>
      </w:r>
      <w:r>
        <w:rPr>
          <w:rFonts w:ascii="Arial" w:hAnsi="Arial"/>
          <w:color w:val="20242A"/>
          <w:sz w:val="18"/>
        </w:rPr>
        <w:t>Vendor-specific CGM adapters: integration project, not an analysis-engine dependency. The engine remains vendor-neutral.</w:t>
      </w:r>
    </w:p>
    <w:p>
      <w:pPr>
        <w:spacing w:before="200" w:after="160" w:line="240" w:lineRule="auto"/>
        <w:pBdr>
          <w:bottom w:val="single" w:sz="10" w:space="3" w:color="19A7B5"/>
        </w:pBdr>
        <w:keepNext/>
      </w:pPr>
      <w:r>
        <w:rPr>
          <w:rFonts w:ascii="Arial" w:hAnsi="Arial"/>
          <w:b/>
          <w:color w:val="1B2A4A"/>
          <w:sz w:val="32"/>
        </w:rPr>
        <w:t>14. Engineering Decisions to Lock Before Coding</w:t>
      </w:r>
    </w:p>
    <w:p>
      <w:pPr>
        <w:spacing w:before="0" w:after="100" w:line="259" w:lineRule="auto"/>
      </w:pPr>
      <w:r>
        <w:rPr>
          <w:rFonts w:ascii="Arial" w:hAnsi="Arial"/>
          <w:i w:val="0"/>
          <w:color w:val="20242A"/>
          <w:sz w:val="19"/>
        </w:rPr>
        <w:t>The following are the few product/engineering choices that materially affect the implementation. Recommended defaults are shown so work can proceed without waiting on a full redesign.</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331"/>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Decision</w:t>
            </w:r>
          </w:p>
        </w:tc>
        <w:tc>
          <w:tcPr>
            <w:tcW w:type="dxa" w:w="3331"/>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Recommended value</w:t>
            </w:r>
          </w:p>
        </w:tc>
        <w:tc>
          <w:tcPr>
            <w:tcW w:type="dxa" w:w="3331"/>
            <w:shd w:fill="1B2A4A"/>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color w:val="FFFFFF"/>
                <w:sz w:val="16"/>
              </w:rPr>
              <w:t>Status</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Glucose context enum</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fasting / pre_meal / post_meal / bedtime / random / other</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Adopt now</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Meal pairing</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Add optional meal_event_id + minutes_after_meal</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Adopt now</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Internal unit</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mg/dL normalized; preserve original unit</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Adopt now</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BGM trend minimum</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5 readings across 7 days; 10 across 14 days for significance</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Proposed; clinical review</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Meal pattern minimum</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3 comparable pairs</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Proposed; clinical review</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Medication comparison minimum</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5 comparable readings on each side</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Proposed; clinical review</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qualification</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14 days + &gt;=70% active data</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Adopt from ADA reference</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GMI label</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Glucose Management Indicator (GMI), never bare "estimated A1C"</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Adopt now</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Manual range metric name</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Logged Readings in Target</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Adopt now</w:t>
            </w:r>
          </w:p>
        </w:tc>
      </w:tr>
      <w:tr>
        <w:trPr>
          <w:cantSplit/>
        </w:trPr>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CGM range metric name</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Time in Range / Above Range / Below Range</w:t>
            </w:r>
          </w:p>
        </w:tc>
        <w:tc>
          <w:tcPr>
            <w:tcW w:type="dxa" w:w="3331"/>
            <w:tcBorders>
              <w:top w:val="single" w:sz="3" w:color="D5D9E0"/>
              <w:left w:val="single" w:sz="3" w:color="D5D9E0"/>
              <w:bottom w:val="single" w:sz="3" w:color="D5D9E0"/>
              <w:right w:val="single" w:sz="3" w:color="D5D9E0"/>
            </w:tcBorders>
            <w:tcMar>
              <w:top w:w="90" w:type="dxa"/>
              <w:start w:w="100" w:type="dxa"/>
              <w:bottom w:w="90" w:type="dxa"/>
              <w:end w:w="100" w:type="dxa"/>
            </w:tcMar>
            <w:vAlign w:val="center"/>
          </w:tcPr>
          <w:p>
            <w:pPr>
              <w:spacing w:before="0" w:after="20" w:line="240" w:lineRule="auto"/>
            </w:pPr>
            <w:r>
              <w:rPr>
                <w:rFonts w:ascii="Arial" w:hAnsi="Arial"/>
                <w:b w:val="0"/>
                <w:color w:val="20242A"/>
                <w:sz w:val="16"/>
              </w:rPr>
              <w:t>Adopt now</w:t>
            </w:r>
          </w:p>
        </w:tc>
      </w:tr>
    </w:tbl>
    <w:p>
      <w:pPr>
        <w:spacing w:before="160" w:after="100"/>
        <w:keepNext/>
        <w:pBdr>
          <w:bottom w:val="single" w:sz="12" w:space="3" w:color="0AA5B5"/>
        </w:pBdr>
      </w:pPr>
      <w:r>
        <w:rPr>
          <w:rFonts w:ascii="Arial" w:hAnsi="Arial"/>
          <w:b/>
          <w:color w:val="1D3357"/>
          <w:sz w:val="33"/>
        </w:rPr>
        <w:t>15. Clinical Evidence vs. Vitals Engineering Decisions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shd w:fill="1D3357"/>
          </w:tcPr>
          <w:p>
            <w:pPr>
              <w:spacing w:after="0"/>
            </w:pPr>
            <w:r>
              <w:rPr>
                <w:rFonts w:ascii="Arial" w:hAnsi="Arial"/>
                <w:b/>
                <w:color w:val="FFFFFF"/>
                <w:sz w:val="16"/>
              </w:rPr>
              <w:t>Item</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shd w:fill="1D3357"/>
          </w:tcPr>
          <w:p>
            <w:pPr>
              <w:spacing w:after="0"/>
            </w:pPr>
            <w:r>
              <w:rPr>
                <w:rFonts w:ascii="Arial" w:hAnsi="Arial"/>
                <w:b/>
                <w:color w:val="FFFFFF"/>
                <w:sz w:val="16"/>
              </w:rPr>
              <w:t>Classification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shd w:fill="1D3357"/>
          </w:tcPr>
          <w:p>
            <w:pPr>
              <w:spacing w:after="0"/>
            </w:pPr>
            <w:r>
              <w:rPr>
                <w:rFonts w:ascii="Arial" w:hAnsi="Arial"/>
                <w:b/>
                <w:color w:val="FFFFFF"/>
                <w:sz w:val="16"/>
              </w:rPr>
              <w:t>Rule</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Hypoglycemia / glucose target references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ADA 2026 values are reference defaults for appropriate populations; individualized targets override. [2][6]</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CGM qualification (14 days / &gt;=70% active)</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Basis for standardized CGM pattern summaries in Vitals. [2]</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GMI formula and terminology</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Clinical/statistical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Use the published GMI equation; label GMI as CGM-derived and distinct from laboratory A1C. [5]</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Diabetes diagnostic boundary</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Do not diagnose diabetes/prediabetes from Vitals CGM/BGM analysis; diagnosis uses clinical/laboratory criteria. [4]</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Mean / SD / OLS / LOESS mathematics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Statistical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Shared deterministic implementations follow NIST methods. [7][8][9]</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BGM trend/sample gates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Minimum counts/spans support stable UI output; they are not ADA diagnostic thresholds.</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Meal pairing and time-of-day buckets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Configurable grouping rules; version if changed.</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Medication pre/post windows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Temporal association only; default windows are configurable.</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Logged Readings in Target naming</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Reserved for sparse spot data so Vitals does not misuse the CGM term Time in Range.</w:t>
            </w:r>
          </w:p>
        </w:tc>
      </w:tr>
    </w:tbl>
    <w:p>
      <w:pPr>
        <w:spacing w:before="160" w:after="100" w:line="240" w:lineRule="auto"/>
        <w:pBdr>
          <w:bottom w:val="single" w:sz="12" w:space="3" w:color="0AA5B5"/>
        </w:pBdr>
        <w:keepNext/>
      </w:pPr>
      <w:r>
        <w:rPr>
          <w:rFonts w:ascii="Arial" w:hAnsi="Arial"/>
          <w:b/>
          <w:color w:val="1D3357"/>
          <w:sz w:val="33"/>
        </w:rPr>
        <w:t>16. References</w:t>
      </w:r>
    </w:p>
    <w:p>
      <w:pPr>
        <w:spacing w:before="0" w:after="100" w:line="259" w:lineRule="auto"/>
      </w:pPr>
      <w:r>
        <w:rPr>
          <w:rFonts w:ascii="Arial" w:hAnsi="Arial"/>
          <w:i w:val="0"/>
          <w:color w:val="20242A"/>
          <w:sz w:val="19"/>
        </w:rPr>
        <w:t>Project source and external research are separated below. External clinical references inform the thresholds and CGM terminology; the proposed engineering sample gates are explicitly product rules and are not presented as ADA requirements.</w:t>
      </w:r>
    </w:p>
    <w:p>
      <w:pPr>
        <w:spacing w:before="0" w:after="80" w:line="247" w:lineRule="auto"/>
        <w:ind w:left="360" w:hanging="360"/>
      </w:pPr>
      <w:r>
        <w:rPr>
          <w:rFonts w:ascii="Arial" w:hAnsi="Arial"/>
          <w:b/>
          <w:color w:val="1D3357"/>
          <w:sz w:val="16"/>
        </w:rPr>
        <w:t xml:space="preserve">[1] </w:t>
      </w:r>
      <w:r>
        <w:rPr>
          <w:rFonts w:ascii="Arial" w:hAnsi="Arial"/>
          <w:color w:val="20242A"/>
          <w:sz w:val="16"/>
        </w:rPr>
        <w:t>Vitals Development Project. Mobile Application Development Roadmap - .NET MAUI | iOS &amp; Android | September 2026 Launch Target. Internal project document, Sep 2026 v2.</w:t>
      </w:r>
    </w:p>
    <w:p>
      <w:pPr>
        <w:spacing w:before="0" w:after="80" w:line="247" w:lineRule="auto"/>
        <w:ind w:left="360" w:hanging="360"/>
      </w:pPr>
      <w:r>
        <w:rPr>
          <w:rFonts w:ascii="Arial" w:hAnsi="Arial"/>
          <w:b/>
          <w:color w:val="1D3357"/>
          <w:sz w:val="16"/>
        </w:rPr>
        <w:t xml:space="preserve">[2] </w:t>
      </w:r>
      <w:r>
        <w:rPr>
          <w:rFonts w:ascii="Arial" w:hAnsi="Arial"/>
          <w:color w:val="20242A"/>
          <w:sz w:val="16"/>
        </w:rPr>
        <w:t>American Diabetes Association Professional Practice Committee for Diabetes. 6. Glycemic goals, hypoglycemia, and hyperglycemic crises: Standards of Care in Diabetes-2026. Diabetes Care. 2026;49(Suppl. 1):S132-S149. doi:10.2337/dc26-S006. https://diabetesjournals.org/care/article/49/Supplement_1/S132/163927/6-Glycemic-Goals-Hypoglycemia-and-Hyperglycemic</w:t>
      </w:r>
    </w:p>
    <w:p>
      <w:pPr>
        <w:spacing w:before="0" w:after="80" w:line="247" w:lineRule="auto"/>
        <w:ind w:left="360" w:hanging="360"/>
      </w:pPr>
      <w:r>
        <w:rPr>
          <w:rFonts w:ascii="Arial" w:hAnsi="Arial"/>
          <w:b/>
          <w:color w:val="1D3357"/>
          <w:sz w:val="16"/>
        </w:rPr>
        <w:t xml:space="preserve">[3] </w:t>
      </w:r>
      <w:r>
        <w:rPr>
          <w:rFonts w:ascii="Arial" w:hAnsi="Arial"/>
          <w:color w:val="20242A"/>
          <w:sz w:val="16"/>
        </w:rPr>
        <w:t>American Diabetes Association Professional Practice Committee for Diabetes. 7. Diabetes technology: Standards of Care in Diabetes-2026. Diabetes Care. 2026;49(Suppl. 1):S150-S165. doi:10.2337/dc26-S007. https://diabetesjournals.org/care/article/49/Supplement_1/S150/163922/7-Diabetes-Technology-Standards-of-Care-in</w:t>
      </w:r>
    </w:p>
    <w:p>
      <w:pPr>
        <w:spacing w:before="0" w:after="80" w:line="247" w:lineRule="auto"/>
        <w:ind w:left="360" w:hanging="360"/>
      </w:pPr>
      <w:r>
        <w:rPr>
          <w:rFonts w:ascii="Arial" w:hAnsi="Arial"/>
          <w:b/>
          <w:color w:val="1D3357"/>
          <w:sz w:val="16"/>
        </w:rPr>
        <w:t xml:space="preserve">[4] </w:t>
      </w:r>
      <w:r>
        <w:rPr>
          <w:rFonts w:ascii="Arial" w:hAnsi="Arial"/>
          <w:color w:val="20242A"/>
          <w:sz w:val="16"/>
        </w:rPr>
        <w:t>American Diabetes Association Professional Practice Committee for Diabetes. 2. Diagnosis and classification of diabetes: Standards of Care in Diabetes-2026. Diabetes Care. 2026;49(Suppl. 1):S27-S49. doi:10.2337/dc26-S002. https://diabetesjournals.org/care/article/49/Supplement_1/S27/163926/2-Diagnosis-and-Classification-of-Diabetes</w:t>
      </w:r>
    </w:p>
    <w:p>
      <w:pPr>
        <w:spacing w:before="0" w:after="80" w:line="247" w:lineRule="auto"/>
        <w:ind w:left="360" w:hanging="360"/>
      </w:pPr>
      <w:r>
        <w:rPr>
          <w:rFonts w:ascii="Arial" w:hAnsi="Arial"/>
          <w:b/>
          <w:color w:val="1D3357"/>
          <w:sz w:val="16"/>
        </w:rPr>
        <w:t xml:space="preserve">[5] </w:t>
      </w:r>
      <w:r>
        <w:rPr>
          <w:rFonts w:ascii="Arial" w:hAnsi="Arial"/>
          <w:color w:val="20242A"/>
          <w:sz w:val="16"/>
        </w:rPr>
        <w:t>Bergenstal RM, Beck RW, Close KL, et al. Glucose Management Indicator (GMI): A New Term for Estimating A1C From Continuous Glucose Monitoring. Diabetes Care. 2018;41(11):2275-2280. doi:10.2337/dc18-1581. https://diabetesjournals.org/care/article/41/11/2275/36593/Glucose-Management-Indicator-GMI-A-New-Term-for</w:t>
      </w:r>
    </w:p>
    <w:p>
      <w:pPr>
        <w:spacing w:before="0" w:after="80" w:line="247" w:lineRule="auto"/>
        <w:ind w:left="360" w:hanging="360"/>
      </w:pPr>
      <w:r>
        <w:rPr>
          <w:rFonts w:ascii="Arial" w:hAnsi="Arial"/>
          <w:b/>
          <w:color w:val="1D3357"/>
          <w:sz w:val="16"/>
        </w:rPr>
        <w:t xml:space="preserve">[6] </w:t>
      </w:r>
      <w:r>
        <w:rPr>
          <w:rFonts w:ascii="Arial" w:hAnsi="Arial"/>
          <w:color w:val="20242A"/>
          <w:sz w:val="16"/>
        </w:rPr>
        <w:t>Battelino T, Danne T, Bergenstal RM, et al. Clinical Targets for Continuous Glucose Monitoring Data Interpretation: Recommendations From the International Consensus on Time in Range. Diabetes Care. 2019;42(8):1593-1603. doi:10.2337/dci19-0028. https://diabetesjournals.org/care/article/42/8/1593/36184/Clinical-Targets-for-Continuous-Glucose-Monitoring</w:t>
      </w:r>
    </w:p>
    <w:p>
      <w:pPr>
        <w:spacing w:after="80"/>
        <w:ind w:left="360" w:hanging="360"/>
      </w:pPr>
      <w:r>
        <w:rPr>
          <w:rFonts w:ascii="Arial" w:hAnsi="Arial"/>
          <w:b/>
          <w:color w:val="1D3357"/>
          <w:sz w:val="16"/>
        </w:rPr>
        <w:t xml:space="preserve">[7] </w:t>
      </w:r>
      <w:r>
        <w:rPr>
          <w:rFonts w:ascii="Arial" w:hAnsi="Arial"/>
          <w:color w:val="20242A"/>
          <w:sz w:val="16"/>
        </w:rPr>
        <w:t>NIST/SEMATECH e-Handbook of Statistical Methods. 4.4.3.1 Least Squares. https://www.itl.nist.gov/div898/handbook/pmd/section4/pmd431.htm</w:t>
      </w:r>
    </w:p>
    <w:p>
      <w:pPr>
        <w:spacing w:after="80"/>
        <w:ind w:left="360" w:hanging="360"/>
      </w:pPr>
      <w:r>
        <w:rPr>
          <w:rFonts w:ascii="Arial" w:hAnsi="Arial"/>
          <w:b/>
          <w:color w:val="1D3357"/>
          <w:sz w:val="16"/>
        </w:rPr>
        <w:t xml:space="preserve">[8] </w:t>
      </w:r>
      <w:r>
        <w:rPr>
          <w:rFonts w:ascii="Arial" w:hAnsi="Arial"/>
          <w:color w:val="20242A"/>
          <w:sz w:val="16"/>
        </w:rPr>
        <w:t>NIST/SEMATECH e-Handbook of Statistical Methods. 4.1.4.4 LOESS (aka LOWESS). https://www.itl.nist.gov/div898/handbook/pmd/section1/pmd144.htm</w:t>
      </w:r>
    </w:p>
    <w:p>
      <w:pPr>
        <w:spacing w:after="80"/>
        <w:ind w:left="360" w:hanging="360"/>
      </w:pPr>
      <w:r>
        <w:rPr>
          <w:rFonts w:ascii="Arial" w:hAnsi="Arial"/>
          <w:b/>
          <w:color w:val="1D3357"/>
          <w:sz w:val="16"/>
        </w:rPr>
        <w:t xml:space="preserve">[9] </w:t>
      </w:r>
      <w:r>
        <w:rPr>
          <w:rFonts w:ascii="Arial" w:hAnsi="Arial"/>
          <w:color w:val="20242A"/>
          <w:sz w:val="16"/>
        </w:rPr>
        <w:t>NIST/SEMATECH e-Handbook of Statistical Methods. 1.3.5.6 Measures of Scale. https://www.itl.nist.gov/div898/handbook/eda/section3/eda356.htm</w:t>
      </w:r>
    </w:p>
    <w:p>
      <w:pPr>
        <w:spacing w:after="0"/>
      </w:pPr>
      <w:r>
        <w:rPr>
          <w:rFonts w:ascii="Arial" w:hAnsi="Arial"/>
          <w:i/>
          <w:color w:val="687386"/>
          <w:sz w:val="16"/>
        </w:rPr>
        <w:t>Reference maintenance: re-verify ADA Standards and CGM consensus sources before release; if a source version changes, review thresholds, terminology, and data-sufficiency rules before updating production behavior.</w:t>
      </w:r>
    </w:p>
    <w:p>
      <w:pPr>
        <w:spacing w:before="200" w:after="160" w:line="240" w:lineRule="auto"/>
        <w:pBdr>
          <w:bottom w:val="single" w:sz="10" w:space="3" w:color="19A7B5"/>
        </w:pBdr>
        <w:keepNext/>
      </w:pPr>
      <w:r>
        <w:rPr>
          <w:rFonts w:ascii="Arial" w:hAnsi="Arial"/>
          <w:b/>
          <w:color w:val="1B2A4A"/>
          <w:sz w:val="32"/>
        </w:rPr>
        <w:t>Appendix A. Patient-Facing GMI Disclosure (Recommended)</w:t>
      </w:r>
    </w:p>
    <w:tbl>
      <w:tblPr>
        <w:tblW w:type="auto" w:w="0"/>
        <w:jc w:val="center"/>
        <w:tblLayout w:type="fixed"/>
        <w:tblLook w:firstColumn="1" w:firstRow="1" w:lastColumn="0" w:lastRow="0" w:noHBand="0" w:noVBand="1" w:val="04A0"/>
      </w:tblPr>
      <w:tblGrid>
        <w:gridCol w:w="9994"/>
      </w:tblGrid>
      <w:tr>
        <w:trPr>
          <w:cantSplit/>
        </w:trPr>
        <w:tc>
          <w:tcPr>
            <w:tcW w:type="dxa" w:w="9216"/>
            <w:shd w:fill="EEF3F8"/>
            <w:tcMar>
              <w:top w:w="120" w:type="dxa"/>
              <w:start w:w="140" w:type="dxa"/>
              <w:bottom w:w="120" w:type="dxa"/>
              <w:end w:w="140" w:type="dxa"/>
            </w:tcMar>
            <w:tcBorders>
              <w:top w:val="nil"/>
              <w:left w:val="single" w:sz="18" w:color="19A7B5"/>
              <w:bottom w:val="nil"/>
              <w:right w:val="nil"/>
            </w:tcBorders>
          </w:tcPr>
          <w:p>
            <w:pPr>
              <w:spacing w:before="0" w:after="40" w:line="240" w:lineRule="auto"/>
            </w:pPr>
            <w:r>
              <w:rPr>
                <w:rFonts w:ascii="Arial" w:hAnsi="Arial"/>
                <w:b/>
                <w:color w:val="1B2A4A"/>
                <w:sz w:val="19"/>
              </w:rPr>
              <w:t>Glucose Management Indicator (GMI)</w:t>
            </w:r>
          </w:p>
          <w:p>
            <w:pPr>
              <w:spacing w:before="0" w:after="0" w:line="252" w:lineRule="auto"/>
            </w:pPr>
            <w:r>
              <w:rPr>
                <w:rFonts w:ascii="Arial" w:hAnsi="Arial"/>
                <w:color w:val="20242A"/>
                <w:sz w:val="18"/>
              </w:rPr>
              <w:t>GMI is calculated from your average continuous glucose monitor (CGM) readings. It estimates what an A1C may correspond to, but it is not a laboratory A1C result and the two values may differ. Talk with your healthcare professional about laboratory A1C testing and how to interpret differences between GMI and your measured A1C.</w:t>
            </w:r>
          </w:p>
        </w:tc>
      </w:tr>
    </w:tbl>
    <w:p>
      <w:pPr>
        <w:spacing w:after="20"/>
      </w:pPr>
    </w:p>
    <w:p>
      <w:pPr>
        <w:spacing w:before="0" w:after="100" w:line="259" w:lineRule="auto"/>
      </w:pPr>
      <w:r>
        <w:rPr>
          <w:rFonts w:ascii="Arial" w:hAnsi="Arial"/>
          <w:i/>
          <w:color w:val="20242A"/>
          <w:sz w:val="19"/>
        </w:rPr>
        <w:t>Short-card version: "GMI is calculated from recent CGM glucose. It is not a laboratory A1C result and may differ from your measured A1C."</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31"/>
      <w:gridCol w:w="3331"/>
      <w:gridCol w:w="3331"/>
    </w:tblGrid>
    <w:tr>
      <w:tc>
        <w:tcPr>
          <w:tcW w:type="dxa" w:w="0"/>
          <w:tcBorders>
            <w:top w:val="single" w:sz="4" w:color="D5D9E0"/>
            <w:left w:val="nil"/>
            <w:bottom w:val="nil"/>
            <w:right w:val="nil"/>
          </w:tcBorders>
          <w:tcMar>
            <w:top w:w="60" w:type="dxa"/>
            <w:start w:w="0" w:type="dxa"/>
            <w:bottom w:w="0" w:type="dxa"/>
            <w:end w:w="0" w:type="dxa"/>
          </w:tcMar>
        </w:tcPr>
        <w:p>
          <w:r>
            <w:rPr>
              <w:rFonts w:ascii="Arial" w:hAnsi="Arial"/>
              <w:color w:val="6B7280"/>
              <w:sz w:val="15"/>
            </w:rPr>
            <w:t>Confidential - Working Draft</w:t>
          </w:r>
        </w:p>
      </w:tc>
      <w:tc>
        <w:tcPr>
          <w:tcW w:type="dxa" w:w="0"/>
          <w:tcBorders>
            <w:top w:val="single" w:sz="4" w:color="D5D9E0"/>
            <w:left w:val="nil"/>
            <w:bottom w:val="nil"/>
            <w:right w:val="nil"/>
          </w:tcBorders>
          <w:tcMar>
            <w:top w:w="60" w:type="dxa"/>
            <w:start w:w="0" w:type="dxa"/>
            <w:bottom w:w="0" w:type="dxa"/>
            <w:end w:w="0" w:type="dxa"/>
          </w:tcMar>
        </w:tcPr>
        <w:p>
          <w:pPr>
            <w:jc w:val="center"/>
          </w:pPr>
          <w:r>
            <w:rPr>
              <w:rFonts w:ascii="Arial" w:hAnsi="Arial"/>
              <w:color w:val="6B7280"/>
              <w:sz w:val="15"/>
            </w:rPr>
            <w:t>September 2026</w:t>
          </w:r>
        </w:p>
      </w:tc>
      <w:tc>
        <w:tcPr>
          <w:tcW w:type="dxa" w:w="0"/>
          <w:tcBorders>
            <w:top w:val="single" w:sz="4" w:color="D5D9E0"/>
            <w:left w:val="nil"/>
            <w:bottom w:val="nil"/>
            <w:right w:val="nil"/>
          </w:tcBorders>
          <w:tcMar>
            <w:top w:w="60" w:type="dxa"/>
            <w:start w:w="0" w:type="dxa"/>
            <w:bottom w:w="0" w:type="dxa"/>
            <w:end w:w="0" w:type="dxa"/>
          </w:tcMar>
        </w:tcPr>
        <w:p>
          <w:pPr>
            <w:jc w:val="right"/>
          </w:pPr>
          <w:r>
            <w:rPr>
              <w:rFonts w:ascii="Arial" w:hAnsi="Arial"/>
              <w:color w:val="6B7280"/>
              <w:sz w:val="15"/>
            </w:rPr>
            <w:t xml:space="preserve">Page </w:t>
          </w:r>
          <w:r>
            <w:rPr>
              <w:rFonts w:ascii="Arial" w:hAnsi="Arial"/>
              <w:color w:val="6B7280"/>
              <w:sz w:val="15"/>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color w:val="6B7280"/>
        <w:sz w:val="15"/>
      </w:rPr>
      <w:t>Vitals Development Project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4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iabetesjournals.org/care/article/49/Supplement_1/S132/163927/6-Glycemic-Goals-Hypoglycemia-and-Hyperglycemic" TargetMode="External"/><Relationship Id="rId13" Type="http://schemas.openxmlformats.org/officeDocument/2006/relationships/hyperlink" Target="https://diabetesjournals.org/care/article/49/Supplement_1/S150/163922/7-Diabetes-Technology-Standards-of-Care-in" TargetMode="External"/><Relationship Id="rId14" Type="http://schemas.openxmlformats.org/officeDocument/2006/relationships/hyperlink" Target="https://diabetesjournals.org/care/article/49/Supplement_1/S27/163926/2-Diagnosis-and-Classification-of-Diabetes" TargetMode="External"/><Relationship Id="rId15" Type="http://schemas.openxmlformats.org/officeDocument/2006/relationships/hyperlink" Target="https://diabetesjournals.org/care/article/41/11/2275/36593/Glucose-Management-Indicator-GMI-A-New-Term-for" TargetMode="External"/><Relationship Id="rId16" Type="http://schemas.openxmlformats.org/officeDocument/2006/relationships/hyperlink" Target="https://diabetesjournals.org/care/article/42/8/1593/36184/Clinical-Targets-for-Continuous-Glucos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 Glucose Analysis Engine - Engineering Specification</dc:title>
  <dc:subject>High-priority glucose analysis sets, formulas, evidence traceability, citations, and implementation guidance</dc:subject>
  <dc:creator>Vitals Development Project</dc:creator>
  <cp:keywords>Vitals, glucose, BGM, CGM, GMI, engineering specification, diabetes analysis</cp:keywords>
  <dc:description>generated by python-docx</dc:description>
  <cp:lastModifiedBy/>
  <cp:revision>1</cp:revision>
  <dcterms:created xsi:type="dcterms:W3CDTF">2013-12-23T23:15:00Z</dcterms:created>
  <dcterms:modified xsi:type="dcterms:W3CDTF">2013-12-23T23:15:00Z</dcterms:modified>
  <cp:category/>
</cp:coreProperties>
</file>