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2148840" cy="97915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979157"/>
                    </a:xfrm>
                    <a:prstGeom prst="rect"/>
                  </pic:spPr>
                </pic:pic>
              </a:graphicData>
            </a:graphic>
          </wp:inline>
        </w:drawing>
      </w:r>
    </w:p>
    <w:p>
      <w:pPr>
        <w:spacing w:after="100"/>
        <w:jc w:val="center"/>
      </w:pPr>
      <w:r>
        <w:rPr>
          <w:rFonts w:ascii="Arial" w:hAnsi="Arial"/>
          <w:b/>
          <w:color w:val="1B2A4A"/>
          <w:sz w:val="52"/>
        </w:rPr>
        <w:t>Heart Rate (BPM) Analysis Engine</w:t>
      </w:r>
    </w:p>
    <w:p>
      <w:pPr>
        <w:spacing w:after="120"/>
        <w:jc w:val="center"/>
      </w:pPr>
      <w:r>
        <w:rPr>
          <w:rFonts w:ascii="Arial" w:hAnsi="Arial"/>
          <w:b/>
          <w:color w:val="0E7484"/>
          <w:sz w:val="27"/>
        </w:rPr>
        <w:t>Engineering Specification - High-Priority Analysis Sets &amp; Mathematical Definitions</w:t>
      </w:r>
    </w:p>
    <w:p>
      <w:pPr>
        <w:spacing w:after="280"/>
        <w:jc w:val="center"/>
      </w:pPr>
      <w:r>
        <w:rPr>
          <w:rFonts w:ascii="Arial" w:hAnsi="Arial"/>
          <w:i/>
          <w:color w:val="6B7280"/>
          <w:sz w:val="19"/>
        </w:rPr>
        <w:t>.NET MAUI | FastAPI | Resting/Spot Measurements First | Device-Ready Architecture</w:t>
      </w:r>
    </w:p>
    <w:tbl>
      <w:tblPr>
        <w:tblW w:type="auto" w:w="0"/>
        <w:jc w:val="center"/>
        <w:tblLayout w:type="autofit"/>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2498"/>
        <w:gridCol w:w="2498"/>
        <w:gridCol w:w="2498"/>
        <w:gridCol w:w="2498"/>
      </w:tblGrid>
      <w:tr>
        <w:trPr>
          <w:cantSplit/>
          <w:tblHeader w:val="true"/>
        </w:trPr>
        <w:tc>
          <w:tcPr>
            <w:tcW w:type="dxa" w:w="2498"/>
            <w:vAlign w:val="center"/>
            <w:tcMar>
              <w:top w:w="70" w:type="dxa"/>
              <w:start w:w="90" w:type="dxa"/>
              <w:bottom w:w="70" w:type="dxa"/>
              <w:end w:w="90" w:type="dxa"/>
            </w:tcMar>
            <w:shd w:fill="1B2A4A"/>
          </w:tcPr>
          <w:p>
            <w:pPr>
              <w:spacing w:after="0"/>
            </w:pPr>
            <w:r>
              <w:rPr>
                <w:rFonts w:ascii="Arial" w:hAnsi="Arial"/>
                <w:b/>
                <w:color w:val="FFFFFF"/>
                <w:sz w:val="17"/>
              </w:rPr>
              <w:t>Document</w:t>
            </w:r>
          </w:p>
        </w:tc>
        <w:tc>
          <w:tcPr>
            <w:tcW w:type="dxa" w:w="2498"/>
            <w:vAlign w:val="center"/>
            <w:tcMar>
              <w:top w:w="70" w:type="dxa"/>
              <w:start w:w="90" w:type="dxa"/>
              <w:bottom w:w="70" w:type="dxa"/>
              <w:end w:w="90" w:type="dxa"/>
            </w:tcMar>
            <w:shd w:fill="1B2A4A"/>
          </w:tcPr>
          <w:p>
            <w:pPr>
              <w:spacing w:after="0"/>
            </w:pPr>
            <w:r>
              <w:rPr>
                <w:rFonts w:ascii="Arial" w:hAnsi="Arial"/>
                <w:b/>
                <w:color w:val="FFFFFF"/>
                <w:sz w:val="17"/>
              </w:rPr>
              <w:t>Version</w:t>
            </w:r>
          </w:p>
        </w:tc>
        <w:tc>
          <w:tcPr>
            <w:tcW w:type="dxa" w:w="2498"/>
            <w:vAlign w:val="center"/>
            <w:tcMar>
              <w:top w:w="70" w:type="dxa"/>
              <w:start w:w="90" w:type="dxa"/>
              <w:bottom w:w="70" w:type="dxa"/>
              <w:end w:w="90" w:type="dxa"/>
            </w:tcMar>
            <w:shd w:fill="1B2A4A"/>
          </w:tcPr>
          <w:p>
            <w:pPr>
              <w:spacing w:after="0"/>
            </w:pPr>
            <w:r>
              <w:rPr>
                <w:rFonts w:ascii="Arial" w:hAnsi="Arial"/>
                <w:b/>
                <w:color w:val="FFFFFF"/>
                <w:sz w:val="17"/>
              </w:rPr>
              <w:t>Date</w:t>
            </w:r>
          </w:p>
        </w:tc>
        <w:tc>
          <w:tcPr>
            <w:tcW w:type="dxa" w:w="2498"/>
            <w:vAlign w:val="center"/>
            <w:tcMar>
              <w:top w:w="70" w:type="dxa"/>
              <w:start w:w="90" w:type="dxa"/>
              <w:bottom w:w="70" w:type="dxa"/>
              <w:end w:w="90" w:type="dxa"/>
            </w:tcMar>
            <w:shd w:fill="1B2A4A"/>
          </w:tcPr>
          <w:p>
            <w:pPr>
              <w:spacing w:after="0"/>
            </w:pPr>
            <w:r>
              <w:rPr>
                <w:rFonts w:ascii="Arial" w:hAnsi="Arial"/>
                <w:b/>
                <w:color w:val="FFFFFF"/>
                <w:sz w:val="17"/>
              </w:rPr>
              <w:t>Status</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7"/>
              </w:rPr>
              <w:t>Engineering Specification</w:t>
            </w:r>
          </w:p>
        </w:tc>
        <w:tc>
          <w:tcPr>
            <w:tcW w:type="dxa" w:w="2498"/>
            <w:vAlign w:val="center"/>
            <w:tcMar>
              <w:top w:w="70" w:type="dxa"/>
              <w:start w:w="90" w:type="dxa"/>
              <w:bottom w:w="70" w:type="dxa"/>
              <w:end w:w="90" w:type="dxa"/>
            </w:tcMar>
          </w:tcPr>
          <w:p>
            <w:r>
              <w:rPr>
                <w:rFonts w:ascii="Arial" w:hAnsi="Arial"/>
                <w:color w:val="20242A"/>
                <w:sz w:val="17"/>
              </w:rPr>
              <w:t>0.2 Draft</w:t>
            </w:r>
          </w:p>
        </w:tc>
        <w:tc>
          <w:tcPr>
            <w:tcW w:type="dxa" w:w="2498"/>
            <w:vAlign w:val="center"/>
            <w:tcMar>
              <w:top w:w="70" w:type="dxa"/>
              <w:start w:w="90" w:type="dxa"/>
              <w:bottom w:w="70" w:type="dxa"/>
              <w:end w:w="90" w:type="dxa"/>
            </w:tcMar>
          </w:tcPr>
          <w:p>
            <w:r>
              <w:rPr>
                <w:rFonts w:ascii="Arial" w:hAnsi="Arial"/>
                <w:color w:val="20242A"/>
                <w:sz w:val="17"/>
              </w:rPr>
              <w:t>September 13, 2026</w:t>
            </w:r>
          </w:p>
        </w:tc>
        <w:tc>
          <w:tcPr>
            <w:tcW w:type="dxa" w:w="2498"/>
            <w:vAlign w:val="center"/>
            <w:tcMar>
              <w:top w:w="70" w:type="dxa"/>
              <w:start w:w="90" w:type="dxa"/>
              <w:bottom w:w="70" w:type="dxa"/>
              <w:end w:w="90" w:type="dxa"/>
            </w:tcMar>
          </w:tcPr>
          <w:p>
            <w:pPr>
              <w:spacing w:after="0"/>
            </w:pPr>
            <w:r>
              <w:rPr>
                <w:rFonts w:ascii="Arial" w:hAnsi="Arial"/>
                <w:color w:val="20242A"/>
                <w:sz w:val="17"/>
              </w:rPr>
              <w:t>For implementation review</w:t>
            </w:r>
          </w:p>
        </w:tc>
      </w:tr>
    </w:tbl>
    <w:p>
      <w:pPr>
        <w:spacing w:after="20"/>
      </w:pPr>
    </w:p>
    <w:tbl>
      <w:tblPr>
        <w:tblW w:type="auto" w:w="0"/>
        <w:jc w:val="center"/>
        <w:tblLayout w:type="autofit"/>
        <w:tblLook w:firstColumn="1" w:firstRow="1" w:lastColumn="0" w:lastRow="0" w:noHBand="0" w:noVBand="1" w:val="04A0"/>
        <w:tblBorders>
          <w:top w:val="single" w:sz="0" w:space="0" w:color="EDF3F8"/>
          <w:left w:val="single" w:sz="0" w:space="0" w:color="EDF3F8"/>
          <w:bottom w:val="single" w:sz="0" w:space="0" w:color="EDF3F8"/>
          <w:right w:val="single" w:sz="0" w:space="0" w:color="EDF3F8"/>
          <w:insideH w:val="single" w:sz="0" w:space="0" w:color="EDF3F8"/>
          <w:insideV w:val="single" w:sz="0" w:space="0" w:color="EDF3F8"/>
        </w:tblBorders>
      </w:tblPr>
      <w:tblGrid>
        <w:gridCol w:w="9994"/>
      </w:tblGrid>
      <w:tr>
        <w:tc>
          <w:tcPr>
            <w:tcW w:type="dxa" w:w="9994"/>
            <w:shd w:fill="EDF3F8"/>
            <w:tcMar>
              <w:top w:w="90" w:type="dxa"/>
              <w:start w:w="120" w:type="dxa"/>
              <w:bottom w:w="90" w:type="dxa"/>
              <w:end w:w="120" w:type="dxa"/>
            </w:tcMar>
            <w:tcBorders>
              <w:left w:val="single" w:sz="22" w:color="14A9B8"/>
            </w:tcBorders>
          </w:tcPr>
          <w:p>
            <w:pPr>
              <w:spacing w:after="40"/>
            </w:pPr>
            <w:r>
              <w:rPr>
                <w:rFonts w:ascii="Arial" w:hAnsi="Arial"/>
                <w:b/>
                <w:color w:val="1B2A4A"/>
                <w:sz w:val="20"/>
              </w:rPr>
              <w:t>Core engineering decision</w:t>
            </w:r>
          </w:p>
          <w:p>
            <w:pPr>
              <w:spacing w:after="0"/>
            </w:pPr>
            <w:r>
              <w:rPr>
                <w:rFonts w:ascii="Arial" w:hAnsi="Arial"/>
                <w:color w:val="20242A"/>
                <w:sz w:val="18"/>
              </w:rPr>
              <w:t>Heart rate will use the shared Vitals statistics/visualization infrastructure, but interpretation will be heart-rate-specific and context-aware. BPM measures rate, not rhythm: Vitals may summarize longitudinal patterns, symptom timing, medication changes, and cross-vital context, but it must not diagnose arrhythmias from spot BPM values.</w:t>
            </w:r>
          </w:p>
        </w:tc>
      </w:tr>
    </w:tbl>
    <w:p>
      <w:pPr>
        <w:spacing w:after="20"/>
      </w:pPr>
    </w:p>
    <w:p>
      <w:pPr>
        <w:spacing w:after="100"/>
      </w:pPr>
      <w:r>
        <w:rPr>
          <w:rFonts w:ascii="Arial" w:hAnsi="Arial"/>
          <w:i w:val="0"/>
          <w:color w:val="20242A"/>
          <w:sz w:val="19"/>
        </w:rPr>
        <w:t>This specification is an implementation companion to the Vitals Phase 4 Clinical Visualization Engine. It refines the roadmap concept that a common mathematical engine can serve multiple vital signs by defining heart-rate-specific context, eligibility rules, formulas, safety language, and result contracts. The primary launch target is manually entered or device-reported spot heart-rate measurements obtained with the daily Vitals reading workflow.</w:t>
      </w:r>
      <w:r>
        <w:rPr>
          <w:rFonts w:ascii="Arial" w:hAnsi="Arial"/>
          <w:color w:val="20242A"/>
          <w:sz w:val="19"/>
        </w:rPr>
        <w:t xml:space="preserve"> [1]</w:t>
      </w:r>
    </w:p>
    <w:p>
      <w:r>
        <w:br w:type="page"/>
      </w:r>
    </w:p>
    <w:p>
      <w:pPr>
        <w:keepNext/>
        <w:spacing w:before="200" w:after="140"/>
        <w:pBdr>
          <w:bottom w:val="single" w:sz="12" w:space="3" w:color="14A9B8"/>
        </w:pBdr>
      </w:pPr>
      <w:r>
        <w:rPr>
          <w:rFonts w:ascii="Arial" w:hAnsi="Arial"/>
          <w:b/>
          <w:color w:val="1B2A4A"/>
          <w:sz w:val="32"/>
        </w:rPr>
        <w:t>1. Purpose and Scope</w:t>
      </w:r>
    </w:p>
    <w:p>
      <w:pPr>
        <w:spacing w:after="100"/>
      </w:pPr>
      <w:r>
        <w:rPr>
          <w:rFonts w:ascii="Arial" w:hAnsi="Arial"/>
          <w:i w:val="0"/>
          <w:color w:val="20242A"/>
          <w:sz w:val="19"/>
        </w:rPr>
        <w:t>This document defines the high-priority heart-rate analysis sets for Vitals, including the mathematical formulas used to calculate each value, the minimum data required to activate each analysis, the proposed data model, and the presentation guardrails for the mobile UI and physician-grade PDF.</w:t>
      </w:r>
    </w:p>
    <w:p>
      <w:pPr>
        <w:spacing w:after="100"/>
      </w:pPr>
      <w:r>
        <w:rPr>
          <w:rFonts w:ascii="Arial" w:hAnsi="Arial"/>
          <w:i w:val="0"/>
          <w:color w:val="20242A"/>
          <w:sz w:val="19"/>
        </w:rPr>
        <w:t>The initial implementation is designed for spot measurements such as a pulse value from a blood-pressure monitor, pulse oximeter, or manual entry. Dense wearable data may be supported later, but P0 analysis must remain useful without smartwatch or ECG integrations.</w:t>
      </w:r>
    </w:p>
    <w:tbl>
      <w:tblPr>
        <w:tblW w:type="auto" w:w="0"/>
        <w:jc w:val="center"/>
        <w:tblLayout w:type="autofit"/>
        <w:tblLook w:firstColumn="1" w:firstRow="1" w:lastColumn="0" w:lastRow="0" w:noHBand="0" w:noVBand="1" w:val="04A0"/>
        <w:tblBorders>
          <w:top w:val="single" w:sz="0" w:space="0" w:color="EDF3F8"/>
          <w:left w:val="single" w:sz="0" w:space="0" w:color="EDF3F8"/>
          <w:bottom w:val="single" w:sz="0" w:space="0" w:color="EDF3F8"/>
          <w:right w:val="single" w:sz="0" w:space="0" w:color="EDF3F8"/>
          <w:insideH w:val="single" w:sz="0" w:space="0" w:color="EDF3F8"/>
          <w:insideV w:val="single" w:sz="0" w:space="0" w:color="EDF3F8"/>
        </w:tblBorders>
      </w:tblPr>
      <w:tblGrid>
        <w:gridCol w:w="9994"/>
      </w:tblGrid>
      <w:tr>
        <w:tc>
          <w:tcPr>
            <w:tcW w:type="dxa" w:w="9994"/>
            <w:shd w:fill="EDF3F8"/>
            <w:tcMar>
              <w:top w:w="90" w:type="dxa"/>
              <w:start w:w="120" w:type="dxa"/>
              <w:bottom w:w="90" w:type="dxa"/>
              <w:end w:w="120" w:type="dxa"/>
            </w:tcMar>
            <w:tcBorders>
              <w:left w:val="single" w:sz="22" w:color="14A9B8"/>
            </w:tcBorders>
          </w:tcPr>
          <w:p>
            <w:pPr>
              <w:spacing w:after="40"/>
            </w:pPr>
            <w:r>
              <w:rPr>
                <w:rFonts w:ascii="Arial" w:hAnsi="Arial"/>
                <w:b/>
                <w:color w:val="1B2A4A"/>
                <w:sz w:val="20"/>
              </w:rPr>
              <w:t>Not a rhythm diagnostic system</w:t>
            </w:r>
          </w:p>
          <w:p>
            <w:pPr>
              <w:spacing w:after="0"/>
            </w:pPr>
            <w:r>
              <w:rPr>
                <w:rFonts w:ascii="Arial" w:hAnsi="Arial"/>
                <w:color w:val="20242A"/>
                <w:sz w:val="18"/>
              </w:rPr>
              <w:t>A BPM value describes heart rate only. Tachyarrhythmias and bradyarrhythmias are rhythm diagnoses that generally require ECG/rhythm data and clinical interpretation. Vitals may report observed rate patterns and associations; it must not infer atrial fibrillation, SVT, heart block, sinus-node dysfunction, or other rhythm diagnoses from BPM alone.</w:t>
            </w:r>
          </w:p>
        </w:tc>
      </w:tr>
    </w:tbl>
    <w:p>
      <w:pPr>
        <w:spacing w:after="20"/>
      </w:pPr>
    </w:p>
    <w:tbl>
      <w:tblPr>
        <w:tblW w:type="auto" w:w="0"/>
        <w:jc w:val="center"/>
        <w:tblLayout w:type="fixed"/>
        <w:tblLook w:firstColumn="1" w:firstRow="1" w:lastColumn="0" w:lastRow="0" w:noHBand="0" w:noVBand="1" w:val="04A0"/>
      </w:tblPr>
      <w:tblGrid>
        <w:gridCol w:w="9965"/>
      </w:tblGrid>
      <w:tr>
        <w:tc>
          <w:tcPr>
            <w:tcW w:type="dxa" w:w="9994"/>
            <w:shd w:fill="EDF4F7"/>
            <w:tcBorders>
              <w:left w:val="single" w:sz="22" w:color="0AA5B5"/>
              <w:top w:val="nil"/>
              <w:right w:val="nil"/>
              <w:bottom w:val="nil"/>
            </w:tcBorders>
            <w:tcMar>
              <w:top w:w="80" w:type="dxa"/>
              <w:start w:w="110" w:type="dxa"/>
              <w:bottom w:w="80" w:type="dxa"/>
              <w:end w:w="100" w:type="dxa"/>
            </w:tcMar>
          </w:tcPr>
          <w:p>
            <w:pPr>
              <w:spacing w:after="40"/>
            </w:pPr>
            <w:r>
              <w:rPr>
                <w:rFonts w:ascii="Arial" w:hAnsi="Arial"/>
                <w:b/>
                <w:color w:val="1D3357"/>
                <w:sz w:val="20"/>
              </w:rPr>
              <w:t>Citation convention</w:t>
            </w:r>
          </w:p>
          <w:p>
            <w:pPr>
              <w:spacing w:after="0"/>
            </w:pPr>
            <w:r>
              <w:rPr>
                <w:rFonts w:ascii="Arial" w:hAnsi="Arial"/>
                <w:color w:val="20242A"/>
                <w:sz w:val="18"/>
              </w:rPr>
              <w:t>Bracketed citations such as [2] refer to the numbered References block in Section 17. Clinical thresholds, population reference ranges, diagnostic/safety boundaries, and externally validated formulas carry adjacent citations. Sample-count gates, time windows, display thresholds, grouping rules, and UI activation criteria that are not externally sourced are explicitly treated as Vitals engineering decisions.</w:t>
            </w:r>
          </w:p>
        </w:tc>
      </w:tr>
    </w:tbl>
    <w:p>
      <w:pPr>
        <w:keepNext/>
        <w:spacing w:before="200" w:after="140"/>
        <w:pBdr>
          <w:bottom w:val="single" w:sz="12" w:space="3" w:color="14A9B8"/>
        </w:pBdr>
      </w:pPr>
      <w:r>
        <w:rPr>
          <w:rFonts w:ascii="Arial" w:hAnsi="Arial"/>
          <w:b/>
          <w:color w:val="1B2A4A"/>
          <w:sz w:val="32"/>
        </w:rPr>
        <w:t>2. Clinical and Engineering Guardrails</w:t>
      </w:r>
    </w:p>
    <w:p>
      <w:pPr>
        <w:spacing w:after="50"/>
        <w:ind w:left="115" w:hanging="29"/>
      </w:pPr>
      <w:r>
        <w:rPr>
          <w:rFonts w:ascii="Arial" w:hAnsi="Arial"/>
          <w:b/>
          <w:color w:val="14A9B8"/>
          <w:sz w:val="18"/>
        </w:rPr>
        <w:t xml:space="preserve">• </w:t>
      </w:r>
      <w:r>
        <w:rPr>
          <w:rFonts w:ascii="Arial" w:hAnsi="Arial"/>
          <w:sz w:val="18"/>
        </w:rPr>
        <w:t>Resting context is mandatory for threshold and longitudinal resting-rate interpretation. Activity, posture, symptoms, fever, stress, medications, and conditioning can materially alter heart rate.[2][3]</w:t>
      </w:r>
    </w:p>
    <w:p>
      <w:pPr>
        <w:spacing w:after="50"/>
        <w:ind w:left="115" w:hanging="29"/>
      </w:pPr>
      <w:r>
        <w:rPr>
          <w:rFonts w:ascii="Arial" w:hAnsi="Arial"/>
          <w:b/>
          <w:color w:val="14A9B8"/>
          <w:sz w:val="18"/>
        </w:rPr>
        <w:t xml:space="preserve">• </w:t>
      </w:r>
      <w:r>
        <w:rPr>
          <w:rFonts w:ascii="Arial" w:hAnsi="Arial"/>
          <w:sz w:val="18"/>
        </w:rPr>
        <w:t>For most adults, a resting heart rate of 60-100 BPM is commonly described as typical. A resting rate above 100 BPM is commonly termed tachycardia; a rate below 60 BPM is commonly termed bradycardia, but lower rates may be physiologic in athletes, during sleep, or with medications.[2][3][4]</w:t>
      </w:r>
    </w:p>
    <w:p>
      <w:pPr>
        <w:spacing w:after="50"/>
        <w:ind w:left="115" w:hanging="29"/>
      </w:pPr>
      <w:r>
        <w:rPr>
          <w:rFonts w:ascii="Arial" w:hAnsi="Arial"/>
          <w:b/>
          <w:color w:val="14A9B8"/>
          <w:sz w:val="18"/>
        </w:rPr>
        <w:t xml:space="preserve">• </w:t>
      </w:r>
      <w:r>
        <w:rPr>
          <w:rFonts w:ascii="Arial" w:hAnsi="Arial"/>
          <w:sz w:val="18"/>
        </w:rPr>
        <w:t>The 2018 ACC/AHA/HRS bradycardia guideline notes that population studies often use &lt;50 BPM in sinus-node dysfunction definitions, but there is no single minimum heart rate at which treatment is automatically indicated. Symptom correlation is important.[4]</w:t>
      </w:r>
    </w:p>
    <w:p>
      <w:pPr>
        <w:spacing w:after="50"/>
        <w:ind w:left="115" w:hanging="29"/>
      </w:pPr>
      <w:r>
        <w:rPr>
          <w:rFonts w:ascii="Arial" w:hAnsi="Arial"/>
          <w:b/>
          <w:color w:val="14A9B8"/>
          <w:sz w:val="18"/>
        </w:rPr>
        <w:t xml:space="preserve">• </w:t>
      </w:r>
      <w:r>
        <w:rPr>
          <w:rFonts w:ascii="Arial" w:hAnsi="Arial"/>
          <w:sz w:val="18"/>
        </w:rPr>
        <w:t>Vitals should describe observations, not assign diagnoses. Preferred wording: "4 resting readings above 100 BPM were recorded" rather than "you have tachycardia."</w:t>
      </w:r>
    </w:p>
    <w:p>
      <w:pPr>
        <w:spacing w:after="50"/>
        <w:ind w:left="115" w:hanging="29"/>
      </w:pPr>
      <w:r>
        <w:rPr>
          <w:rFonts w:ascii="Arial" w:hAnsi="Arial"/>
          <w:b/>
          <w:color w:val="14A9B8"/>
          <w:sz w:val="18"/>
        </w:rPr>
        <w:t xml:space="preserve">• </w:t>
      </w:r>
      <w:r>
        <w:rPr>
          <w:rFonts w:ascii="Arial" w:hAnsi="Arial"/>
          <w:sz w:val="18"/>
        </w:rPr>
        <w:t>Spot-reading dispersion is not Heart Rate Variability (HRV). True HRV requires beat-to-beat RR/NN interval data. The spot-reading module may report SD/IQR between resting measurements, but must not label those values HRV.</w:t>
      </w:r>
      <w:r>
        <w:rPr>
          <w:rFonts w:ascii="Arial" w:hAnsi="Arial"/>
          <w:color w:val="20242A"/>
          <w:sz w:val="18"/>
        </w:rPr>
        <w:t xml:space="preserve"> [9]</w:t>
      </w:r>
    </w:p>
    <w:p>
      <w:pPr>
        <w:spacing w:after="50"/>
        <w:ind w:left="115" w:hanging="29"/>
      </w:pPr>
      <w:r>
        <w:rPr>
          <w:rFonts w:ascii="Arial" w:hAnsi="Arial"/>
          <w:b/>
          <w:color w:val="14A9B8"/>
          <w:sz w:val="18"/>
        </w:rPr>
        <w:t xml:space="preserve">• </w:t>
      </w:r>
      <w:r>
        <w:rPr>
          <w:rFonts w:ascii="Arial" w:hAnsi="Arial"/>
          <w:sz w:val="18"/>
        </w:rPr>
        <w:t>Manual spot measurements support "percentage of logged readings" metrics, not duration-based burden. Time above/below a rate threshold requires dense continuous or near-continuous data.</w:t>
      </w:r>
    </w:p>
    <w:p>
      <w:pPr>
        <w:spacing w:after="50"/>
        <w:ind w:left="115" w:hanging="29"/>
      </w:pPr>
      <w:r>
        <w:rPr>
          <w:rFonts w:ascii="Arial" w:hAnsi="Arial"/>
          <w:b/>
          <w:color w:val="14A9B8"/>
          <w:sz w:val="18"/>
        </w:rPr>
        <w:t xml:space="preserve">• </w:t>
      </w:r>
      <w:r>
        <w:rPr>
          <w:rFonts w:ascii="Arial" w:hAnsi="Arial"/>
          <w:sz w:val="18"/>
        </w:rPr>
        <w:t>Medication and symptom associations must be expressed temporally ("occurred after" / "occurred near") rather than causally ("was caused by").</w:t>
      </w:r>
    </w:p>
    <w:p>
      <w:pPr>
        <w:spacing w:after="50"/>
        <w:ind w:left="115" w:hanging="29"/>
      </w:pPr>
      <w:r>
        <w:rPr>
          <w:rFonts w:ascii="Arial" w:hAnsi="Arial"/>
          <w:b/>
          <w:color w:val="14A9B8"/>
          <w:sz w:val="18"/>
        </w:rPr>
        <w:t xml:space="preserve">• </w:t>
      </w:r>
      <w:r>
        <w:rPr>
          <w:rFonts w:ascii="Arial" w:hAnsi="Arial"/>
          <w:sz w:val="18"/>
        </w:rPr>
        <w:t>Published thresholds are reference defaults only. Patient- or clinician-defined resting targets must override display defaults when configured.</w:t>
      </w:r>
    </w:p>
    <w:p>
      <w:pPr>
        <w:keepNext/>
        <w:spacing w:before="200" w:after="140"/>
        <w:pBdr>
          <w:bottom w:val="single" w:sz="12" w:space="3" w:color="14A9B8"/>
        </w:pBdr>
      </w:pPr>
      <w:r>
        <w:rPr>
          <w:rFonts w:ascii="Arial" w:hAnsi="Arial"/>
          <w:b/>
          <w:color w:val="1B2A4A"/>
          <w:sz w:val="32"/>
        </w:rPr>
        <w:t>3. Priority Summary</w:t>
      </w:r>
    </w:p>
    <w:p>
      <w:pPr>
        <w:spacing w:after="100"/>
      </w:pPr>
      <w:r>
        <w:rPr>
          <w:rFonts w:ascii="Arial" w:hAnsi="Arial"/>
          <w:i w:val="0"/>
          <w:color w:val="20242A"/>
          <w:sz w:val="19"/>
        </w:rPr>
        <w:t>P0 analysis sets form the launch package for manual or device-reported spot readings. P1 adds a structured orthostatic measurement workflow. P2 items are intentionally deferred until Vitals receives dense wearable or beat-to-beat data.</w:t>
      </w:r>
    </w:p>
    <w:tbl>
      <w:tblPr>
        <w:tblW w:type="auto" w:w="0"/>
        <w:jc w:val="center"/>
        <w:tblLayout w:type="autofit"/>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2498"/>
        <w:gridCol w:w="2498"/>
        <w:gridCol w:w="2498"/>
        <w:gridCol w:w="2498"/>
      </w:tblGrid>
      <w:tr>
        <w:trPr>
          <w:cantSplit/>
          <w:tblHeader w:val="true"/>
        </w:trPr>
        <w:tc>
          <w:tcPr>
            <w:tcW w:type="dxa" w:w="2498"/>
            <w:vAlign w:val="center"/>
            <w:tcMar>
              <w:top w:w="70" w:type="dxa"/>
              <w:start w:w="90" w:type="dxa"/>
              <w:bottom w:w="70" w:type="dxa"/>
              <w:end w:w="90" w:type="dxa"/>
            </w:tcMar>
            <w:shd w:fill="1B2A4A"/>
          </w:tcPr>
          <w:p>
            <w:pPr>
              <w:spacing w:after="0"/>
            </w:pPr>
            <w:r>
              <w:rPr>
                <w:rFonts w:ascii="Arial" w:hAnsi="Arial"/>
                <w:b/>
                <w:color w:val="FFFFFF"/>
                <w:sz w:val="16"/>
              </w:rPr>
              <w:t>Priority</w:t>
            </w:r>
          </w:p>
        </w:tc>
        <w:tc>
          <w:tcPr>
            <w:tcW w:type="dxa" w:w="2498"/>
            <w:vAlign w:val="center"/>
            <w:tcMar>
              <w:top w:w="70" w:type="dxa"/>
              <w:start w:w="90" w:type="dxa"/>
              <w:bottom w:w="70" w:type="dxa"/>
              <w:end w:w="90" w:type="dxa"/>
            </w:tcMar>
            <w:shd w:fill="1B2A4A"/>
          </w:tcPr>
          <w:p>
            <w:pPr>
              <w:spacing w:after="0"/>
            </w:pPr>
            <w:r>
              <w:rPr>
                <w:rFonts w:ascii="Arial" w:hAnsi="Arial"/>
                <w:b/>
                <w:color w:val="FFFFFF"/>
                <w:sz w:val="16"/>
              </w:rPr>
              <w:t>Analysis set</w:t>
            </w:r>
          </w:p>
        </w:tc>
        <w:tc>
          <w:tcPr>
            <w:tcW w:type="dxa" w:w="2498"/>
            <w:vAlign w:val="center"/>
            <w:tcMar>
              <w:top w:w="70" w:type="dxa"/>
              <w:start w:w="90" w:type="dxa"/>
              <w:bottom w:w="70" w:type="dxa"/>
              <w:end w:w="90" w:type="dxa"/>
            </w:tcMar>
            <w:shd w:fill="1B2A4A"/>
          </w:tcPr>
          <w:p>
            <w:pPr>
              <w:spacing w:after="0"/>
            </w:pPr>
            <w:r>
              <w:rPr>
                <w:rFonts w:ascii="Arial" w:hAnsi="Arial"/>
                <w:b/>
                <w:color w:val="FFFFFF"/>
                <w:sz w:val="16"/>
              </w:rPr>
              <w:t>Spot / manual</w:t>
            </w:r>
          </w:p>
        </w:tc>
        <w:tc>
          <w:tcPr>
            <w:tcW w:type="dxa" w:w="2498"/>
            <w:vAlign w:val="center"/>
            <w:tcMar>
              <w:top w:w="70" w:type="dxa"/>
              <w:start w:w="90" w:type="dxa"/>
              <w:bottom w:w="70" w:type="dxa"/>
              <w:end w:w="90" w:type="dxa"/>
            </w:tcMar>
            <w:shd w:fill="1B2A4A"/>
          </w:tcPr>
          <w:p>
            <w:pPr>
              <w:spacing w:after="0"/>
            </w:pPr>
            <w:r>
              <w:rPr>
                <w:rFonts w:ascii="Arial" w:hAnsi="Arial"/>
                <w:b/>
                <w:color w:val="FFFFFF"/>
                <w:sz w:val="16"/>
              </w:rPr>
              <w:t>Dense / structured source</w:t>
            </w:r>
          </w:p>
        </w:tc>
      </w:tr>
      <w:tr>
        <w:trPr>
          <w:cantSplit/>
        </w:trPr>
        <w:tc>
          <w:tcPr>
            <w:tcW w:type="dxa" w:w="2498"/>
            <w:vAlign w:val="center"/>
            <w:tcMar>
              <w:top w:w="70" w:type="dxa"/>
              <w:start w:w="90" w:type="dxa"/>
              <w:bottom w:w="70" w:type="dxa"/>
              <w:end w:w="90" w:type="dxa"/>
            </w:tcMar>
            <w:shd w:fill="EAF3E7"/>
          </w:tcPr>
          <w:p>
            <w:pPr>
              <w:spacing w:after="0"/>
            </w:pPr>
            <w:r>
              <w:rPr>
                <w:rFonts w:ascii="Arial" w:hAnsi="Arial"/>
                <w:color w:val="20242A"/>
                <w:sz w:val="16"/>
              </w:rPr>
              <w:t>P0</w:t>
            </w:r>
          </w:p>
        </w:tc>
        <w:tc>
          <w:tcPr>
            <w:tcW w:type="dxa" w:w="2498"/>
            <w:vAlign w:val="center"/>
            <w:tcMar>
              <w:top w:w="70" w:type="dxa"/>
              <w:start w:w="90" w:type="dxa"/>
              <w:bottom w:w="70" w:type="dxa"/>
              <w:end w:w="90" w:type="dxa"/>
            </w:tcMar>
          </w:tcPr>
          <w:p>
            <w:pPr>
              <w:spacing w:after="0"/>
            </w:pPr>
            <w:r>
              <w:rPr>
                <w:rFonts w:ascii="Arial" w:hAnsi="Arial"/>
                <w:color w:val="20242A"/>
                <w:sz w:val="16"/>
              </w:rPr>
              <w:t>Latest rate + context</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r>
      <w:tr>
        <w:trPr>
          <w:cantSplit/>
        </w:trPr>
        <w:tc>
          <w:tcPr>
            <w:tcW w:type="dxa" w:w="2498"/>
            <w:vAlign w:val="center"/>
            <w:tcMar>
              <w:top w:w="70" w:type="dxa"/>
              <w:start w:w="90" w:type="dxa"/>
              <w:bottom w:w="70" w:type="dxa"/>
              <w:end w:w="90" w:type="dxa"/>
            </w:tcMar>
            <w:shd w:fill="EAF3E7"/>
          </w:tcPr>
          <w:p>
            <w:pPr>
              <w:spacing w:after="0"/>
            </w:pPr>
            <w:r>
              <w:rPr>
                <w:rFonts w:ascii="Arial" w:hAnsi="Arial"/>
                <w:color w:val="20242A"/>
                <w:sz w:val="16"/>
              </w:rPr>
              <w:t>P0</w:t>
            </w:r>
          </w:p>
        </w:tc>
        <w:tc>
          <w:tcPr>
            <w:tcW w:type="dxa" w:w="2498"/>
            <w:vAlign w:val="center"/>
            <w:tcMar>
              <w:top w:w="70" w:type="dxa"/>
              <w:start w:w="90" w:type="dxa"/>
              <w:bottom w:w="70" w:type="dxa"/>
              <w:end w:w="90" w:type="dxa"/>
            </w:tcMar>
          </w:tcPr>
          <w:p>
            <w:pPr>
              <w:spacing w:after="0"/>
            </w:pPr>
            <w:r>
              <w:rPr>
                <w:rFonts w:ascii="Arial" w:hAnsi="Arial"/>
                <w:color w:val="20242A"/>
                <w:sz w:val="16"/>
              </w:rPr>
              <w:t>Resting central tendency</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r>
      <w:tr>
        <w:trPr>
          <w:cantSplit/>
        </w:trPr>
        <w:tc>
          <w:tcPr>
            <w:tcW w:type="dxa" w:w="2498"/>
            <w:vAlign w:val="center"/>
            <w:tcMar>
              <w:top w:w="70" w:type="dxa"/>
              <w:start w:w="90" w:type="dxa"/>
              <w:bottom w:w="70" w:type="dxa"/>
              <w:end w:w="90" w:type="dxa"/>
            </w:tcMar>
            <w:shd w:fill="EAF3E7"/>
          </w:tcPr>
          <w:p>
            <w:pPr>
              <w:spacing w:after="0"/>
            </w:pPr>
            <w:r>
              <w:rPr>
                <w:rFonts w:ascii="Arial" w:hAnsi="Arial"/>
                <w:color w:val="20242A"/>
                <w:sz w:val="16"/>
              </w:rPr>
              <w:t>P0</w:t>
            </w:r>
          </w:p>
        </w:tc>
        <w:tc>
          <w:tcPr>
            <w:tcW w:type="dxa" w:w="2498"/>
            <w:vAlign w:val="center"/>
            <w:tcMar>
              <w:top w:w="70" w:type="dxa"/>
              <w:start w:w="90" w:type="dxa"/>
              <w:bottom w:w="70" w:type="dxa"/>
              <w:end w:w="90" w:type="dxa"/>
            </w:tcMar>
          </w:tcPr>
          <w:p>
            <w:pPr>
              <w:spacing w:after="0"/>
            </w:pPr>
            <w:r>
              <w:rPr>
                <w:rFonts w:ascii="Arial" w:hAnsi="Arial"/>
                <w:color w:val="20242A"/>
                <w:sz w:val="16"/>
              </w:rPr>
              <w:t>Resting trend: OLS + LOESS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r>
      <w:tr>
        <w:trPr>
          <w:cantSplit/>
        </w:trPr>
        <w:tc>
          <w:tcPr>
            <w:tcW w:type="dxa" w:w="2498"/>
            <w:vAlign w:val="center"/>
            <w:tcMar>
              <w:top w:w="70" w:type="dxa"/>
              <w:start w:w="90" w:type="dxa"/>
              <w:bottom w:w="70" w:type="dxa"/>
              <w:end w:w="90" w:type="dxa"/>
            </w:tcMar>
            <w:shd w:fill="EAF3E7"/>
          </w:tcPr>
          <w:p>
            <w:pPr>
              <w:spacing w:after="0"/>
            </w:pPr>
            <w:r>
              <w:rPr>
                <w:rFonts w:ascii="Arial" w:hAnsi="Arial"/>
                <w:color w:val="20242A"/>
                <w:sz w:val="16"/>
              </w:rPr>
              <w:t>P0</w:t>
            </w:r>
          </w:p>
        </w:tc>
        <w:tc>
          <w:tcPr>
            <w:tcW w:type="dxa" w:w="2498"/>
            <w:vAlign w:val="center"/>
            <w:tcMar>
              <w:top w:w="70" w:type="dxa"/>
              <w:start w:w="90" w:type="dxa"/>
              <w:bottom w:w="70" w:type="dxa"/>
              <w:end w:w="90" w:type="dxa"/>
            </w:tcMar>
          </w:tcPr>
          <w:p>
            <w:pPr>
              <w:spacing w:after="0"/>
            </w:pPr>
            <w:r>
              <w:rPr>
                <w:rFonts w:ascii="Arial" w:hAnsi="Arial"/>
                <w:color w:val="20242A"/>
                <w:sz w:val="16"/>
              </w:rPr>
              <w:t>Personal baseline deviation</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r>
      <w:tr>
        <w:trPr>
          <w:cantSplit/>
        </w:trPr>
        <w:tc>
          <w:tcPr>
            <w:tcW w:type="dxa" w:w="2498"/>
            <w:vAlign w:val="center"/>
            <w:tcMar>
              <w:top w:w="70" w:type="dxa"/>
              <w:start w:w="90" w:type="dxa"/>
              <w:bottom w:w="70" w:type="dxa"/>
              <w:end w:w="90" w:type="dxa"/>
            </w:tcMar>
            <w:shd w:fill="EAF3E7"/>
          </w:tcPr>
          <w:p>
            <w:pPr>
              <w:spacing w:after="0"/>
            </w:pPr>
            <w:r>
              <w:rPr>
                <w:rFonts w:ascii="Arial" w:hAnsi="Arial"/>
                <w:color w:val="20242A"/>
                <w:sz w:val="16"/>
              </w:rPr>
              <w:t>P0</w:t>
            </w:r>
          </w:p>
        </w:tc>
        <w:tc>
          <w:tcPr>
            <w:tcW w:type="dxa" w:w="2498"/>
            <w:vAlign w:val="center"/>
            <w:tcMar>
              <w:top w:w="70" w:type="dxa"/>
              <w:start w:w="90" w:type="dxa"/>
              <w:bottom w:w="70" w:type="dxa"/>
              <w:end w:w="90" w:type="dxa"/>
            </w:tcMar>
          </w:tcPr>
          <w:p>
            <w:pPr>
              <w:spacing w:after="0"/>
            </w:pPr>
            <w:r>
              <w:rPr>
                <w:rFonts w:ascii="Arial" w:hAnsi="Arial"/>
                <w:color w:val="20242A"/>
                <w:sz w:val="16"/>
              </w:rPr>
              <w:t>High / low resting-rate events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r>
      <w:tr>
        <w:trPr>
          <w:cantSplit/>
        </w:trPr>
        <w:tc>
          <w:tcPr>
            <w:tcW w:type="dxa" w:w="2498"/>
            <w:vAlign w:val="center"/>
            <w:tcMar>
              <w:top w:w="70" w:type="dxa"/>
              <w:start w:w="90" w:type="dxa"/>
              <w:bottom w:w="70" w:type="dxa"/>
              <w:end w:w="90" w:type="dxa"/>
            </w:tcMar>
            <w:shd w:fill="EAF3E7"/>
          </w:tcPr>
          <w:p>
            <w:pPr>
              <w:spacing w:after="0"/>
            </w:pPr>
            <w:r>
              <w:rPr>
                <w:rFonts w:ascii="Arial" w:hAnsi="Arial"/>
                <w:color w:val="20242A"/>
                <w:sz w:val="16"/>
              </w:rPr>
              <w:t>P0</w:t>
            </w:r>
          </w:p>
        </w:tc>
        <w:tc>
          <w:tcPr>
            <w:tcW w:type="dxa" w:w="2498"/>
            <w:vAlign w:val="center"/>
            <w:tcMar>
              <w:top w:w="70" w:type="dxa"/>
              <w:start w:w="90" w:type="dxa"/>
              <w:bottom w:w="70" w:type="dxa"/>
              <w:end w:w="90" w:type="dxa"/>
            </w:tcMar>
          </w:tcPr>
          <w:p>
            <w:pPr>
              <w:spacing w:after="0"/>
            </w:pPr>
            <w:r>
              <w:rPr>
                <w:rFonts w:ascii="Arial" w:hAnsi="Arial"/>
                <w:color w:val="20242A"/>
                <w:sz w:val="16"/>
              </w:rPr>
              <w:t>Between-reading dispersion</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r>
      <w:tr>
        <w:trPr>
          <w:cantSplit/>
        </w:trPr>
        <w:tc>
          <w:tcPr>
            <w:tcW w:type="dxa" w:w="2498"/>
            <w:vAlign w:val="center"/>
            <w:tcMar>
              <w:top w:w="70" w:type="dxa"/>
              <w:start w:w="90" w:type="dxa"/>
              <w:bottom w:w="70" w:type="dxa"/>
              <w:end w:w="90" w:type="dxa"/>
            </w:tcMar>
            <w:shd w:fill="EAF3E7"/>
          </w:tcPr>
          <w:p>
            <w:pPr>
              <w:spacing w:after="0"/>
            </w:pPr>
            <w:r>
              <w:rPr>
                <w:rFonts w:ascii="Arial" w:hAnsi="Arial"/>
                <w:color w:val="20242A"/>
                <w:sz w:val="16"/>
              </w:rPr>
              <w:t>P0</w:t>
            </w:r>
          </w:p>
        </w:tc>
        <w:tc>
          <w:tcPr>
            <w:tcW w:type="dxa" w:w="2498"/>
            <w:vAlign w:val="center"/>
            <w:tcMar>
              <w:top w:w="70" w:type="dxa"/>
              <w:start w:w="90" w:type="dxa"/>
              <w:bottom w:w="70" w:type="dxa"/>
              <w:end w:w="90" w:type="dxa"/>
            </w:tcMar>
          </w:tcPr>
          <w:p>
            <w:pPr>
              <w:spacing w:after="0"/>
            </w:pPr>
            <w:r>
              <w:rPr>
                <w:rFonts w:ascii="Arial" w:hAnsi="Arial"/>
                <w:color w:val="20242A"/>
                <w:sz w:val="16"/>
              </w:rPr>
              <w:t>Time-of-day patterns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r>
      <w:tr>
        <w:trPr>
          <w:cantSplit/>
        </w:trPr>
        <w:tc>
          <w:tcPr>
            <w:tcW w:type="dxa" w:w="2498"/>
            <w:vAlign w:val="center"/>
            <w:tcMar>
              <w:top w:w="70" w:type="dxa"/>
              <w:start w:w="90" w:type="dxa"/>
              <w:bottom w:w="70" w:type="dxa"/>
              <w:end w:w="90" w:type="dxa"/>
            </w:tcMar>
            <w:shd w:fill="EAF3E7"/>
          </w:tcPr>
          <w:p>
            <w:pPr>
              <w:spacing w:after="0"/>
            </w:pPr>
            <w:r>
              <w:rPr>
                <w:rFonts w:ascii="Arial" w:hAnsi="Arial"/>
                <w:color w:val="20242A"/>
                <w:sz w:val="16"/>
              </w:rPr>
              <w:t>P0</w:t>
            </w:r>
          </w:p>
        </w:tc>
        <w:tc>
          <w:tcPr>
            <w:tcW w:type="dxa" w:w="2498"/>
            <w:vAlign w:val="center"/>
            <w:tcMar>
              <w:top w:w="70" w:type="dxa"/>
              <w:start w:w="90" w:type="dxa"/>
              <w:bottom w:w="70" w:type="dxa"/>
              <w:end w:w="90" w:type="dxa"/>
            </w:tcMar>
          </w:tcPr>
          <w:p>
            <w:pPr>
              <w:spacing w:after="0"/>
            </w:pPr>
            <w:r>
              <w:rPr>
                <w:rFonts w:ascii="Arial" w:hAnsi="Arial"/>
                <w:color w:val="20242A"/>
                <w:sz w:val="16"/>
              </w:rPr>
              <w:t>Symptom association</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r>
      <w:tr>
        <w:trPr>
          <w:cantSplit/>
        </w:trPr>
        <w:tc>
          <w:tcPr>
            <w:tcW w:type="dxa" w:w="2498"/>
            <w:vAlign w:val="center"/>
            <w:tcMar>
              <w:top w:w="70" w:type="dxa"/>
              <w:start w:w="90" w:type="dxa"/>
              <w:bottom w:w="70" w:type="dxa"/>
              <w:end w:w="90" w:type="dxa"/>
            </w:tcMar>
            <w:shd w:fill="EAF3E7"/>
          </w:tcPr>
          <w:p>
            <w:pPr>
              <w:spacing w:after="0"/>
            </w:pPr>
            <w:r>
              <w:rPr>
                <w:rFonts w:ascii="Arial" w:hAnsi="Arial"/>
                <w:color w:val="20242A"/>
                <w:sz w:val="16"/>
              </w:rPr>
              <w:t>P0</w:t>
            </w:r>
          </w:p>
        </w:tc>
        <w:tc>
          <w:tcPr>
            <w:tcW w:type="dxa" w:w="2498"/>
            <w:vAlign w:val="center"/>
            <w:tcMar>
              <w:top w:w="70" w:type="dxa"/>
              <w:start w:w="90" w:type="dxa"/>
              <w:bottom w:w="70" w:type="dxa"/>
              <w:end w:w="90" w:type="dxa"/>
            </w:tcMar>
          </w:tcPr>
          <w:p>
            <w:pPr>
              <w:spacing w:after="0"/>
            </w:pPr>
            <w:r>
              <w:rPr>
                <w:rFonts w:ascii="Arial" w:hAnsi="Arial"/>
                <w:color w:val="20242A"/>
                <w:sz w:val="16"/>
              </w:rPr>
              <w:t>Medication-change association</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r>
      <w:tr>
        <w:trPr>
          <w:cantSplit/>
        </w:trPr>
        <w:tc>
          <w:tcPr>
            <w:tcW w:type="dxa" w:w="2498"/>
            <w:vAlign w:val="center"/>
            <w:tcMar>
              <w:top w:w="70" w:type="dxa"/>
              <w:start w:w="90" w:type="dxa"/>
              <w:bottom w:w="70" w:type="dxa"/>
              <w:end w:w="90" w:type="dxa"/>
            </w:tcMar>
            <w:shd w:fill="EAF3E7"/>
          </w:tcPr>
          <w:p>
            <w:pPr>
              <w:spacing w:after="0"/>
            </w:pPr>
            <w:r>
              <w:rPr>
                <w:rFonts w:ascii="Arial" w:hAnsi="Arial"/>
                <w:color w:val="20242A"/>
                <w:sz w:val="16"/>
              </w:rPr>
              <w:t>P0</w:t>
            </w:r>
          </w:p>
        </w:tc>
        <w:tc>
          <w:tcPr>
            <w:tcW w:type="dxa" w:w="2498"/>
            <w:vAlign w:val="center"/>
            <w:tcMar>
              <w:top w:w="70" w:type="dxa"/>
              <w:start w:w="90" w:type="dxa"/>
              <w:bottom w:w="70" w:type="dxa"/>
              <w:end w:w="90" w:type="dxa"/>
            </w:tcMar>
          </w:tcPr>
          <w:p>
            <w:pPr>
              <w:spacing w:after="0"/>
            </w:pPr>
            <w:r>
              <w:rPr>
                <w:rFonts w:ascii="Arial" w:hAnsi="Arial"/>
                <w:color w:val="20242A"/>
                <w:sz w:val="16"/>
              </w:rPr>
              <w:t>Cross-vital same-event context</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r>
      <w:tr>
        <w:trPr>
          <w:cantSplit/>
        </w:trPr>
        <w:tc>
          <w:tcPr>
            <w:tcW w:type="dxa" w:w="2498"/>
            <w:vAlign w:val="center"/>
            <w:tcMar>
              <w:top w:w="70" w:type="dxa"/>
              <w:start w:w="90" w:type="dxa"/>
              <w:bottom w:w="70" w:type="dxa"/>
              <w:end w:w="90" w:type="dxa"/>
            </w:tcMar>
            <w:shd w:fill="EAF3E7"/>
          </w:tcPr>
          <w:p>
            <w:pPr>
              <w:spacing w:after="0"/>
            </w:pPr>
            <w:r>
              <w:rPr>
                <w:rFonts w:ascii="Arial" w:hAnsi="Arial"/>
                <w:color w:val="20242A"/>
                <w:sz w:val="16"/>
              </w:rPr>
              <w:t>P0</w:t>
            </w:r>
          </w:p>
        </w:tc>
        <w:tc>
          <w:tcPr>
            <w:tcW w:type="dxa" w:w="2498"/>
            <w:vAlign w:val="center"/>
            <w:tcMar>
              <w:top w:w="70" w:type="dxa"/>
              <w:start w:w="90" w:type="dxa"/>
              <w:bottom w:w="70" w:type="dxa"/>
              <w:end w:w="90" w:type="dxa"/>
            </w:tcMar>
          </w:tcPr>
          <w:p>
            <w:pPr>
              <w:spacing w:after="0"/>
            </w:pPr>
            <w:r>
              <w:rPr>
                <w:rFonts w:ascii="Arial" w:hAnsi="Arial"/>
                <w:color w:val="20242A"/>
                <w:sz w:val="16"/>
              </w:rPr>
              <w:t>Data-support / density indicators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c>
          <w:tcPr>
            <w:tcW w:type="dxa" w:w="2498"/>
            <w:vAlign w:val="center"/>
            <w:tcMar>
              <w:top w:w="70" w:type="dxa"/>
              <w:start w:w="90" w:type="dxa"/>
              <w:bottom w:w="70" w:type="dxa"/>
              <w:end w:w="90" w:type="dxa"/>
            </w:tcMar>
          </w:tcPr>
          <w:p>
            <w:pPr>
              <w:spacing w:after="0"/>
            </w:pPr>
            <w:r>
              <w:rPr>
                <w:rFonts w:ascii="Arial" w:hAnsi="Arial"/>
                <w:color w:val="20242A"/>
                <w:sz w:val="16"/>
              </w:rPr>
              <w:t>Yes</w:t>
            </w:r>
          </w:p>
        </w:tc>
      </w:tr>
      <w:tr>
        <w:trPr>
          <w:cantSplit/>
        </w:trPr>
        <w:tc>
          <w:tcPr>
            <w:tcW w:type="dxa" w:w="2498"/>
            <w:vAlign w:val="center"/>
            <w:tcMar>
              <w:top w:w="70" w:type="dxa"/>
              <w:start w:w="90" w:type="dxa"/>
              <w:bottom w:w="70" w:type="dxa"/>
              <w:end w:w="90" w:type="dxa"/>
            </w:tcMar>
            <w:shd w:fill="FFF6DD"/>
          </w:tcPr>
          <w:p>
            <w:pPr>
              <w:spacing w:after="0"/>
            </w:pPr>
            <w:r>
              <w:rPr>
                <w:rFonts w:ascii="Arial" w:hAnsi="Arial"/>
                <w:color w:val="20242A"/>
                <w:sz w:val="16"/>
              </w:rPr>
              <w:t>P1</w:t>
            </w:r>
          </w:p>
        </w:tc>
        <w:tc>
          <w:tcPr>
            <w:tcW w:type="dxa" w:w="2498"/>
            <w:vAlign w:val="center"/>
            <w:tcMar>
              <w:top w:w="70" w:type="dxa"/>
              <w:start w:w="90" w:type="dxa"/>
              <w:bottom w:w="70" w:type="dxa"/>
              <w:end w:w="90" w:type="dxa"/>
            </w:tcMar>
          </w:tcPr>
          <w:p>
            <w:pPr>
              <w:spacing w:after="0"/>
            </w:pPr>
            <w:r>
              <w:rPr>
                <w:rFonts w:ascii="Arial" w:hAnsi="Arial"/>
                <w:color w:val="20242A"/>
                <w:sz w:val="16"/>
              </w:rPr>
              <w:t>Orthostatic HR + BP response</w:t>
            </w:r>
          </w:p>
        </w:tc>
        <w:tc>
          <w:tcPr>
            <w:tcW w:type="dxa" w:w="2498"/>
            <w:vAlign w:val="center"/>
            <w:tcMar>
              <w:top w:w="70" w:type="dxa"/>
              <w:start w:w="90" w:type="dxa"/>
              <w:bottom w:w="70" w:type="dxa"/>
              <w:end w:w="90" w:type="dxa"/>
            </w:tcMar>
          </w:tcPr>
          <w:p>
            <w:pPr>
              <w:spacing w:after="0"/>
            </w:pPr>
            <w:r>
              <w:rPr>
                <w:rFonts w:ascii="Arial" w:hAnsi="Arial"/>
                <w:color w:val="20242A"/>
                <w:sz w:val="16"/>
              </w:rPr>
              <w:t>Guided sequence</w:t>
            </w:r>
          </w:p>
        </w:tc>
        <w:tc>
          <w:tcPr>
            <w:tcW w:type="dxa" w:w="2498"/>
            <w:vAlign w:val="center"/>
            <w:tcMar>
              <w:top w:w="70" w:type="dxa"/>
              <w:start w:w="90" w:type="dxa"/>
              <w:bottom w:w="70" w:type="dxa"/>
              <w:end w:w="90" w:type="dxa"/>
            </w:tcMar>
          </w:tcPr>
          <w:p>
            <w:pPr>
              <w:spacing w:after="0"/>
            </w:pPr>
            <w:r>
              <w:rPr>
                <w:rFonts w:ascii="Arial" w:hAnsi="Arial"/>
                <w:color w:val="20242A"/>
                <w:sz w:val="16"/>
              </w:rPr>
              <w:t>Guided/device sequence</w:t>
            </w:r>
          </w:p>
        </w:tc>
      </w:tr>
      <w:tr>
        <w:trPr>
          <w:cantSplit/>
        </w:trPr>
        <w:tc>
          <w:tcPr>
            <w:tcW w:type="dxa" w:w="2498"/>
            <w:vAlign w:val="center"/>
            <w:tcMar>
              <w:top w:w="70" w:type="dxa"/>
              <w:start w:w="90" w:type="dxa"/>
              <w:bottom w:w="70" w:type="dxa"/>
              <w:end w:w="90" w:type="dxa"/>
            </w:tcMar>
            <w:shd w:fill="F6F8FA"/>
          </w:tcPr>
          <w:p>
            <w:pPr>
              <w:spacing w:after="0"/>
            </w:pPr>
            <w:r>
              <w:rPr>
                <w:rFonts w:ascii="Arial" w:hAnsi="Arial"/>
                <w:color w:val="20242A"/>
                <w:sz w:val="16"/>
              </w:rPr>
              <w:t>P2</w:t>
            </w:r>
          </w:p>
        </w:tc>
        <w:tc>
          <w:tcPr>
            <w:tcW w:type="dxa" w:w="2498"/>
            <w:vAlign w:val="center"/>
            <w:tcMar>
              <w:top w:w="70" w:type="dxa"/>
              <w:start w:w="90" w:type="dxa"/>
              <w:bottom w:w="70" w:type="dxa"/>
              <w:end w:w="90" w:type="dxa"/>
            </w:tcMar>
          </w:tcPr>
          <w:p>
            <w:pPr>
              <w:spacing w:after="0"/>
            </w:pPr>
            <w:r>
              <w:rPr>
                <w:rFonts w:ascii="Arial" w:hAnsi="Arial"/>
                <w:color w:val="20242A"/>
                <w:sz w:val="16"/>
              </w:rPr>
              <w:t>Duration-based rate burden</w:t>
            </w:r>
          </w:p>
        </w:tc>
        <w:tc>
          <w:tcPr>
            <w:tcW w:type="dxa" w:w="2498"/>
            <w:vAlign w:val="center"/>
            <w:tcMar>
              <w:top w:w="70" w:type="dxa"/>
              <w:start w:w="90" w:type="dxa"/>
              <w:bottom w:w="70" w:type="dxa"/>
              <w:end w:w="90" w:type="dxa"/>
            </w:tcMar>
          </w:tcPr>
          <w:p>
            <w:pPr>
              <w:spacing w:after="0"/>
            </w:pPr>
            <w:r>
              <w:rPr>
                <w:rFonts w:ascii="Arial" w:hAnsi="Arial"/>
                <w:color w:val="20242A"/>
                <w:sz w:val="16"/>
              </w:rPr>
              <w:t>No</w:t>
            </w:r>
          </w:p>
        </w:tc>
        <w:tc>
          <w:tcPr>
            <w:tcW w:type="dxa" w:w="2498"/>
            <w:vAlign w:val="center"/>
            <w:tcMar>
              <w:top w:w="70" w:type="dxa"/>
              <w:start w:w="90" w:type="dxa"/>
              <w:bottom w:w="70" w:type="dxa"/>
              <w:end w:w="90" w:type="dxa"/>
            </w:tcMar>
          </w:tcPr>
          <w:p>
            <w:pPr>
              <w:spacing w:after="0"/>
            </w:pPr>
            <w:r>
              <w:rPr>
                <w:rFonts w:ascii="Arial" w:hAnsi="Arial"/>
                <w:color w:val="20242A"/>
                <w:sz w:val="16"/>
              </w:rPr>
              <w:t>Dense data only</w:t>
            </w:r>
          </w:p>
        </w:tc>
      </w:tr>
      <w:tr>
        <w:trPr>
          <w:cantSplit/>
        </w:trPr>
        <w:tc>
          <w:tcPr>
            <w:tcW w:type="dxa" w:w="2498"/>
            <w:vAlign w:val="center"/>
            <w:tcMar>
              <w:top w:w="70" w:type="dxa"/>
              <w:start w:w="90" w:type="dxa"/>
              <w:bottom w:w="70" w:type="dxa"/>
              <w:end w:w="90" w:type="dxa"/>
            </w:tcMar>
            <w:shd w:fill="F6F8FA"/>
          </w:tcPr>
          <w:p>
            <w:pPr>
              <w:spacing w:after="0"/>
            </w:pPr>
            <w:r>
              <w:rPr>
                <w:rFonts w:ascii="Arial" w:hAnsi="Arial"/>
                <w:color w:val="20242A"/>
                <w:sz w:val="16"/>
              </w:rPr>
              <w:t>P2</w:t>
            </w:r>
          </w:p>
        </w:tc>
        <w:tc>
          <w:tcPr>
            <w:tcW w:type="dxa" w:w="2498"/>
            <w:vAlign w:val="center"/>
            <w:tcMar>
              <w:top w:w="70" w:type="dxa"/>
              <w:start w:w="90" w:type="dxa"/>
              <w:bottom w:w="70" w:type="dxa"/>
              <w:end w:w="90" w:type="dxa"/>
            </w:tcMar>
          </w:tcPr>
          <w:p>
            <w:pPr>
              <w:spacing w:after="0"/>
            </w:pPr>
            <w:r>
              <w:rPr>
                <w:rFonts w:ascii="Arial" w:hAnsi="Arial"/>
                <w:color w:val="20242A"/>
                <w:sz w:val="16"/>
              </w:rPr>
              <w:t>True HRV (SDNN/RMSSD)</w:t>
            </w:r>
          </w:p>
        </w:tc>
        <w:tc>
          <w:tcPr>
            <w:tcW w:type="dxa" w:w="2498"/>
            <w:vAlign w:val="center"/>
            <w:tcMar>
              <w:top w:w="70" w:type="dxa"/>
              <w:start w:w="90" w:type="dxa"/>
              <w:bottom w:w="70" w:type="dxa"/>
              <w:end w:w="90" w:type="dxa"/>
            </w:tcMar>
          </w:tcPr>
          <w:p>
            <w:pPr>
              <w:spacing w:after="0"/>
            </w:pPr>
            <w:r>
              <w:rPr>
                <w:rFonts w:ascii="Arial" w:hAnsi="Arial"/>
                <w:color w:val="20242A"/>
                <w:sz w:val="16"/>
              </w:rPr>
              <w:t>No</w:t>
            </w:r>
          </w:p>
        </w:tc>
        <w:tc>
          <w:tcPr>
            <w:tcW w:type="dxa" w:w="2498"/>
            <w:vAlign w:val="center"/>
            <w:tcMar>
              <w:top w:w="70" w:type="dxa"/>
              <w:start w:w="90" w:type="dxa"/>
              <w:bottom w:w="70" w:type="dxa"/>
              <w:end w:w="90" w:type="dxa"/>
            </w:tcMar>
          </w:tcPr>
          <w:p>
            <w:pPr>
              <w:spacing w:after="0"/>
            </w:pPr>
            <w:r>
              <w:rPr>
                <w:rFonts w:ascii="Arial" w:hAnsi="Arial"/>
                <w:color w:val="20242A"/>
                <w:sz w:val="16"/>
              </w:rPr>
              <w:t>RR/NN intervals only</w:t>
            </w:r>
          </w:p>
        </w:tc>
      </w:tr>
      <w:tr>
        <w:trPr>
          <w:cantSplit/>
        </w:trPr>
        <w:tc>
          <w:tcPr>
            <w:tcW w:type="dxa" w:w="2498"/>
            <w:vAlign w:val="center"/>
            <w:tcMar>
              <w:top w:w="70" w:type="dxa"/>
              <w:start w:w="90" w:type="dxa"/>
              <w:bottom w:w="70" w:type="dxa"/>
              <w:end w:w="90" w:type="dxa"/>
            </w:tcMar>
            <w:shd w:fill="F6F8FA"/>
          </w:tcPr>
          <w:p>
            <w:pPr>
              <w:spacing w:after="0"/>
            </w:pPr>
            <w:r>
              <w:rPr>
                <w:rFonts w:ascii="Arial" w:hAnsi="Arial"/>
                <w:color w:val="20242A"/>
                <w:sz w:val="16"/>
              </w:rPr>
              <w:t>P2</w:t>
            </w:r>
          </w:p>
        </w:tc>
        <w:tc>
          <w:tcPr>
            <w:tcW w:type="dxa" w:w="2498"/>
            <w:vAlign w:val="center"/>
            <w:tcMar>
              <w:top w:w="70" w:type="dxa"/>
              <w:start w:w="90" w:type="dxa"/>
              <w:bottom w:w="70" w:type="dxa"/>
              <w:end w:w="90" w:type="dxa"/>
            </w:tcMar>
          </w:tcPr>
          <w:p>
            <w:pPr>
              <w:spacing w:after="0"/>
            </w:pPr>
            <w:r>
              <w:rPr>
                <w:rFonts w:ascii="Arial" w:hAnsi="Arial"/>
                <w:color w:val="20242A"/>
                <w:sz w:val="16"/>
              </w:rPr>
              <w:t>Heart-rate recovery</w:t>
            </w:r>
          </w:p>
        </w:tc>
        <w:tc>
          <w:tcPr>
            <w:tcW w:type="dxa" w:w="2498"/>
            <w:vAlign w:val="center"/>
            <w:tcMar>
              <w:top w:w="70" w:type="dxa"/>
              <w:start w:w="90" w:type="dxa"/>
              <w:bottom w:w="70" w:type="dxa"/>
              <w:end w:w="90" w:type="dxa"/>
            </w:tcMar>
          </w:tcPr>
          <w:p>
            <w:pPr>
              <w:spacing w:after="0"/>
            </w:pPr>
            <w:r>
              <w:rPr>
                <w:rFonts w:ascii="Arial" w:hAnsi="Arial"/>
                <w:color w:val="20242A"/>
                <w:sz w:val="16"/>
              </w:rPr>
              <w:t>Structured exercise only</w:t>
            </w:r>
          </w:p>
        </w:tc>
        <w:tc>
          <w:tcPr>
            <w:tcW w:type="dxa" w:w="2498"/>
            <w:vAlign w:val="center"/>
            <w:tcMar>
              <w:top w:w="70" w:type="dxa"/>
              <w:start w:w="90" w:type="dxa"/>
              <w:bottom w:w="70" w:type="dxa"/>
              <w:end w:w="90" w:type="dxa"/>
            </w:tcMar>
          </w:tcPr>
          <w:p>
            <w:pPr>
              <w:spacing w:after="0"/>
            </w:pPr>
            <w:r>
              <w:rPr>
                <w:rFonts w:ascii="Arial" w:hAnsi="Arial"/>
                <w:color w:val="20242A"/>
                <w:sz w:val="16"/>
              </w:rPr>
              <w:t>Structured exercise only</w:t>
            </w:r>
          </w:p>
        </w:tc>
      </w:tr>
    </w:tbl>
    <w:p>
      <w:pPr>
        <w:spacing w:after="20"/>
      </w:pPr>
    </w:p>
    <w:p>
      <w:pPr>
        <w:keepNext/>
        <w:spacing w:before="200" w:after="140"/>
        <w:pBdr>
          <w:bottom w:val="single" w:sz="12" w:space="3" w:color="14A9B8"/>
        </w:pBdr>
      </w:pPr>
      <w:r>
        <w:rPr>
          <w:rFonts w:ascii="Arial" w:hAnsi="Arial"/>
          <w:b/>
          <w:color w:val="1B2A4A"/>
          <w:sz w:val="32"/>
        </w:rPr>
        <w:t>4. Required Heart-Rate Data Model</w:t>
      </w:r>
    </w:p>
    <w:p>
      <w:pPr>
        <w:spacing w:after="100"/>
      </w:pPr>
      <w:r>
        <w:rPr>
          <w:rFonts w:ascii="Arial" w:hAnsi="Arial"/>
          <w:i w:val="0"/>
          <w:color w:val="20242A"/>
          <w:sz w:val="19"/>
        </w:rPr>
        <w:t>Heart rate is only analytically meaningful when Vitals knows enough about the measurement context to decide whether observations are comparable. Existing records can migrate safely with nullable context fields; unknown-context values remain visible in History but should be excluded from context-specific claims until the user or source provides sufficient metadata.</w:t>
      </w:r>
    </w:p>
    <w:tbl>
      <w:tblPr>
        <w:tblW w:type="auto" w:w="0"/>
        <w:jc w:val="center"/>
        <w:tblLayout w:type="autofit"/>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2498"/>
        <w:gridCol w:w="2498"/>
        <w:gridCol w:w="2498"/>
        <w:gridCol w:w="2498"/>
      </w:tblGrid>
      <w:tr>
        <w:trPr>
          <w:cantSplit/>
          <w:tblHeader w:val="true"/>
        </w:trPr>
        <w:tc>
          <w:tcPr>
            <w:tcW w:type="dxa" w:w="2498"/>
            <w:vAlign w:val="center"/>
            <w:tcMar>
              <w:top w:w="70" w:type="dxa"/>
              <w:start w:w="90" w:type="dxa"/>
              <w:bottom w:w="70" w:type="dxa"/>
              <w:end w:w="90" w:type="dxa"/>
            </w:tcMar>
            <w:shd w:fill="1B2A4A"/>
          </w:tcPr>
          <w:p>
            <w:pPr>
              <w:spacing w:after="0"/>
            </w:pPr>
            <w:r>
              <w:rPr>
                <w:rFonts w:ascii="Arial" w:hAnsi="Arial"/>
                <w:b/>
                <w:color w:val="FFFFFF"/>
                <w:sz w:val="15"/>
              </w:rPr>
              <w:t>Field</w:t>
            </w:r>
          </w:p>
        </w:tc>
        <w:tc>
          <w:tcPr>
            <w:tcW w:type="dxa" w:w="2498"/>
            <w:vAlign w:val="center"/>
            <w:tcMar>
              <w:top w:w="70" w:type="dxa"/>
              <w:start w:w="90" w:type="dxa"/>
              <w:bottom w:w="70" w:type="dxa"/>
              <w:end w:w="90" w:type="dxa"/>
            </w:tcMar>
            <w:shd w:fill="1B2A4A"/>
          </w:tcPr>
          <w:p>
            <w:pPr>
              <w:spacing w:after="0"/>
            </w:pPr>
            <w:r>
              <w:rPr>
                <w:rFonts w:ascii="Arial" w:hAnsi="Arial"/>
                <w:b/>
                <w:color w:val="FFFFFF"/>
                <w:sz w:val="15"/>
              </w:rPr>
              <w:t>Type / example</w:t>
            </w:r>
          </w:p>
        </w:tc>
        <w:tc>
          <w:tcPr>
            <w:tcW w:type="dxa" w:w="2498"/>
            <w:vAlign w:val="center"/>
            <w:tcMar>
              <w:top w:w="70" w:type="dxa"/>
              <w:start w:w="90" w:type="dxa"/>
              <w:bottom w:w="70" w:type="dxa"/>
              <w:end w:w="90" w:type="dxa"/>
            </w:tcMar>
            <w:shd w:fill="1B2A4A"/>
          </w:tcPr>
          <w:p>
            <w:pPr>
              <w:spacing w:after="0"/>
            </w:pPr>
            <w:r>
              <w:rPr>
                <w:rFonts w:ascii="Arial" w:hAnsi="Arial"/>
                <w:b/>
                <w:color w:val="FFFFFF"/>
                <w:sz w:val="15"/>
              </w:rPr>
              <w:t>Required</w:t>
            </w:r>
          </w:p>
        </w:tc>
        <w:tc>
          <w:tcPr>
            <w:tcW w:type="dxa" w:w="2498"/>
            <w:vAlign w:val="center"/>
            <w:tcMar>
              <w:top w:w="70" w:type="dxa"/>
              <w:start w:w="90" w:type="dxa"/>
              <w:bottom w:w="70" w:type="dxa"/>
              <w:end w:w="90" w:type="dxa"/>
            </w:tcMar>
            <w:shd w:fill="1B2A4A"/>
          </w:tcPr>
          <w:p>
            <w:pPr>
              <w:spacing w:after="0"/>
            </w:pPr>
            <w:r>
              <w:rPr>
                <w:rFonts w:ascii="Arial" w:hAnsi="Arial"/>
                <w:b/>
                <w:color w:val="FFFFFF"/>
                <w:sz w:val="15"/>
              </w:rPr>
              <w:t>Purpose</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5"/>
              </w:rPr>
              <w:t>bpm</w:t>
            </w:r>
          </w:p>
        </w:tc>
        <w:tc>
          <w:tcPr>
            <w:tcW w:type="dxa" w:w="2498"/>
            <w:vAlign w:val="center"/>
            <w:tcMar>
              <w:top w:w="70" w:type="dxa"/>
              <w:start w:w="90" w:type="dxa"/>
              <w:bottom w:w="70" w:type="dxa"/>
              <w:end w:w="90" w:type="dxa"/>
            </w:tcMar>
          </w:tcPr>
          <w:p>
            <w:pPr>
              <w:spacing w:after="0"/>
            </w:pPr>
            <w:r>
              <w:rPr>
                <w:rFonts w:ascii="Arial" w:hAnsi="Arial"/>
                <w:color w:val="20242A"/>
                <w:sz w:val="15"/>
              </w:rPr>
              <w:t>integer; 74</w:t>
            </w:r>
          </w:p>
        </w:tc>
        <w:tc>
          <w:tcPr>
            <w:tcW w:type="dxa" w:w="2498"/>
            <w:vAlign w:val="center"/>
            <w:tcMar>
              <w:top w:w="70" w:type="dxa"/>
              <w:start w:w="90" w:type="dxa"/>
              <w:bottom w:w="70" w:type="dxa"/>
              <w:end w:w="90" w:type="dxa"/>
            </w:tcMar>
          </w:tcPr>
          <w:p>
            <w:pPr>
              <w:spacing w:after="0"/>
            </w:pPr>
            <w:r>
              <w:rPr>
                <w:rFonts w:ascii="Arial" w:hAnsi="Arial"/>
                <w:color w:val="20242A"/>
                <w:sz w:val="15"/>
              </w:rPr>
              <w:t>Yes</w:t>
            </w:r>
          </w:p>
        </w:tc>
        <w:tc>
          <w:tcPr>
            <w:tcW w:type="dxa" w:w="2498"/>
            <w:vAlign w:val="center"/>
            <w:tcMar>
              <w:top w:w="70" w:type="dxa"/>
              <w:start w:w="90" w:type="dxa"/>
              <w:bottom w:w="70" w:type="dxa"/>
              <w:end w:w="90" w:type="dxa"/>
            </w:tcMar>
          </w:tcPr>
          <w:p>
            <w:pPr>
              <w:spacing w:after="0"/>
            </w:pPr>
            <w:r>
              <w:rPr>
                <w:rFonts w:ascii="Arial" w:hAnsi="Arial"/>
                <w:color w:val="20242A"/>
                <w:sz w:val="15"/>
              </w:rPr>
              <w:t>Primary heart-rate value.</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5"/>
              </w:rPr>
              <w:t>occurred_at_utc</w:t>
            </w:r>
          </w:p>
        </w:tc>
        <w:tc>
          <w:tcPr>
            <w:tcW w:type="dxa" w:w="2498"/>
            <w:vAlign w:val="center"/>
            <w:tcMar>
              <w:top w:w="70" w:type="dxa"/>
              <w:start w:w="90" w:type="dxa"/>
              <w:bottom w:w="70" w:type="dxa"/>
              <w:end w:w="90" w:type="dxa"/>
            </w:tcMar>
          </w:tcPr>
          <w:p>
            <w:pPr>
              <w:spacing w:after="0"/>
            </w:pPr>
            <w:r>
              <w:rPr>
                <w:rFonts w:ascii="Arial" w:hAnsi="Arial"/>
                <w:color w:val="20242A"/>
                <w:sz w:val="15"/>
              </w:rPr>
              <w:t>timestamp</w:t>
            </w:r>
          </w:p>
        </w:tc>
        <w:tc>
          <w:tcPr>
            <w:tcW w:type="dxa" w:w="2498"/>
            <w:vAlign w:val="center"/>
            <w:tcMar>
              <w:top w:w="70" w:type="dxa"/>
              <w:start w:w="90" w:type="dxa"/>
              <w:bottom w:w="70" w:type="dxa"/>
              <w:end w:w="90" w:type="dxa"/>
            </w:tcMar>
          </w:tcPr>
          <w:p>
            <w:pPr>
              <w:spacing w:after="0"/>
            </w:pPr>
            <w:r>
              <w:rPr>
                <w:rFonts w:ascii="Arial" w:hAnsi="Arial"/>
                <w:color w:val="20242A"/>
                <w:sz w:val="15"/>
              </w:rPr>
              <w:t>Yes</w:t>
            </w:r>
          </w:p>
        </w:tc>
        <w:tc>
          <w:tcPr>
            <w:tcW w:type="dxa" w:w="2498"/>
            <w:vAlign w:val="center"/>
            <w:tcMar>
              <w:top w:w="70" w:type="dxa"/>
              <w:start w:w="90" w:type="dxa"/>
              <w:bottom w:w="70" w:type="dxa"/>
              <w:end w:w="90" w:type="dxa"/>
            </w:tcMar>
          </w:tcPr>
          <w:p>
            <w:pPr>
              <w:spacing w:after="0"/>
            </w:pPr>
            <w:r>
              <w:rPr>
                <w:rFonts w:ascii="Arial" w:hAnsi="Arial"/>
                <w:color w:val="20242A"/>
                <w:sz w:val="15"/>
              </w:rPr>
              <w:t>Canonical ordering/windowing.</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5"/>
              </w:rPr>
              <w:t>local_offset_minutes</w:t>
            </w:r>
          </w:p>
        </w:tc>
        <w:tc>
          <w:tcPr>
            <w:tcW w:type="dxa" w:w="2498"/>
            <w:vAlign w:val="center"/>
            <w:tcMar>
              <w:top w:w="70" w:type="dxa"/>
              <w:start w:w="90" w:type="dxa"/>
              <w:bottom w:w="70" w:type="dxa"/>
              <w:end w:w="90" w:type="dxa"/>
            </w:tcMar>
          </w:tcPr>
          <w:p>
            <w:pPr>
              <w:spacing w:after="0"/>
            </w:pPr>
            <w:r>
              <w:rPr>
                <w:rFonts w:ascii="Arial" w:hAnsi="Arial"/>
                <w:color w:val="20242A"/>
                <w:sz w:val="15"/>
              </w:rPr>
              <w:t>integer</w:t>
            </w:r>
          </w:p>
        </w:tc>
        <w:tc>
          <w:tcPr>
            <w:tcW w:type="dxa" w:w="2498"/>
            <w:vAlign w:val="center"/>
            <w:tcMar>
              <w:top w:w="70" w:type="dxa"/>
              <w:start w:w="90" w:type="dxa"/>
              <w:bottom w:w="70" w:type="dxa"/>
              <w:end w:w="90" w:type="dxa"/>
            </w:tcMar>
          </w:tcPr>
          <w:p>
            <w:pPr>
              <w:spacing w:after="0"/>
            </w:pPr>
            <w:r>
              <w:rPr>
                <w:rFonts w:ascii="Arial" w:hAnsi="Arial"/>
                <w:color w:val="20242A"/>
                <w:sz w:val="15"/>
              </w:rPr>
              <w:t>Yes</w:t>
            </w:r>
          </w:p>
        </w:tc>
        <w:tc>
          <w:tcPr>
            <w:tcW w:type="dxa" w:w="2498"/>
            <w:vAlign w:val="center"/>
            <w:tcMar>
              <w:top w:w="70" w:type="dxa"/>
              <w:start w:w="90" w:type="dxa"/>
              <w:bottom w:w="70" w:type="dxa"/>
              <w:end w:w="90" w:type="dxa"/>
            </w:tcMar>
          </w:tcPr>
          <w:p>
            <w:pPr>
              <w:spacing w:after="0"/>
            </w:pPr>
            <w:r>
              <w:rPr>
                <w:rFonts w:ascii="Arial" w:hAnsi="Arial"/>
                <w:color w:val="20242A"/>
                <w:sz w:val="15"/>
              </w:rPr>
              <w:t>Correct local time-of-day bucketing.</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5"/>
              </w:rPr>
              <w:t>activity_context</w:t>
            </w:r>
          </w:p>
        </w:tc>
        <w:tc>
          <w:tcPr>
            <w:tcW w:type="dxa" w:w="2498"/>
            <w:vAlign w:val="center"/>
            <w:tcMar>
              <w:top w:w="70" w:type="dxa"/>
              <w:start w:w="90" w:type="dxa"/>
              <w:bottom w:w="70" w:type="dxa"/>
              <w:end w:w="90" w:type="dxa"/>
            </w:tcMar>
          </w:tcPr>
          <w:p>
            <w:pPr>
              <w:spacing w:after="0"/>
            </w:pPr>
            <w:r>
              <w:rPr>
                <w:rFonts w:ascii="Arial" w:hAnsi="Arial"/>
                <w:color w:val="20242A"/>
                <w:sz w:val="15"/>
              </w:rPr>
              <w:t>resting / post_activity / during_activity / unknown</w:t>
            </w:r>
          </w:p>
        </w:tc>
        <w:tc>
          <w:tcPr>
            <w:tcW w:type="dxa" w:w="2498"/>
            <w:vAlign w:val="center"/>
            <w:tcMar>
              <w:top w:w="70" w:type="dxa"/>
              <w:start w:w="90" w:type="dxa"/>
              <w:bottom w:w="70" w:type="dxa"/>
              <w:end w:w="90" w:type="dxa"/>
            </w:tcMar>
          </w:tcPr>
          <w:p>
            <w:pPr>
              <w:spacing w:after="0"/>
            </w:pPr>
            <w:r>
              <w:rPr>
                <w:rFonts w:ascii="Arial" w:hAnsi="Arial"/>
                <w:color w:val="20242A"/>
                <w:sz w:val="15"/>
              </w:rPr>
              <w:t>Recommended</w:t>
            </w:r>
          </w:p>
        </w:tc>
        <w:tc>
          <w:tcPr>
            <w:tcW w:type="dxa" w:w="2498"/>
            <w:vAlign w:val="center"/>
            <w:tcMar>
              <w:top w:w="70" w:type="dxa"/>
              <w:start w:w="90" w:type="dxa"/>
              <w:bottom w:w="70" w:type="dxa"/>
              <w:end w:w="90" w:type="dxa"/>
            </w:tcMar>
          </w:tcPr>
          <w:p>
            <w:pPr>
              <w:spacing w:after="0"/>
            </w:pPr>
            <w:r>
              <w:rPr>
                <w:rFonts w:ascii="Arial" w:hAnsi="Arial"/>
                <w:color w:val="20242A"/>
                <w:sz w:val="15"/>
              </w:rPr>
              <w:t>Defines eligibility for resting analysis.</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5"/>
              </w:rPr>
              <w:t>posture</w:t>
            </w:r>
          </w:p>
        </w:tc>
        <w:tc>
          <w:tcPr>
            <w:tcW w:type="dxa" w:w="2498"/>
            <w:vAlign w:val="center"/>
            <w:tcMar>
              <w:top w:w="70" w:type="dxa"/>
              <w:start w:w="90" w:type="dxa"/>
              <w:bottom w:w="70" w:type="dxa"/>
              <w:end w:w="90" w:type="dxa"/>
            </w:tcMar>
          </w:tcPr>
          <w:p>
            <w:pPr>
              <w:spacing w:after="0"/>
            </w:pPr>
            <w:r>
              <w:rPr>
                <w:rFonts w:ascii="Arial" w:hAnsi="Arial"/>
                <w:color w:val="20242A"/>
                <w:sz w:val="15"/>
              </w:rPr>
              <w:t>seated / supine / standing / unknown</w:t>
            </w:r>
          </w:p>
        </w:tc>
        <w:tc>
          <w:tcPr>
            <w:tcW w:type="dxa" w:w="2498"/>
            <w:vAlign w:val="center"/>
            <w:tcMar>
              <w:top w:w="70" w:type="dxa"/>
              <w:start w:w="90" w:type="dxa"/>
              <w:bottom w:w="70" w:type="dxa"/>
              <w:end w:w="90" w:type="dxa"/>
            </w:tcMar>
          </w:tcPr>
          <w:p>
            <w:pPr>
              <w:spacing w:after="0"/>
            </w:pPr>
            <w:r>
              <w:rPr>
                <w:rFonts w:ascii="Arial" w:hAnsi="Arial"/>
                <w:color w:val="20242A"/>
                <w:sz w:val="15"/>
              </w:rPr>
              <w:t>Recommended</w:t>
            </w:r>
          </w:p>
        </w:tc>
        <w:tc>
          <w:tcPr>
            <w:tcW w:type="dxa" w:w="2498"/>
            <w:vAlign w:val="center"/>
            <w:tcMar>
              <w:top w:w="70" w:type="dxa"/>
              <w:start w:w="90" w:type="dxa"/>
              <w:bottom w:w="70" w:type="dxa"/>
              <w:end w:w="90" w:type="dxa"/>
            </w:tcMar>
          </w:tcPr>
          <w:p>
            <w:pPr>
              <w:spacing w:after="0"/>
            </w:pPr>
            <w:r>
              <w:rPr>
                <w:rFonts w:ascii="Arial" w:hAnsi="Arial"/>
                <w:color w:val="20242A"/>
                <w:sz w:val="15"/>
              </w:rPr>
              <w:t>Required for orthostatic and posture-aware comparison.</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5"/>
              </w:rPr>
              <w:t>symptom_tags</w:t>
            </w:r>
          </w:p>
        </w:tc>
        <w:tc>
          <w:tcPr>
            <w:tcW w:type="dxa" w:w="2498"/>
            <w:vAlign w:val="center"/>
            <w:tcMar>
              <w:top w:w="70" w:type="dxa"/>
              <w:start w:w="90" w:type="dxa"/>
              <w:bottom w:w="70" w:type="dxa"/>
              <w:end w:w="90" w:type="dxa"/>
            </w:tcMar>
          </w:tcPr>
          <w:p>
            <w:pPr>
              <w:spacing w:after="0"/>
            </w:pPr>
            <w:r>
              <w:rPr>
                <w:rFonts w:ascii="Arial" w:hAnsi="Arial"/>
                <w:color w:val="20242A"/>
                <w:sz w:val="15"/>
              </w:rPr>
              <w:t>dizziness, palpitations, syncope, dyspnea, fatigue, chest discomfort, other</w:t>
            </w:r>
          </w:p>
        </w:tc>
        <w:tc>
          <w:tcPr>
            <w:tcW w:type="dxa" w:w="2498"/>
            <w:vAlign w:val="center"/>
            <w:tcMar>
              <w:top w:w="70" w:type="dxa"/>
              <w:start w:w="90" w:type="dxa"/>
              <w:bottom w:w="70" w:type="dxa"/>
              <w:end w:w="90" w:type="dxa"/>
            </w:tcMar>
          </w:tcPr>
          <w:p>
            <w:pPr>
              <w:spacing w:after="0"/>
            </w:pPr>
            <w:r>
              <w:rPr>
                <w:rFonts w:ascii="Arial" w:hAnsi="Arial"/>
                <w:color w:val="20242A"/>
                <w:sz w:val="15"/>
              </w:rPr>
              <w:t>Optional</w:t>
            </w:r>
          </w:p>
        </w:tc>
        <w:tc>
          <w:tcPr>
            <w:tcW w:type="dxa" w:w="2498"/>
            <w:vAlign w:val="center"/>
            <w:tcMar>
              <w:top w:w="70" w:type="dxa"/>
              <w:start w:w="90" w:type="dxa"/>
              <w:bottom w:w="70" w:type="dxa"/>
              <w:end w:w="90" w:type="dxa"/>
            </w:tcMar>
          </w:tcPr>
          <w:p>
            <w:pPr>
              <w:spacing w:after="0"/>
            </w:pPr>
            <w:r>
              <w:rPr>
                <w:rFonts w:ascii="Arial" w:hAnsi="Arial"/>
                <w:color w:val="20242A"/>
                <w:sz w:val="15"/>
              </w:rPr>
              <w:t>Enables symptom association.</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5"/>
              </w:rPr>
              <w:t>source_type</w:t>
            </w:r>
          </w:p>
        </w:tc>
        <w:tc>
          <w:tcPr>
            <w:tcW w:type="dxa" w:w="2498"/>
            <w:vAlign w:val="center"/>
            <w:tcMar>
              <w:top w:w="70" w:type="dxa"/>
              <w:start w:w="90" w:type="dxa"/>
              <w:bottom w:w="70" w:type="dxa"/>
              <w:end w:w="90" w:type="dxa"/>
            </w:tcMar>
          </w:tcPr>
          <w:p>
            <w:pPr>
              <w:spacing w:after="0"/>
            </w:pPr>
            <w:r>
              <w:rPr>
                <w:rFonts w:ascii="Arial" w:hAnsi="Arial"/>
                <w:color w:val="20242A"/>
                <w:sz w:val="15"/>
              </w:rPr>
              <w:t>manual / BP_monitor / pulse_oximeter / wearable / imported</w:t>
            </w:r>
          </w:p>
        </w:tc>
        <w:tc>
          <w:tcPr>
            <w:tcW w:type="dxa" w:w="2498"/>
            <w:vAlign w:val="center"/>
            <w:tcMar>
              <w:top w:w="70" w:type="dxa"/>
              <w:start w:w="90" w:type="dxa"/>
              <w:bottom w:w="70" w:type="dxa"/>
              <w:end w:w="90" w:type="dxa"/>
            </w:tcMar>
          </w:tcPr>
          <w:p>
            <w:pPr>
              <w:spacing w:after="0"/>
            </w:pPr>
            <w:r>
              <w:rPr>
                <w:rFonts w:ascii="Arial" w:hAnsi="Arial"/>
                <w:color w:val="20242A"/>
                <w:sz w:val="15"/>
              </w:rPr>
              <w:t>Yes</w:t>
            </w:r>
          </w:p>
        </w:tc>
        <w:tc>
          <w:tcPr>
            <w:tcW w:type="dxa" w:w="2498"/>
            <w:vAlign w:val="center"/>
            <w:tcMar>
              <w:top w:w="70" w:type="dxa"/>
              <w:start w:w="90" w:type="dxa"/>
              <w:bottom w:w="70" w:type="dxa"/>
              <w:end w:w="90" w:type="dxa"/>
            </w:tcMar>
          </w:tcPr>
          <w:p>
            <w:pPr>
              <w:spacing w:after="0"/>
            </w:pPr>
            <w:r>
              <w:rPr>
                <w:rFonts w:ascii="Arial" w:hAnsi="Arial"/>
                <w:color w:val="20242A"/>
                <w:sz w:val="15"/>
              </w:rPr>
              <w:t>Provenance and capability gating.</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5"/>
              </w:rPr>
              <w:t>measurement_event_id</w:t>
            </w:r>
          </w:p>
        </w:tc>
        <w:tc>
          <w:tcPr>
            <w:tcW w:type="dxa" w:w="2498"/>
            <w:vAlign w:val="center"/>
            <w:tcMar>
              <w:top w:w="70" w:type="dxa"/>
              <w:start w:w="90" w:type="dxa"/>
              <w:bottom w:w="70" w:type="dxa"/>
              <w:end w:w="90" w:type="dxa"/>
            </w:tcMar>
          </w:tcPr>
          <w:p>
            <w:pPr>
              <w:spacing w:after="0"/>
            </w:pPr>
            <w:r>
              <w:rPr>
                <w:rFonts w:ascii="Arial" w:hAnsi="Arial"/>
                <w:color w:val="20242A"/>
                <w:sz w:val="15"/>
              </w:rPr>
              <w:t>UUID</w:t>
            </w:r>
          </w:p>
        </w:tc>
        <w:tc>
          <w:tcPr>
            <w:tcW w:type="dxa" w:w="2498"/>
            <w:vAlign w:val="center"/>
            <w:tcMar>
              <w:top w:w="70" w:type="dxa"/>
              <w:start w:w="90" w:type="dxa"/>
              <w:bottom w:w="70" w:type="dxa"/>
              <w:end w:w="90" w:type="dxa"/>
            </w:tcMar>
          </w:tcPr>
          <w:p>
            <w:pPr>
              <w:spacing w:after="0"/>
            </w:pPr>
            <w:r>
              <w:rPr>
                <w:rFonts w:ascii="Arial" w:hAnsi="Arial"/>
                <w:color w:val="20242A"/>
                <w:sz w:val="15"/>
              </w:rPr>
              <w:t>Recommended</w:t>
            </w:r>
          </w:p>
        </w:tc>
        <w:tc>
          <w:tcPr>
            <w:tcW w:type="dxa" w:w="2498"/>
            <w:vAlign w:val="center"/>
            <w:tcMar>
              <w:top w:w="70" w:type="dxa"/>
              <w:start w:w="90" w:type="dxa"/>
              <w:bottom w:w="70" w:type="dxa"/>
              <w:end w:w="90" w:type="dxa"/>
            </w:tcMar>
          </w:tcPr>
          <w:p>
            <w:pPr>
              <w:spacing w:after="0"/>
            </w:pPr>
            <w:r>
              <w:rPr>
                <w:rFonts w:ascii="Arial" w:hAnsi="Arial"/>
                <w:color w:val="20242A"/>
                <w:sz w:val="15"/>
              </w:rPr>
              <w:t>Links HR with BP, SpO2, temperature, weight captured together.</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5"/>
              </w:rPr>
              <w:t>device_irregular_pulse_flag</w:t>
            </w:r>
          </w:p>
        </w:tc>
        <w:tc>
          <w:tcPr>
            <w:tcW w:type="dxa" w:w="2498"/>
            <w:vAlign w:val="center"/>
            <w:tcMar>
              <w:top w:w="70" w:type="dxa"/>
              <w:start w:w="90" w:type="dxa"/>
              <w:bottom w:w="70" w:type="dxa"/>
              <w:end w:w="90" w:type="dxa"/>
            </w:tcMar>
          </w:tcPr>
          <w:p>
            <w:pPr>
              <w:spacing w:after="0"/>
            </w:pPr>
            <w:r>
              <w:rPr>
                <w:rFonts w:ascii="Arial" w:hAnsi="Arial"/>
                <w:color w:val="20242A"/>
                <w:sz w:val="15"/>
              </w:rPr>
              <w:t>bool?</w:t>
            </w:r>
          </w:p>
        </w:tc>
        <w:tc>
          <w:tcPr>
            <w:tcW w:type="dxa" w:w="2498"/>
            <w:vAlign w:val="center"/>
            <w:tcMar>
              <w:top w:w="70" w:type="dxa"/>
              <w:start w:w="90" w:type="dxa"/>
              <w:bottom w:w="70" w:type="dxa"/>
              <w:end w:w="90" w:type="dxa"/>
            </w:tcMar>
          </w:tcPr>
          <w:p>
            <w:pPr>
              <w:spacing w:after="0"/>
            </w:pPr>
            <w:r>
              <w:rPr>
                <w:rFonts w:ascii="Arial" w:hAnsi="Arial"/>
                <w:color w:val="20242A"/>
                <w:sz w:val="15"/>
              </w:rPr>
              <w:t>Optional</w:t>
            </w:r>
          </w:p>
        </w:tc>
        <w:tc>
          <w:tcPr>
            <w:tcW w:type="dxa" w:w="2498"/>
            <w:vAlign w:val="center"/>
            <w:tcMar>
              <w:top w:w="70" w:type="dxa"/>
              <w:start w:w="90" w:type="dxa"/>
              <w:bottom w:w="70" w:type="dxa"/>
              <w:end w:w="90" w:type="dxa"/>
            </w:tcMar>
          </w:tcPr>
          <w:p>
            <w:pPr>
              <w:spacing w:after="0"/>
            </w:pPr>
            <w:r>
              <w:rPr>
                <w:rFonts w:ascii="Arial" w:hAnsi="Arial"/>
                <w:color w:val="20242A"/>
                <w:sz w:val="15"/>
              </w:rPr>
              <w:t>Preserve device-supplied flag; do not infer from BPM.</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5"/>
              </w:rPr>
              <w:t>notes</w:t>
            </w:r>
          </w:p>
        </w:tc>
        <w:tc>
          <w:tcPr>
            <w:tcW w:type="dxa" w:w="2498"/>
            <w:vAlign w:val="center"/>
            <w:tcMar>
              <w:top w:w="70" w:type="dxa"/>
              <w:start w:w="90" w:type="dxa"/>
              <w:bottom w:w="70" w:type="dxa"/>
              <w:end w:w="90" w:type="dxa"/>
            </w:tcMar>
          </w:tcPr>
          <w:p>
            <w:pPr>
              <w:spacing w:after="0"/>
            </w:pPr>
            <w:r>
              <w:rPr>
                <w:rFonts w:ascii="Arial" w:hAnsi="Arial"/>
                <w:color w:val="20242A"/>
                <w:sz w:val="15"/>
              </w:rPr>
              <w:t>text</w:t>
            </w:r>
          </w:p>
        </w:tc>
        <w:tc>
          <w:tcPr>
            <w:tcW w:type="dxa" w:w="2498"/>
            <w:vAlign w:val="center"/>
            <w:tcMar>
              <w:top w:w="70" w:type="dxa"/>
              <w:start w:w="90" w:type="dxa"/>
              <w:bottom w:w="70" w:type="dxa"/>
              <w:end w:w="90" w:type="dxa"/>
            </w:tcMar>
          </w:tcPr>
          <w:p>
            <w:pPr>
              <w:spacing w:after="0"/>
            </w:pPr>
            <w:r>
              <w:rPr>
                <w:rFonts w:ascii="Arial" w:hAnsi="Arial"/>
                <w:color w:val="20242A"/>
                <w:sz w:val="15"/>
              </w:rPr>
              <w:t>Optional</w:t>
            </w:r>
          </w:p>
        </w:tc>
        <w:tc>
          <w:tcPr>
            <w:tcW w:type="dxa" w:w="2498"/>
            <w:vAlign w:val="center"/>
            <w:tcMar>
              <w:top w:w="70" w:type="dxa"/>
              <w:start w:w="90" w:type="dxa"/>
              <w:bottom w:w="70" w:type="dxa"/>
              <w:end w:w="90" w:type="dxa"/>
            </w:tcMar>
          </w:tcPr>
          <w:p>
            <w:pPr>
              <w:spacing w:after="0"/>
            </w:pPr>
            <w:r>
              <w:rPr>
                <w:rFonts w:ascii="Arial" w:hAnsi="Arial"/>
                <w:color w:val="20242A"/>
                <w:sz w:val="15"/>
              </w:rPr>
              <w:t>Clinician/patient context.</w:t>
            </w:r>
          </w:p>
        </w:tc>
      </w:tr>
      <w:tr>
        <w:trPr>
          <w:cantSplit/>
        </w:trPr>
        <w:tc>
          <w:tcPr>
            <w:tcW w:type="dxa" w:w="2498"/>
            <w:vAlign w:val="center"/>
            <w:tcMar>
              <w:top w:w="70" w:type="dxa"/>
              <w:start w:w="90" w:type="dxa"/>
              <w:bottom w:w="70" w:type="dxa"/>
              <w:end w:w="90" w:type="dxa"/>
            </w:tcMar>
          </w:tcPr>
          <w:p>
            <w:pPr>
              <w:spacing w:after="0"/>
            </w:pPr>
            <w:r>
              <w:rPr>
                <w:rFonts w:ascii="Arial" w:hAnsi="Arial"/>
                <w:color w:val="20242A"/>
                <w:sz w:val="15"/>
              </w:rPr>
              <w:t>is_invalidated</w:t>
            </w:r>
          </w:p>
        </w:tc>
        <w:tc>
          <w:tcPr>
            <w:tcW w:type="dxa" w:w="2498"/>
            <w:vAlign w:val="center"/>
            <w:tcMar>
              <w:top w:w="70" w:type="dxa"/>
              <w:start w:w="90" w:type="dxa"/>
              <w:bottom w:w="70" w:type="dxa"/>
              <w:end w:w="90" w:type="dxa"/>
            </w:tcMar>
          </w:tcPr>
          <w:p>
            <w:pPr>
              <w:spacing w:after="0"/>
            </w:pPr>
            <w:r>
              <w:rPr>
                <w:rFonts w:ascii="Arial" w:hAnsi="Arial"/>
                <w:color w:val="20242A"/>
                <w:sz w:val="15"/>
              </w:rPr>
              <w:t>bool</w:t>
            </w:r>
          </w:p>
        </w:tc>
        <w:tc>
          <w:tcPr>
            <w:tcW w:type="dxa" w:w="2498"/>
            <w:vAlign w:val="center"/>
            <w:tcMar>
              <w:top w:w="70" w:type="dxa"/>
              <w:start w:w="90" w:type="dxa"/>
              <w:bottom w:w="70" w:type="dxa"/>
              <w:end w:w="90" w:type="dxa"/>
            </w:tcMar>
          </w:tcPr>
          <w:p>
            <w:pPr>
              <w:spacing w:after="0"/>
            </w:pPr>
            <w:r>
              <w:rPr>
                <w:rFonts w:ascii="Arial" w:hAnsi="Arial"/>
                <w:color w:val="20242A"/>
                <w:sz w:val="15"/>
              </w:rPr>
              <w:t>Yes</w:t>
            </w:r>
          </w:p>
        </w:tc>
        <w:tc>
          <w:tcPr>
            <w:tcW w:type="dxa" w:w="2498"/>
            <w:vAlign w:val="center"/>
            <w:tcMar>
              <w:top w:w="70" w:type="dxa"/>
              <w:start w:w="90" w:type="dxa"/>
              <w:bottom w:w="70" w:type="dxa"/>
              <w:end w:w="90" w:type="dxa"/>
            </w:tcMar>
          </w:tcPr>
          <w:p>
            <w:pPr>
              <w:spacing w:after="0"/>
            </w:pPr>
            <w:r>
              <w:rPr>
                <w:rFonts w:ascii="Arial" w:hAnsi="Arial"/>
                <w:color w:val="20242A"/>
                <w:sz w:val="15"/>
              </w:rPr>
              <w:t>Exclude known-bad readings without destructive deletion.</w:t>
            </w:r>
          </w:p>
        </w:tc>
      </w:tr>
    </w:tbl>
    <w:p>
      <w:pPr>
        <w:spacing w:after="20"/>
      </w:pPr>
    </w:p>
    <w:p>
      <w:pPr>
        <w:keepNext/>
        <w:spacing w:before="140" w:after="100"/>
      </w:pPr>
      <w:r>
        <w:rPr>
          <w:rFonts w:ascii="Arial" w:hAnsi="Arial"/>
          <w:b/>
          <w:color w:val="1B2A4A"/>
          <w:sz w:val="24"/>
        </w:rPr>
        <w:t>4.1 Comparable resting set</w:t>
      </w:r>
    </w:p>
    <w:p>
      <w:pPr>
        <w:spacing w:after="100"/>
      </w:pPr>
      <w:r>
        <w:rPr>
          <w:rFonts w:ascii="Arial" w:hAnsi="Arial"/>
          <w:i w:val="0"/>
          <w:color w:val="20242A"/>
          <w:sz w:val="19"/>
        </w:rPr>
        <w:t>Default P0 resting analyses should use observations where activity_context = resting and is_invalidated = false. Standing observations should be excluded from ordinary resting trend unless explicitly requested; they belong to posture/orthostatic analysis. Unknown-context readings may be shown as raw history but should not drive resting threshold or baseline claims.</w:t>
      </w:r>
    </w:p>
    <w:p>
      <w:pPr>
        <w:spacing w:after="100"/>
      </w:pPr>
      <w:r>
        <w:rPr>
          <w:rFonts w:ascii="Arial" w:hAnsi="Arial"/>
          <w:i w:val="0"/>
          <w:color w:val="20242A"/>
          <w:sz w:val="19"/>
        </w:rPr>
        <w:t>If the source cannot distinguish rest from activity, Vitals should ask the user to confirm context during entry rather than silently assuming every BPM value is resting.</w:t>
      </w:r>
    </w:p>
    <w:p>
      <w:pPr>
        <w:keepNext/>
        <w:spacing w:before="140" w:after="100"/>
      </w:pPr>
      <w:r>
        <w:rPr>
          <w:rFonts w:ascii="Arial" w:hAnsi="Arial"/>
          <w:b/>
          <w:color w:val="1B2A4A"/>
          <w:sz w:val="24"/>
        </w:rPr>
        <w:t>4.2 Measurement-event linkage</w:t>
      </w:r>
    </w:p>
    <w:p>
      <w:pPr>
        <w:spacing w:after="100"/>
      </w:pPr>
      <w:r>
        <w:rPr>
          <w:rFonts w:ascii="Arial" w:hAnsi="Arial"/>
          <w:i w:val="0"/>
          <w:color w:val="20242A"/>
          <w:sz w:val="19"/>
        </w:rPr>
        <w:t>A single daily Vitals entry should generate or reuse one measurement_event_id for BP, heart rate, SpO2, temperature, and weight. Cross-vital analysis should prefer exact event linkage. A nearest-timestamp fallback is allowed only when values are within 2 minutes and belong to the same patient.</w:t>
      </w:r>
    </w:p>
    <w:p>
      <w:pPr>
        <w:keepNext/>
        <w:spacing w:before="200" w:after="140"/>
        <w:pBdr>
          <w:bottom w:val="single" w:sz="12" w:space="3" w:color="14A9B8"/>
        </w:pBdr>
      </w:pPr>
      <w:r>
        <w:rPr>
          <w:rFonts w:ascii="Arial" w:hAnsi="Arial"/>
          <w:b/>
          <w:color w:val="1B2A4A"/>
          <w:sz w:val="32"/>
        </w:rPr>
        <w:t>5. Mathematical Conventions</w:t>
      </w:r>
    </w:p>
    <w:p>
      <w:pPr>
        <w:spacing w:after="100"/>
      </w:pPr>
      <w:r>
        <w:rPr>
          <w:rFonts w:ascii="Arial" w:hAnsi="Arial"/>
          <w:i w:val="0"/>
          <w:color w:val="20242A"/>
          <w:sz w:val="19"/>
        </w:rPr>
        <w:t>Unless otherwise stated, y_i is heart rate in BPM and x_i is elapsed time in days from the start of the selected analysis window. Calculations use double precision internally. No missing heart-rate values are imputed for spot-reading analysis.</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Windowing</w:t>
            </w:r>
          </w:p>
        </w:tc>
        <w:tc>
          <w:tcPr>
            <w:tcW w:type="dxa" w:w="7992"/>
            <w:tcMar>
              <w:top w:w="70" w:type="dxa"/>
              <w:start w:w="90" w:type="dxa"/>
              <w:bottom w:w="70" w:type="dxa"/>
              <w:end w:w="90" w:type="dxa"/>
            </w:tcMar>
            <w:vAlign w:val="top"/>
          </w:tcPr>
          <w:p>
            <w:pPr>
              <w:spacing w:after="0"/>
            </w:pPr>
            <w:r>
              <w:rPr>
                <w:rFonts w:ascii="Arial" w:hAnsi="Arial"/>
                <w:color w:val="20242A"/>
                <w:sz w:val="17"/>
              </w:rPr>
              <w:t>Use [start, end] inclusive by timestamp. The UI may offer 7-, 14-, 30-, and 60-day windows.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Current value</w:t>
            </w:r>
          </w:p>
        </w:tc>
        <w:tc>
          <w:tcPr>
            <w:tcW w:type="dxa" w:w="7992"/>
            <w:tcMar>
              <w:top w:w="70" w:type="dxa"/>
              <w:start w:w="90" w:type="dxa"/>
              <w:bottom w:w="70" w:type="dxa"/>
              <w:end w:w="90" w:type="dxa"/>
            </w:tcMar>
            <w:vAlign w:val="top"/>
          </w:tcPr>
          <w:p>
            <w:pPr>
              <w:spacing w:after="0"/>
            </w:pPr>
            <w:r>
              <w:rPr>
                <w:rFonts w:ascii="Arial" w:hAnsi="Arial"/>
                <w:color w:val="20242A"/>
                <w:sz w:val="17"/>
              </w:rPr>
              <w:t>Latest non-invalidated observation by occurred_at_utc.</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Display rounding</w:t>
            </w:r>
          </w:p>
        </w:tc>
        <w:tc>
          <w:tcPr>
            <w:tcW w:type="dxa" w:w="7992"/>
            <w:tcMar>
              <w:top w:w="70" w:type="dxa"/>
              <w:start w:w="90" w:type="dxa"/>
              <w:bottom w:w="70" w:type="dxa"/>
              <w:end w:w="90" w:type="dxa"/>
            </w:tcMar>
            <w:vAlign w:val="top"/>
          </w:tcPr>
          <w:p>
            <w:pPr>
              <w:spacing w:after="0"/>
            </w:pPr>
            <w:r>
              <w:rPr>
                <w:rFonts w:ascii="Arial" w:hAnsi="Arial"/>
                <w:color w:val="20242A"/>
                <w:sz w:val="17"/>
              </w:rPr>
              <w:t>Current BPM: integer. Means/medians: 1 decimal in clinician view, nearest integer on compact cards. Slopes: 0.1 BPM/day. Percentages: 1 decimal.</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Duplicate handling</w:t>
            </w:r>
          </w:p>
        </w:tc>
        <w:tc>
          <w:tcPr>
            <w:tcW w:type="dxa" w:w="7992"/>
            <w:tcMar>
              <w:top w:w="70" w:type="dxa"/>
              <w:start w:w="90" w:type="dxa"/>
              <w:bottom w:w="70" w:type="dxa"/>
              <w:end w:w="90" w:type="dxa"/>
            </w:tcMar>
            <w:vAlign w:val="top"/>
          </w:tcPr>
          <w:p>
            <w:pPr>
              <w:spacing w:after="0"/>
            </w:pPr>
            <w:r>
              <w:rPr>
                <w:rFonts w:ascii="Arial" w:hAnsi="Arial"/>
                <w:color w:val="20242A"/>
                <w:sz w:val="17"/>
              </w:rPr>
              <w:t>Do not average independent readings automatically. If a device/source explicitly identifies repeats as one measurement session, retain all raw values and optionally expose a source-derived final value.</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Distinct-day count</w:t>
            </w:r>
          </w:p>
        </w:tc>
        <w:tc>
          <w:tcPr>
            <w:tcW w:type="dxa" w:w="7992"/>
            <w:tcMar>
              <w:top w:w="70" w:type="dxa"/>
              <w:start w:w="90" w:type="dxa"/>
              <w:bottom w:w="70" w:type="dxa"/>
              <w:end w:w="90" w:type="dxa"/>
            </w:tcMar>
            <w:vAlign w:val="top"/>
          </w:tcPr>
          <w:p>
            <w:pPr>
              <w:spacing w:after="0"/>
            </w:pPr>
            <w:r>
              <w:rPr>
                <w:rFonts w:ascii="Arial" w:hAnsi="Arial"/>
                <w:color w:val="20242A"/>
                <w:sz w:val="17"/>
              </w:rPr>
              <w:t>Count unique local calendar dates represented by eligible readings.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No interpolation</w:t>
            </w:r>
          </w:p>
        </w:tc>
        <w:tc>
          <w:tcPr>
            <w:tcW w:type="dxa" w:w="7992"/>
            <w:tcMar>
              <w:top w:w="70" w:type="dxa"/>
              <w:start w:w="90" w:type="dxa"/>
              <w:bottom w:w="70" w:type="dxa"/>
              <w:end w:w="90" w:type="dxa"/>
            </w:tcMar>
            <w:vAlign w:val="top"/>
          </w:tcPr>
          <w:p>
            <w:pPr>
              <w:spacing w:after="0"/>
            </w:pPr>
            <w:r>
              <w:rPr>
                <w:rFonts w:ascii="Arial" w:hAnsi="Arial"/>
                <w:color w:val="20242A"/>
                <w:sz w:val="17"/>
              </w:rPr>
              <w:t>Spot readings are observations, not a continuous waveform. Never infer unobserved duration above/below a threshold from sparse data.</w:t>
            </w:r>
          </w:p>
        </w:tc>
      </w:tr>
    </w:tbl>
    <w:p>
      <w:pPr>
        <w:spacing w:after="20"/>
      </w:pPr>
    </w:p>
    <w:p>
      <w:pPr>
        <w:keepNext/>
        <w:spacing w:before="200" w:after="140"/>
        <w:pBdr>
          <w:bottom w:val="single" w:sz="12" w:space="3" w:color="14A9B8"/>
        </w:pBdr>
      </w:pPr>
      <w:r>
        <w:rPr>
          <w:rFonts w:ascii="Arial" w:hAnsi="Arial"/>
          <w:b/>
          <w:color w:val="1B2A4A"/>
          <w:sz w:val="32"/>
        </w:rPr>
        <w:t>6. P0 Analysis Sets - Spot / Resting Measurements</w:t>
      </w:r>
    </w:p>
    <w:p>
      <w:pPr>
        <w:spacing w:after="100"/>
      </w:pPr>
      <w:r>
        <w:rPr>
          <w:rFonts w:ascii="Arial" w:hAnsi="Arial"/>
          <w:i w:val="0"/>
          <w:color w:val="20242A"/>
          <w:sz w:val="19"/>
        </w:rPr>
        <w:t>The following analysis sets should be implemented first. Proposed sample gates are engineering defaults for product stability and are not clinical diagnostic criteria.</w:t>
      </w:r>
    </w:p>
    <w:p>
      <w:pPr>
        <w:keepNext/>
        <w:spacing w:before="140" w:after="100"/>
      </w:pPr>
      <w:r>
        <w:rPr>
          <w:rFonts w:ascii="Arial" w:hAnsi="Arial"/>
          <w:b/>
          <w:color w:val="1B2A4A"/>
          <w:sz w:val="24"/>
        </w:rPr>
        <w:t>6.1. Snapshot and Measurement Context</w:t>
      </w:r>
    </w:p>
    <w:p>
      <w:pPr>
        <w:spacing w:after="80"/>
      </w:pPr>
      <w:r>
        <w:rPr>
          <w:rFonts w:ascii="Arial" w:hAnsi="Arial"/>
          <w:b/>
          <w:color w:val="FFFFFF"/>
          <w:sz w:val="16"/>
          <w:shd w:fill="1B2A4A"/>
        </w:rPr>
        <w:t>P0 - Ship first</w:t>
      </w:r>
      <w:r>
        <w:rPr>
          <w:rFonts w:ascii="Arial" w:hAnsi="Arial"/>
          <w:b/>
          <w:color w:val="0E7484"/>
          <w:sz w:val="16"/>
        </w:rPr>
        <w:t xml:space="preserve">   Spot + dense sources</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Provide the most recent heart-rate observation with enough context for a physician to interpret what the number represents.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Latest valid heart-rate observation; activity context; posture; symptoms; source; timestamp; linked measurement event.</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latest = argmax_t(reading_i) over valid observations.</w:t>
            </w:r>
            <w:r>
              <w:br/>
            </w:r>
            <w:r>
              <w:rPr>
                <w:rFonts w:ascii="Arial" w:hAnsi="Arial"/>
                <w:color w:val="20242A"/>
                <w:sz w:val="17"/>
              </w:rPr>
              <w:t>No statistical transformation is applied to the latest value.</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One valid observation.</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BPM, timestamp, resting/activity context, posture, source, symptom tags, linked BP/SpO2/temperature when present.</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"74 BPM, resting/seated, Sep 12 at 7:14 AM."</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Do not attach a diagnostic label to a single rate. If context is unknown, say so explicitly.</w:t>
            </w:r>
          </w:p>
        </w:tc>
      </w:tr>
    </w:tbl>
    <w:p>
      <w:pPr>
        <w:spacing w:after="20"/>
      </w:pPr>
    </w:p>
    <w:p>
      <w:pPr>
        <w:keepNext/>
        <w:spacing w:before="140" w:after="100"/>
      </w:pPr>
      <w:r>
        <w:rPr>
          <w:rFonts w:ascii="Arial" w:hAnsi="Arial"/>
          <w:b/>
          <w:color w:val="1B2A4A"/>
          <w:sz w:val="24"/>
        </w:rPr>
        <w:t>6.2. Resting Central Tendency and Range</w:t>
      </w:r>
    </w:p>
    <w:p>
      <w:pPr>
        <w:spacing w:after="80"/>
      </w:pPr>
      <w:r>
        <w:rPr>
          <w:rFonts w:ascii="Arial" w:hAnsi="Arial"/>
          <w:b/>
          <w:color w:val="FFFFFF"/>
          <w:sz w:val="16"/>
          <w:shd w:fill="1B2A4A"/>
        </w:rPr>
        <w:t>P0 - Ship first</w:t>
      </w:r>
      <w:r>
        <w:rPr>
          <w:rFonts w:ascii="Arial" w:hAnsi="Arial"/>
          <w:b/>
          <w:color w:val="0E7484"/>
          <w:sz w:val="16"/>
        </w:rPr>
        <w:t xml:space="preserve">   Comparable resting readings</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Summarize the patient's observed resting-rate level over a selected window while preserving the distribution.</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Eligible resting BPM values y_1...y_n in the selected window.</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Arithmetic mean: y_bar = (1/n) * Σ y_i</w:t>
            </w:r>
            <w:r>
              <w:br/>
            </w:r>
            <w:r>
              <w:rPr>
                <w:rFonts w:ascii="Arial" w:hAnsi="Arial"/>
                <w:color w:val="20242A"/>
                <w:sz w:val="17"/>
              </w:rPr>
              <w:t>Median: sort(y); odd n -&gt; middle value; even n -&gt; average of two middle values.</w:t>
            </w:r>
            <w:r>
              <w:br/>
            </w:r>
            <w:r>
              <w:rPr>
                <w:rFonts w:ascii="Arial" w:hAnsi="Arial"/>
                <w:color w:val="20242A"/>
                <w:sz w:val="17"/>
              </w:rPr>
              <w:t>Minimum: min(y_i)</w:t>
            </w:r>
            <w:r>
              <w:br/>
            </w:r>
            <w:r>
              <w:rPr>
                <w:rFonts w:ascii="Arial" w:hAnsi="Arial"/>
                <w:color w:val="20242A"/>
                <w:sz w:val="17"/>
              </w:rPr>
              <w:t>Maximum: max(y_i)</w:t>
            </w:r>
            <w:r>
              <w:br/>
            </w:r>
            <w:r>
              <w:rPr>
                <w:rFonts w:ascii="Arial" w:hAnsi="Arial"/>
                <w:color w:val="20242A"/>
                <w:sz w:val="17"/>
              </w:rPr>
              <w:t>Range: max(y_i) - min(y_i)</w:t>
            </w:r>
            <w:r>
              <w:rPr>
                <w:rFonts w:ascii="Arial" w:hAnsi="Arial"/>
                <w:color w:val="20242A"/>
                <w:sz w:val="17"/>
              </w:rPr>
              <w:t xml:space="preserve"> [8]</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Descriptive summary: n &gt;= 3 eligible readings across &gt;= 3 distinct local dates. Latest value remains available below this gate.</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n, distinct days, mean, median, minimum, maximum, range for 7/14/30/60-day windows.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"30-day resting average 72.4 BPM; median 71 BPM; observed range 58-94 BPM."</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Mean is familiar; median is more resistant to isolated extremes and is preferred for personal-baseline comparisons.</w:t>
            </w:r>
          </w:p>
        </w:tc>
      </w:tr>
    </w:tbl>
    <w:p>
      <w:pPr>
        <w:spacing w:after="20"/>
      </w:pPr>
    </w:p>
    <w:p>
      <w:pPr>
        <w:keepNext/>
        <w:spacing w:before="140" w:after="100"/>
      </w:pPr>
      <w:r>
        <w:rPr>
          <w:rFonts w:ascii="Arial" w:hAnsi="Arial"/>
          <w:b/>
          <w:color w:val="1B2A4A"/>
          <w:sz w:val="24"/>
        </w:rPr>
        <w:t>6.3. Between-Reading Dispersion</w:t>
      </w:r>
    </w:p>
    <w:p>
      <w:pPr>
        <w:spacing w:after="80"/>
      </w:pPr>
      <w:r>
        <w:rPr>
          <w:rFonts w:ascii="Arial" w:hAnsi="Arial"/>
          <w:b/>
          <w:color w:val="FFFFFF"/>
          <w:sz w:val="16"/>
          <w:shd w:fill="1B2A4A"/>
        </w:rPr>
        <w:t>P0 - Ship first</w:t>
      </w:r>
      <w:r>
        <w:rPr>
          <w:rFonts w:ascii="Arial" w:hAnsi="Arial"/>
          <w:b/>
          <w:color w:val="0E7484"/>
          <w:sz w:val="16"/>
        </w:rPr>
        <w:t xml:space="preserve">   Comparable resting readings</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Quantify how spread out spot resting-rate observations are without mislabeling the result as beat-to-beat HRV.</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Eligible resting BPM values in the selected window.</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Sample SD: s = sqrt[ Σ(y_i - y_bar)^2 / (n - 1) ]</w:t>
            </w:r>
            <w:r>
              <w:br/>
            </w:r>
            <w:r>
              <w:rPr>
                <w:rFonts w:ascii="Arial" w:hAnsi="Arial"/>
                <w:color w:val="20242A"/>
                <w:sz w:val="17"/>
              </w:rPr>
              <w:t>IQR = Q3 - Q1, using linear percentile interpolation: h=(n-1)p; Q(p)=y_floor(h)+(h-floor(h))*(y_ceil(h)-y_floor(h)).</w:t>
            </w:r>
            <w:r>
              <w:br/>
            </w:r>
            <w:r>
              <w:rPr>
                <w:rFonts w:ascii="Arial" w:hAnsi="Arial"/>
                <w:color w:val="20242A"/>
                <w:sz w:val="17"/>
              </w:rPr>
              <w:t>Optional descriptive CV: CV_spot = 100 * s / y_bar.</w:t>
            </w:r>
            <w:r>
              <w:rPr>
                <w:rFonts w:ascii="Arial" w:hAnsi="Arial"/>
                <w:color w:val="20242A"/>
                <w:sz w:val="17"/>
              </w:rPr>
              <w:t xml:space="preserve"> [8]</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n &gt;= 5 for SD/IQR display. CV_spot may be retained internally but should not be labeled HRV.</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Sample SD, IQR, range, optional CV_spot, plus comparison with the prior equal-length period.</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"Resting readings were more spread out this month: SD 8.2 BPM vs 5.1 BPM in the prior month."</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Avoid universal "good/bad variability" thresholds for sparse spot readings. Show the statistic and longitudinal change rather than diagnosing autonomic/rhythm abnormalities.</w:t>
            </w:r>
          </w:p>
        </w:tc>
      </w:tr>
    </w:tbl>
    <w:p>
      <w:pPr>
        <w:spacing w:after="20"/>
      </w:pPr>
    </w:p>
    <w:p>
      <w:pPr>
        <w:keepNext/>
        <w:spacing w:before="140" w:after="100"/>
      </w:pPr>
      <w:r>
        <w:rPr>
          <w:rFonts w:ascii="Arial" w:hAnsi="Arial"/>
          <w:b/>
          <w:color w:val="1B2A4A"/>
          <w:sz w:val="24"/>
        </w:rPr>
        <w:t>6.4. Resting Trend: Ordinary Least Squares</w:t>
      </w:r>
    </w:p>
    <w:p>
      <w:pPr>
        <w:spacing w:after="80"/>
      </w:pPr>
      <w:r>
        <w:rPr>
          <w:rFonts w:ascii="Arial" w:hAnsi="Arial"/>
          <w:b/>
          <w:color w:val="FFFFFF"/>
          <w:sz w:val="16"/>
          <w:shd w:fill="1B2A4A"/>
        </w:rPr>
        <w:t>P0 - Ship first</w:t>
      </w:r>
      <w:r>
        <w:rPr>
          <w:rFonts w:ascii="Arial" w:hAnsi="Arial"/>
          <w:b/>
          <w:color w:val="0E7484"/>
          <w:sz w:val="16"/>
        </w:rPr>
        <w:t xml:space="preserve">   Comparable resting readings</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Measure the direction and magnitude of longitudinal change in resting heart rate using a reproducible linear model.</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Eligible resting readings (x_i days, y_i BPM) in one analysis window.</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Slope: b1 = Σ[(x_i-x_bar)(y_i-y_bar)] / Σ[(x_i-x_bar)^2]</w:t>
            </w:r>
            <w:r>
              <w:br/>
            </w:r>
            <w:r>
              <w:rPr>
                <w:rFonts w:ascii="Arial" w:hAnsi="Arial"/>
                <w:color w:val="20242A"/>
                <w:sz w:val="17"/>
              </w:rPr>
              <w:t>Intercept: b0 = y_bar - b1*x_bar</w:t>
            </w:r>
            <w:r>
              <w:br/>
            </w:r>
            <w:r>
              <w:rPr>
                <w:rFonts w:ascii="Arial" w:hAnsi="Arial"/>
                <w:color w:val="20242A"/>
                <w:sz w:val="17"/>
              </w:rPr>
              <w:t>Predicted: y_hat_i = b0 + b1*x_i</w:t>
            </w:r>
            <w:r>
              <w:br/>
            </w:r>
            <w:r>
              <w:rPr>
                <w:rFonts w:ascii="Arial" w:hAnsi="Arial"/>
                <w:color w:val="20242A"/>
                <w:sz w:val="17"/>
              </w:rPr>
              <w:t>SSE = Σ(y_i-y_hat_i)^2; SST = Σ(y_i-y_bar)^2</w:t>
            </w:r>
            <w:r>
              <w:br/>
            </w:r>
            <w:r>
              <w:rPr>
                <w:rFonts w:ascii="Arial" w:hAnsi="Arial"/>
                <w:color w:val="20242A"/>
                <w:sz w:val="17"/>
              </w:rPr>
              <w:t>R^2 = 1 - SSE/SST (undefined when SST=0)</w:t>
            </w:r>
            <w:r>
              <w:br/>
            </w:r>
            <w:r>
              <w:rPr>
                <w:rFonts w:ascii="Arial" w:hAnsi="Arial"/>
                <w:color w:val="20242A"/>
                <w:sz w:val="17"/>
              </w:rPr>
              <w:t>MSE = SSE/(n-2)</w:t>
            </w:r>
            <w:r>
              <w:br/>
            </w:r>
            <w:r>
              <w:rPr>
                <w:rFonts w:ascii="Arial" w:hAnsi="Arial"/>
                <w:color w:val="20242A"/>
                <w:sz w:val="17"/>
              </w:rPr>
              <w:t>SE(b1) = sqrt[MSE / Σ(x_i-x_bar)^2]</w:t>
            </w:r>
            <w:r>
              <w:br/>
            </w:r>
            <w:r>
              <w:rPr>
                <w:rFonts w:ascii="Arial" w:hAnsi="Arial"/>
                <w:color w:val="20242A"/>
                <w:sz w:val="17"/>
              </w:rPr>
              <w:t>t = b1 / SE(b1); df=n-2; p = 2*[1 - F_t(|t|; df)]</w:t>
            </w:r>
            <w:r>
              <w:br/>
            </w:r>
            <w:r>
              <w:rPr>
                <w:rFonts w:ascii="Arial" w:hAnsi="Arial"/>
                <w:color w:val="20242A"/>
                <w:sz w:val="17"/>
              </w:rPr>
              <w:t>Modeled window change = b1 * (x_max - x_min).</w:t>
            </w:r>
            <w:r>
              <w:rPr>
                <w:rFonts w:ascii="Arial" w:hAnsi="Arial"/>
                <w:color w:val="20242A"/>
                <w:sz w:val="17"/>
              </w:rPr>
              <w:t xml:space="preserve"> [6]</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Directional slope: n &gt;= 5 across &gt;= 5 distinct days and span &gt;= 7 days. Display p-value only when n &gt;= 8 and span &gt;= 14 days. Product gates are proposed engineering defaults.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Slope in BPM/day, modeled change over observed span, R^2, optional p-value/CI for clinician/PDF view.</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"Resting heart rate increased by an estimated 7.8 BPM over the observed 30-day span (slope +0.27 BPM/day)."</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Statistical significance is not clinical significance. Consumer UI should emphasize direction/magnitude; R^2 and p-value belong in clinician details/PDF. [6]</w:t>
            </w:r>
          </w:p>
        </w:tc>
      </w:tr>
    </w:tbl>
    <w:p>
      <w:pPr>
        <w:spacing w:after="20"/>
      </w:pPr>
    </w:p>
    <w:p>
      <w:pPr>
        <w:keepNext/>
        <w:spacing w:before="140" w:after="100"/>
      </w:pPr>
      <w:r>
        <w:rPr>
          <w:rFonts w:ascii="Arial" w:hAnsi="Arial"/>
          <w:b/>
          <w:color w:val="1B2A4A"/>
          <w:sz w:val="24"/>
        </w:rPr>
        <w:t>6.5. LOESS Smoothed Trend</w:t>
      </w:r>
    </w:p>
    <w:p>
      <w:pPr>
        <w:spacing w:after="80"/>
      </w:pPr>
      <w:r>
        <w:rPr>
          <w:rFonts w:ascii="Arial" w:hAnsi="Arial"/>
          <w:b/>
          <w:color w:val="FFFFFF"/>
          <w:sz w:val="16"/>
          <w:shd w:fill="1B2A4A"/>
        </w:rPr>
        <w:t>P0 - Ship first</w:t>
      </w:r>
      <w:r>
        <w:rPr>
          <w:rFonts w:ascii="Arial" w:hAnsi="Arial"/>
          <w:b/>
          <w:color w:val="0E7484"/>
          <w:sz w:val="16"/>
        </w:rPr>
        <w:t xml:space="preserve">   Visualization only</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Provide a smooth visual trajectory without forcing a straight-line relationship, while retaining every raw observation.</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Eligible resting readings (x_i, y_i).</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Use local linear LOESS with span q=0.60. For each evaluation x0, select k=max(5, ceil(0.60*n)) nearest points. Let d be the largest |x_i-x0| among selected points and u_i=|x_i-x0|/d.</w:t>
            </w:r>
            <w:r>
              <w:br/>
            </w:r>
            <w:r>
              <w:rPr>
                <w:rFonts w:ascii="Arial" w:hAnsi="Arial"/>
                <w:color w:val="20242A"/>
                <w:sz w:val="17"/>
              </w:rPr>
              <w:t>Tricube weight: w_i=(1-|u_i|^3)^3 for |u_i|&lt;1; otherwise 0.</w:t>
            </w:r>
            <w:r>
              <w:br/>
            </w:r>
            <w:r>
              <w:rPr>
                <w:rFonts w:ascii="Arial" w:hAnsi="Arial"/>
                <w:color w:val="20242A"/>
                <w:sz w:val="17"/>
              </w:rPr>
              <w:t>Fit weighted local line y=a+b*x by minimizing Σ w_i[y_i-(a+b*x_i)]^2; evaluate at x0. [7]</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n &gt;= 7 eligible observations and at least 7 days of span. If d=0 or geometry is singular, omit smoothing at that point.</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Smoothed series for chart overlay; raw points always remain visible.</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Chart shows the raw resting BPM measurements with a smoothed trajectory.</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Do not use robust iterations that automatically suppress physiologic extremes in the first implementation; an extreme reading may be clinically important. LOESS is visual support, not a diagnosis.</w:t>
            </w:r>
          </w:p>
        </w:tc>
      </w:tr>
    </w:tbl>
    <w:p>
      <w:pPr>
        <w:spacing w:after="20"/>
      </w:pPr>
    </w:p>
    <w:p>
      <w:pPr>
        <w:keepNext/>
        <w:spacing w:before="140" w:after="100"/>
      </w:pPr>
      <w:r>
        <w:rPr>
          <w:rFonts w:ascii="Arial" w:hAnsi="Arial"/>
          <w:b/>
          <w:color w:val="1B2A4A"/>
          <w:sz w:val="24"/>
        </w:rPr>
        <w:t>6.6. Personal Baseline Deviation</w:t>
      </w:r>
    </w:p>
    <w:p>
      <w:pPr>
        <w:spacing w:after="80"/>
      </w:pPr>
      <w:r>
        <w:rPr>
          <w:rFonts w:ascii="Arial" w:hAnsi="Arial"/>
          <w:b/>
          <w:color w:val="FFFFFF"/>
          <w:sz w:val="16"/>
          <w:shd w:fill="1B2A4A"/>
        </w:rPr>
        <w:t>P0 - Ship first</w:t>
      </w:r>
      <w:r>
        <w:rPr>
          <w:rFonts w:ascii="Arial" w:hAnsi="Arial"/>
          <w:b/>
          <w:color w:val="0E7484"/>
          <w:sz w:val="16"/>
        </w:rPr>
        <w:t xml:space="preserve">   Comparable resting readings</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Highlight change relative to the patient's established resting-rate baseline even when recent values remain inside a broad population reference range.</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Baseline resting set and recent resting set.</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Default recent window R = last 7 days. Default baseline B = the immediately preceding 30 days (days -37 through -8 relative to now).</w:t>
            </w:r>
            <w:r>
              <w:br/>
            </w:r>
            <w:r>
              <w:rPr>
                <w:rFonts w:ascii="Arial" w:hAnsi="Arial"/>
                <w:color w:val="20242A"/>
                <w:sz w:val="17"/>
              </w:rPr>
              <w:t>Baseline median M_B = median(B); recent median M_R = median(R).</w:t>
            </w:r>
            <w:r>
              <w:br/>
            </w:r>
            <w:r>
              <w:rPr>
                <w:rFonts w:ascii="Arial" w:hAnsi="Arial"/>
                <w:color w:val="20242A"/>
                <w:sz w:val="17"/>
              </w:rPr>
              <w:t>Absolute shift: Delta_BPM = M_R - M_B</w:t>
            </w:r>
            <w:r>
              <w:br/>
            </w:r>
            <w:r>
              <w:rPr>
                <w:rFonts w:ascii="Arial" w:hAnsi="Arial"/>
                <w:color w:val="20242A"/>
                <w:sz w:val="17"/>
              </w:rPr>
              <w:t>Percent shift: Delta_% = 100*(M_R-M_B)/M_B, when M_B != 0.</w:t>
            </w:r>
            <w:r>
              <w:br/>
            </w:r>
            <w:r>
              <w:rPr>
                <w:rFonts w:ascii="Arial" w:hAnsi="Arial"/>
                <w:color w:val="20242A"/>
                <w:sz w:val="17"/>
              </w:rPr>
              <w:t>Optional standardized shift: z = (M_R - mean(B))/s_B when baseline n&gt;=7 and s_B&gt;0.</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Baseline &gt;= 7 resting readings across &gt;= 7 distinct days; recent &gt;= 3 resting readings across &gt;= 3 distinct days. If insufficient, suppress baseline claim.</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Baseline median, recent median, absolute BPM change, percent change, optional z-score internally.</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"Recent resting heart rate is 12 BPM higher than the preceding 30-day baseline."</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Do not label a baseline shift dangerous/abnormal solely from Delta_BPM. Physician context, symptoms, temperature, hydration, activity, and medication changes matter.</w:t>
            </w:r>
          </w:p>
        </w:tc>
      </w:tr>
    </w:tbl>
    <w:p>
      <w:pPr>
        <w:spacing w:after="20"/>
      </w:pPr>
    </w:p>
    <w:p>
      <w:pPr>
        <w:keepNext/>
        <w:spacing w:before="140" w:after="100"/>
      </w:pPr>
      <w:r>
        <w:rPr>
          <w:rFonts w:ascii="Arial" w:hAnsi="Arial"/>
          <w:b/>
          <w:color w:val="1B2A4A"/>
          <w:sz w:val="24"/>
        </w:rPr>
        <w:t>6.7. High / Low Resting-Rate Event Analysis</w:t>
      </w:r>
    </w:p>
    <w:p>
      <w:pPr>
        <w:spacing w:after="80"/>
      </w:pPr>
      <w:r>
        <w:rPr>
          <w:rFonts w:ascii="Arial" w:hAnsi="Arial"/>
          <w:b/>
          <w:color w:val="FFFFFF"/>
          <w:sz w:val="16"/>
          <w:shd w:fill="1B2A4A"/>
        </w:rPr>
        <w:t>P0 - Ship first</w:t>
      </w:r>
      <w:r>
        <w:rPr>
          <w:rFonts w:ascii="Arial" w:hAnsi="Arial"/>
          <w:b/>
          <w:color w:val="0E7484"/>
          <w:sz w:val="16"/>
        </w:rPr>
        <w:t xml:space="preserve">   Resting readings only</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Count repeated observed rates outside reference or clinician-defined targets without converting sparse readings into duration-based burden.</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Eligible resting BPM values; target profile; timestamps.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Default descriptive reference thresholds: high if y_i &gt; 100 BPM; low if y_i &lt; 60 BPM; marked-low reference if y_i &lt; 50 BPM. [2][3][4]</w:t>
            </w:r>
            <w:r>
              <w:br/>
            </w:r>
            <w:r>
              <w:rPr>
                <w:rFonts w:ascii="Arial" w:hAnsi="Arial"/>
                <w:color w:val="20242A"/>
                <w:sz w:val="17"/>
              </w:rPr>
              <w:t>Count: N_A = Σ I(condition_i)</w:t>
            </w:r>
            <w:r>
              <w:br/>
            </w:r>
            <w:r>
              <w:rPr>
                <w:rFonts w:ascii="Arial" w:hAnsi="Arial"/>
                <w:color w:val="20242A"/>
                <w:sz w:val="17"/>
              </w:rPr>
              <w:t>Logged-reading proportion: P_A = 100 * N_A / n</w:t>
            </w:r>
            <w:r>
              <w:br/>
            </w:r>
            <w:r>
              <w:rPr>
                <w:rFonts w:ascii="Arial" w:hAnsi="Arial"/>
                <w:color w:val="20242A"/>
                <w:sz w:val="17"/>
              </w:rPr>
              <w:t>Episode clustering (optional): sort qualifying readings; readings of the same threshold direction separated by &lt;=15 minutes belong to one episode. New episode when gap &gt;15 minutes.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Counts: n &gt;= 1. Percentages: n &gt;= 5 resting readings in selected window. Use clinician/patient custom thresholds when configured.</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High/low reading count, percentage of logged resting readings, episode count, dates/times, extrema, symptom/context links.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"4 of 28 logged resting readings were above 100 BPM; 2 occurred near reported palpitations."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Never convert this to "time above 100" for spot data. AHA notes that low rates may be normal in athletes/sleep/medication contexts, and the bradycardia guideline stresses that symptoms and clinical context matter. [2][4]</w:t>
            </w:r>
          </w:p>
        </w:tc>
      </w:tr>
    </w:tbl>
    <w:p>
      <w:pPr>
        <w:spacing w:after="20"/>
      </w:pPr>
    </w:p>
    <w:p>
      <w:pPr>
        <w:keepNext/>
        <w:spacing w:before="140" w:after="100"/>
      </w:pPr>
      <w:r>
        <w:rPr>
          <w:rFonts w:ascii="Arial" w:hAnsi="Arial"/>
          <w:b/>
          <w:color w:val="1B2A4A"/>
          <w:sz w:val="24"/>
        </w:rPr>
        <w:t>6.8. Time-of-Day Pattern Analysis</w:t>
      </w:r>
    </w:p>
    <w:p>
      <w:pPr>
        <w:spacing w:after="80"/>
      </w:pPr>
      <w:r>
        <w:rPr>
          <w:rFonts w:ascii="Arial" w:hAnsi="Arial"/>
          <w:b/>
          <w:color w:val="FFFFFF"/>
          <w:sz w:val="16"/>
          <w:shd w:fill="1B2A4A"/>
        </w:rPr>
        <w:t>P0 - Ship first</w:t>
      </w:r>
      <w:r>
        <w:rPr>
          <w:rFonts w:ascii="Arial" w:hAnsi="Arial"/>
          <w:b/>
          <w:color w:val="0E7484"/>
          <w:sz w:val="16"/>
        </w:rPr>
        <w:t xml:space="preserve">   Comparable resting readings</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Reveal repeatable morning/afternoon/evening/overnight differences that may help a physician interpret medication timing, symptoms, sleep, and daily physiology.</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Eligible resting readings with reliable local time.</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Default local-time buckets: Morning 05:00-11:59; Afternoon 12:00-16:59; Evening 17:00-21:59; Overnight 22:00-04:59.</w:t>
            </w:r>
            <w:r>
              <w:br/>
            </w:r>
            <w:r>
              <w:rPr>
                <w:rFonts w:ascii="Arial" w:hAnsi="Arial"/>
                <w:color w:val="20242A"/>
                <w:sz w:val="17"/>
              </w:rPr>
              <w:t>For each bucket b: mean_b = (1/n_b)Σy_i; median_b = median(y_i).</w:t>
            </w:r>
            <w:r>
              <w:br/>
            </w:r>
            <w:r>
              <w:rPr>
                <w:rFonts w:ascii="Arial" w:hAnsi="Arial"/>
                <w:color w:val="20242A"/>
                <w:sz w:val="17"/>
              </w:rPr>
              <w:t>Difference from overall median: Delta_b = median_b - median_all.</w:t>
            </w:r>
            <w:r>
              <w:br/>
            </w:r>
            <w:r>
              <w:rPr>
                <w:rFonts w:ascii="Arial" w:hAnsi="Arial"/>
                <w:color w:val="20242A"/>
                <w:sz w:val="17"/>
              </w:rPr>
              <w:t>Highest qualified period = argmax_b(mean_b).</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Per bucket: &gt;=3 readings across &gt;=3 distinct days. Pattern summary requires at least 2 qualified buckets.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Bucket n, mean, median, range, delta from overall median; highest/lowest qualified period.</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"Evening resting readings averaged 8 BPM higher than morning readings during the last 30 days."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Bucket cutoffs are product defaults, not clinical standards. Preserve local-time zone/offset from the original observation.</w:t>
            </w:r>
          </w:p>
        </w:tc>
      </w:tr>
    </w:tbl>
    <w:p>
      <w:pPr>
        <w:spacing w:after="20"/>
      </w:pPr>
    </w:p>
    <w:p>
      <w:pPr>
        <w:keepNext/>
        <w:spacing w:before="140" w:after="100"/>
      </w:pPr>
      <w:r>
        <w:rPr>
          <w:rFonts w:ascii="Arial" w:hAnsi="Arial"/>
          <w:b/>
          <w:color w:val="1B2A4A"/>
          <w:sz w:val="24"/>
        </w:rPr>
        <w:t>6.9. Symptom Association</w:t>
      </w:r>
    </w:p>
    <w:p>
      <w:pPr>
        <w:spacing w:after="80"/>
      </w:pPr>
      <w:r>
        <w:rPr>
          <w:rFonts w:ascii="Arial" w:hAnsi="Arial"/>
          <w:b/>
          <w:color w:val="FFFFFF"/>
          <w:sz w:val="16"/>
          <w:shd w:fill="1B2A4A"/>
        </w:rPr>
        <w:t>P0 - Ship first</w:t>
      </w:r>
      <w:r>
        <w:rPr>
          <w:rFonts w:ascii="Arial" w:hAnsi="Arial"/>
          <w:b/>
          <w:color w:val="0E7484"/>
          <w:sz w:val="16"/>
        </w:rPr>
        <w:t xml:space="preserve">   Spot + symptom events</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Help physicians establish temporal relationships between symptoms and heart-rate observations, an important principle in bradycardia evaluation. [4]</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Heart-rate observations, symptom tags/events, timestamps, threshold profile.</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Direct association when symptom_tags are stored on the same measurement event. Otherwise, for a standalone symptom timestamp s_j, choose nearest eligible HR reading h_i if |t_i-s_j| &lt;= 15 minutes.</w:t>
            </w:r>
            <w:r>
              <w:br/>
            </w:r>
            <w:r>
              <w:rPr>
                <w:rFonts w:ascii="Arial" w:hAnsi="Arial"/>
                <w:color w:val="20242A"/>
                <w:sz w:val="17"/>
              </w:rPr>
              <w:t>Associated count for symptom k: A_k = Σ I(symptom_k has linked HR).</w:t>
            </w:r>
            <w:r>
              <w:br/>
            </w:r>
            <w:r>
              <w:rPr>
                <w:rFonts w:ascii="Arial" w:hAnsi="Arial"/>
                <w:color w:val="20242A"/>
                <w:sz w:val="17"/>
              </w:rPr>
              <w:t>Low-associated proportion: P_low,k = 100 * N(symptom_k linked to HR below low threshold) / A_k.</w:t>
            </w:r>
            <w:r>
              <w:br/>
            </w:r>
            <w:r>
              <w:rPr>
                <w:rFonts w:ascii="Arial" w:hAnsi="Arial"/>
                <w:color w:val="20242A"/>
                <w:sz w:val="17"/>
              </w:rPr>
              <w:t>High-associated proportion defined analogously.</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Individual associations may display with one event. Aggregate statement requires &gt;=2 associated symptom events of the same category. The ±15-minute fallback is a product default, not a physiologic causality window.</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Event list, associated BPM, time difference, posture/activity, high/low status, aggregate counts by symptom.</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"2 of 3 dizziness episodes with nearby heart-rate data occurred with a resting rate below 60 BPM."</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Use "occurred near" / "was recorded with," never "caused." The ACC/AHA/HRS guideline emphasizes symptom-rate correlation but also notes that symptoms can have competing etiologies. [4]</w:t>
            </w:r>
          </w:p>
        </w:tc>
      </w:tr>
    </w:tbl>
    <w:p>
      <w:pPr>
        <w:spacing w:after="20"/>
      </w:pPr>
    </w:p>
    <w:p>
      <w:pPr>
        <w:keepNext/>
        <w:spacing w:before="140" w:after="100"/>
      </w:pPr>
      <w:r>
        <w:rPr>
          <w:rFonts w:ascii="Arial" w:hAnsi="Arial"/>
          <w:b/>
          <w:color w:val="1B2A4A"/>
          <w:sz w:val="24"/>
        </w:rPr>
        <w:t>6.10. Medication-Change Association</w:t>
      </w:r>
    </w:p>
    <w:p>
      <w:pPr>
        <w:spacing w:after="80"/>
      </w:pPr>
      <w:r>
        <w:rPr>
          <w:rFonts w:ascii="Arial" w:hAnsi="Arial"/>
          <w:b/>
          <w:color w:val="FFFFFF"/>
          <w:sz w:val="16"/>
          <w:shd w:fill="1B2A4A"/>
        </w:rPr>
        <w:t>P0 - Ship first</w:t>
      </w:r>
      <w:r>
        <w:rPr>
          <w:rFonts w:ascii="Arial" w:hAnsi="Arial"/>
          <w:b/>
          <w:color w:val="0E7484"/>
          <w:sz w:val="16"/>
        </w:rPr>
        <w:t xml:space="preserve">   Medication history + resting readings</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Show whether resting-rate measurements changed after a documented medication start, stop, or dose/frequency change, without asserting drug causation.</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Medication change timestamp; eligible resting readings; optional medication class; other medication-change events.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Default windows: PRE = [change-14d, change); POST = (change, change+14d].</w:t>
            </w:r>
            <w:r>
              <w:br/>
            </w:r>
            <w:r>
              <w:rPr>
                <w:rFonts w:ascii="Arial" w:hAnsi="Arial"/>
                <w:color w:val="20242A"/>
                <w:sz w:val="17"/>
              </w:rPr>
              <w:t>M_pre = median(PRE); M_post = median(POST).</w:t>
            </w:r>
            <w:r>
              <w:br/>
            </w:r>
            <w:r>
              <w:rPr>
                <w:rFonts w:ascii="Arial" w:hAnsi="Arial"/>
                <w:color w:val="20242A"/>
                <w:sz w:val="17"/>
              </w:rPr>
              <w:t>Absolute difference: Delta_med = M_post - M_pre</w:t>
            </w:r>
            <w:r>
              <w:br/>
            </w:r>
            <w:r>
              <w:rPr>
                <w:rFonts w:ascii="Arial" w:hAnsi="Arial"/>
                <w:color w:val="20242A"/>
                <w:sz w:val="17"/>
              </w:rPr>
              <w:t>Percent difference: Delta_med_% = 100*(M_post-M_pre)/M_pre.</w:t>
            </w:r>
            <w:r>
              <w:br/>
            </w:r>
            <w:r>
              <w:rPr>
                <w:rFonts w:ascii="Arial" w:hAnsi="Arial"/>
                <w:color w:val="20242A"/>
                <w:sz w:val="17"/>
              </w:rPr>
              <w:t>Optional mean difference uses the same equation with arithmetic means.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&gt;=3 resting readings across &gt;=3 distinct days in both PRE and POST. Mark comparison confounded if another medication change occurs anywhere in the combined 28-day comparison window.</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Pre/post n, median/mean BPM, absolute/percent difference, medication event details, confounded flag.</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"Median resting heart rate was 10 BPM lower in the 14 days after the recorded dose change than in the prior 14 days."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The bradycardia guideline specifically recommends careful medication review because drugs can elicit or worsen slow rates. Present association only; physician determines causality. [4]</w:t>
            </w:r>
          </w:p>
        </w:tc>
      </w:tr>
    </w:tbl>
    <w:p>
      <w:pPr>
        <w:spacing w:after="20"/>
      </w:pPr>
    </w:p>
    <w:p>
      <w:pPr>
        <w:keepNext/>
        <w:spacing w:before="140" w:after="100"/>
      </w:pPr>
      <w:r>
        <w:rPr>
          <w:rFonts w:ascii="Arial" w:hAnsi="Arial"/>
          <w:b/>
          <w:color w:val="1B2A4A"/>
          <w:sz w:val="24"/>
        </w:rPr>
        <w:t>6.11. Cross-Vital Same-Event Context</w:t>
      </w:r>
    </w:p>
    <w:p>
      <w:pPr>
        <w:spacing w:after="80"/>
      </w:pPr>
      <w:r>
        <w:rPr>
          <w:rFonts w:ascii="Arial" w:hAnsi="Arial"/>
          <w:b/>
          <w:color w:val="FFFFFF"/>
          <w:sz w:val="16"/>
          <w:shd w:fill="1B2A4A"/>
        </w:rPr>
        <w:t>P0 - Ship first</w:t>
      </w:r>
      <w:r>
        <w:rPr>
          <w:rFonts w:ascii="Arial" w:hAnsi="Arial"/>
          <w:b/>
          <w:color w:val="0E7484"/>
          <w:sz w:val="16"/>
        </w:rPr>
        <w:t xml:space="preserve">   HR + other Vitals measurements</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Place heart-rate observations beside BP, temperature, SpO2, and other readings captured at the same time so physicians can interpret physiologic context.</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measurement_event_id or timestamp-matched observations; heart-rate exception predicate; other-vital exception predicates supplied by each metric-specific strategy.</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Primary co-occurrence count for HR condition H and other-vital condition O: C_HO = Σ I(H_i AND O_i) over aligned measurement events.</w:t>
            </w:r>
            <w:r>
              <w:br/>
            </w:r>
            <w:r>
              <w:rPr>
                <w:rFonts w:ascii="Arial" w:hAnsi="Arial"/>
                <w:color w:val="20242A"/>
                <w:sz w:val="17"/>
              </w:rPr>
              <w:t>Co-occurrence percentage: P_HO = 100*C_HO / N_H, where N_H is the number of HR-condition events that have the paired vital available.</w:t>
            </w:r>
            <w:r>
              <w:br/>
            </w:r>
            <w:r>
              <w:rPr>
                <w:rFonts w:ascii="Arial" w:hAnsi="Arial"/>
                <w:color w:val="20242A"/>
                <w:sz w:val="17"/>
              </w:rPr>
              <w:t>Optional physician-only Pearson correlation for paired continuous values (n&gt;=10): r = Σ[(x_i-x_bar)(y_i-y_bar)] / sqrt[Σ(x_i-x_bar)^2 * Σ(y_i-y_bar)^2].</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Co-occurrence: &gt;=1 linked event. Percentage: &gt;=5 HR-condition events with paired vital. Correlation: &gt;=10 paired events across &gt;=7 days; hide if either variable has zero variance.</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Event table with HR + BP + SpO2 + temperature; co-occurrence counts; optional r in clinician detail.</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"Three elevated resting-rate readings occurred in measurement events that also contained an elevated temperature."</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Do not hardcode temperature/SpO2/BP clinical thresholds inside HeartRateAnalysisStrategy. Query those metric strategies for their own exception states. Correlation does not imply causation.</w:t>
            </w:r>
          </w:p>
        </w:tc>
      </w:tr>
    </w:tbl>
    <w:p>
      <w:pPr>
        <w:spacing w:after="20"/>
      </w:pPr>
    </w:p>
    <w:p>
      <w:pPr>
        <w:keepNext/>
        <w:spacing w:before="140" w:after="100"/>
      </w:pPr>
      <w:r>
        <w:rPr>
          <w:rFonts w:ascii="Arial" w:hAnsi="Arial"/>
          <w:b/>
          <w:color w:val="1B2A4A"/>
          <w:sz w:val="24"/>
        </w:rPr>
        <w:t>6.12. Data Support and Density</w:t>
      </w:r>
    </w:p>
    <w:p>
      <w:pPr>
        <w:spacing w:after="80"/>
      </w:pPr>
      <w:r>
        <w:rPr>
          <w:rFonts w:ascii="Arial" w:hAnsi="Arial"/>
          <w:b/>
          <w:color w:val="FFFFFF"/>
          <w:sz w:val="16"/>
          <w:shd w:fill="1B2A4A"/>
        </w:rPr>
        <w:t>P0 - Ship first</w:t>
      </w:r>
      <w:r>
        <w:rPr>
          <w:rFonts w:ascii="Arial" w:hAnsi="Arial"/>
          <w:b/>
          <w:color w:val="0E7484"/>
          <w:sz w:val="16"/>
        </w:rPr>
        <w:t xml:space="preserve">   All spot datasets</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Make it obvious when Vitals has enough observations for a particular claim and prevent sparse data from producing authoritative-looking statistics.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Eligible reading count, unique local dates, observed span, selected window length.</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Distinct-day coverage: D = 100 * (# distinct local dates with &gt;=1 eligible reading) / (# calendar days in selected window).</w:t>
            </w:r>
            <w:r>
              <w:br/>
            </w:r>
            <w:r>
              <w:rPr>
                <w:rFonts w:ascii="Arial" w:hAnsi="Arial"/>
                <w:color w:val="20242A"/>
                <w:sz w:val="17"/>
              </w:rPr>
              <w:t>Observed span: S = (max timestamp - min timestamp) in days.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Support states: Snapshot = n&gt;=1. Descriptive = n&gt;=3 across &gt;=3 days. Trend = n&gt;=5 across &gt;=5 days and S&gt;=7. LOESS = n&gt;=7. Significance display = n&gt;=8 and S&gt;=14. Baseline shift uses its own gate.</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Support state, n, distinct days, span, distinct-day coverage, list of unavailable analyses/reasons.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"30-day summary uses 18 resting readings collected on 16 days."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Call this data support/coverage, not confidence in a diagnosis. Manual coverage is not the same as continuous monitoring coverage.</w:t>
            </w:r>
          </w:p>
        </w:tc>
      </w:tr>
    </w:tbl>
    <w:p>
      <w:pPr>
        <w:spacing w:after="20"/>
      </w:pPr>
    </w:p>
    <w:p>
      <w:pPr>
        <w:keepNext/>
        <w:spacing w:before="200" w:after="140"/>
        <w:pBdr>
          <w:bottom w:val="single" w:sz="12" w:space="3" w:color="14A9B8"/>
        </w:pBdr>
      </w:pPr>
      <w:r>
        <w:rPr>
          <w:rFonts w:ascii="Arial" w:hAnsi="Arial"/>
          <w:b/>
          <w:color w:val="1B2A4A"/>
          <w:sz w:val="32"/>
        </w:rPr>
        <w:t>7. P1 Structured Analysis - Orthostatic HR + BP Response</w:t>
      </w:r>
    </w:p>
    <w:p>
      <w:pPr>
        <w:spacing w:after="100"/>
      </w:pPr>
      <w:r>
        <w:rPr>
          <w:rFonts w:ascii="Arial" w:hAnsi="Arial"/>
          <w:i w:val="0"/>
          <w:color w:val="20242A"/>
          <w:sz w:val="19"/>
        </w:rPr>
        <w:t>Orthostatic analysis is valuable because Vitals already captures both heart rate and blood pressure. It should be implemented as a guided measurement sequence rather than inferred from unrelated standing and seated readings. A practical protocol measures BP and heart rate after approximately 5 minutes supine and again after standing; many workflows include measurements at 1 and 3 minutes. [5]</w:t>
      </w:r>
    </w:p>
    <w:tbl>
      <w:tblPr>
        <w:tblW w:type="auto" w:w="0"/>
        <w:jc w:val="center"/>
        <w:tblLayout w:type="autofit"/>
        <w:tblLook w:firstColumn="1" w:firstRow="1" w:lastColumn="0" w:lastRow="0" w:noHBand="0" w:noVBand="1" w:val="04A0"/>
        <w:tblBorders>
          <w:top w:val="single" w:sz="0" w:space="0" w:color="FFF6DD"/>
          <w:left w:val="single" w:sz="0" w:space="0" w:color="FFF6DD"/>
          <w:bottom w:val="single" w:sz="0" w:space="0" w:color="FFF6DD"/>
          <w:right w:val="single" w:sz="0" w:space="0" w:color="FFF6DD"/>
          <w:insideH w:val="single" w:sz="0" w:space="0" w:color="FFF6DD"/>
          <w:insideV w:val="single" w:sz="0" w:space="0" w:color="FFF6DD"/>
        </w:tblBorders>
      </w:tblPr>
      <w:tblGrid>
        <w:gridCol w:w="9994"/>
      </w:tblGrid>
      <w:tr>
        <w:tc>
          <w:tcPr>
            <w:tcW w:type="dxa" w:w="9994"/>
            <w:shd w:fill="FFF6DD"/>
            <w:tcMar>
              <w:top w:w="90" w:type="dxa"/>
              <w:start w:w="120" w:type="dxa"/>
              <w:bottom w:w="90" w:type="dxa"/>
              <w:end w:w="120" w:type="dxa"/>
            </w:tcMar>
            <w:tcBorders>
              <w:left w:val="single" w:sz="22" w:color="E4A11B"/>
            </w:tcBorders>
          </w:tcPr>
          <w:p>
            <w:pPr>
              <w:spacing w:after="40"/>
            </w:pPr>
            <w:r>
              <w:rPr>
                <w:rFonts w:ascii="Arial" w:hAnsi="Arial"/>
                <w:b/>
                <w:color w:val="1B2A4A"/>
                <w:sz w:val="20"/>
              </w:rPr>
              <w:t>Scope boundary</w:t>
            </w:r>
          </w:p>
          <w:p>
            <w:pPr>
              <w:spacing w:after="0"/>
            </w:pPr>
            <w:r>
              <w:rPr>
                <w:rFonts w:ascii="Arial" w:hAnsi="Arial"/>
                <w:color w:val="20242A"/>
                <w:sz w:val="18"/>
              </w:rPr>
              <w:t>Vitals may calculate and display orthostatic changes. The first implementation should not diagnose POTS, orthostatic hypotension, autonomic failure, or another cause. AHA defines orthostatic hypotension by a sustained BP reduction of at least 20 mmHg systolic or 10 mmHg diastolic within 3 minutes of standing; that reference can be shown to clinicians, but diagnostic wording should undergo clinical review before any patient-facing label is shipped. [5]</w:t>
            </w:r>
          </w:p>
        </w:tc>
      </w:tr>
    </w:tbl>
    <w:p>
      <w:pPr>
        <w:spacing w:after="20"/>
      </w:pPr>
    </w:p>
    <w:p>
      <w:pPr>
        <w:keepNext/>
        <w:spacing w:before="140" w:after="100"/>
      </w:pPr>
      <w:r>
        <w:rPr>
          <w:rFonts w:ascii="Arial" w:hAnsi="Arial"/>
          <w:b/>
          <w:color w:val="1B2A4A"/>
          <w:sz w:val="24"/>
        </w:rPr>
        <w:t>7.1. Orthostatic Response</w:t>
      </w:r>
    </w:p>
    <w:p>
      <w:pPr>
        <w:spacing w:after="80"/>
      </w:pPr>
      <w:r>
        <w:rPr>
          <w:rFonts w:ascii="Arial" w:hAnsi="Arial"/>
          <w:b/>
          <w:color w:val="FFFFFF"/>
          <w:sz w:val="16"/>
          <w:shd w:fill="1B2A4A"/>
        </w:rPr>
        <w:t>P1 - Structured / gated</w:t>
      </w:r>
      <w:r>
        <w:rPr>
          <w:rFonts w:ascii="Arial" w:hAnsi="Arial"/>
          <w:b/>
          <w:color w:val="0E7484"/>
          <w:sz w:val="16"/>
        </w:rPr>
        <w:t xml:space="preserve">   Guided supine-to-standing sequence</w:t>
      </w:r>
    </w:p>
    <w:tbl>
      <w:tblPr>
        <w:tblW w:type="auto" w:w="0"/>
        <w:jc w:val="center"/>
        <w:tblLayout w:type="fixed"/>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Purpose</w:t>
            </w:r>
          </w:p>
        </w:tc>
        <w:tc>
          <w:tcPr>
            <w:tcW w:type="dxa" w:w="7992"/>
            <w:tcMar>
              <w:top w:w="70" w:type="dxa"/>
              <w:start w:w="90" w:type="dxa"/>
              <w:bottom w:w="70" w:type="dxa"/>
              <w:end w:w="90" w:type="dxa"/>
            </w:tcMar>
            <w:vAlign w:val="top"/>
          </w:tcPr>
          <w:p>
            <w:pPr>
              <w:spacing w:after="0"/>
            </w:pPr>
            <w:r>
              <w:rPr>
                <w:rFonts w:ascii="Arial" w:hAnsi="Arial"/>
                <w:color w:val="20242A"/>
                <w:sz w:val="17"/>
              </w:rPr>
              <w:t>Give physicians objective paired changes in heart rate and blood pressure during a controlled posture transition.</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Required inputs</w:t>
            </w:r>
          </w:p>
        </w:tc>
        <w:tc>
          <w:tcPr>
            <w:tcW w:type="dxa" w:w="7992"/>
            <w:tcMar>
              <w:top w:w="70" w:type="dxa"/>
              <w:start w:w="90" w:type="dxa"/>
              <w:bottom w:w="70" w:type="dxa"/>
              <w:end w:w="90" w:type="dxa"/>
            </w:tcMar>
            <w:vAlign w:val="top"/>
          </w:tcPr>
          <w:p>
            <w:pPr>
              <w:spacing w:after="0"/>
            </w:pPr>
            <w:r>
              <w:rPr>
                <w:rFonts w:ascii="Arial" w:hAnsi="Arial"/>
                <w:color w:val="20242A"/>
                <w:sz w:val="17"/>
              </w:rPr>
              <w:t>Supine/rested HR + BP; standing HR + BP at 1 minute and 3 minutes; exact timestamps; symptom tags.</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Calculation / formulas</w:t>
            </w:r>
          </w:p>
        </w:tc>
        <w:tc>
          <w:tcPr>
            <w:tcW w:type="dxa" w:w="7992"/>
            <w:tcMar>
              <w:top w:w="70" w:type="dxa"/>
              <w:start w:w="90" w:type="dxa"/>
              <w:bottom w:w="70" w:type="dxa"/>
              <w:end w:w="90" w:type="dxa"/>
            </w:tcMar>
            <w:vAlign w:val="top"/>
          </w:tcPr>
          <w:p>
            <w:pPr>
              <w:spacing w:after="0"/>
            </w:pPr>
            <w:r>
              <w:rPr>
                <w:rFonts w:ascii="Arial" w:hAnsi="Arial"/>
                <w:color w:val="20242A"/>
                <w:sz w:val="17"/>
              </w:rPr>
              <w:t>For time point t in {1m,3m}:</w:t>
            </w:r>
            <w:r>
              <w:br/>
            </w:r>
            <w:r>
              <w:rPr>
                <w:rFonts w:ascii="Arial" w:hAnsi="Arial"/>
                <w:color w:val="20242A"/>
                <w:sz w:val="17"/>
              </w:rPr>
              <w:t>Delta_HR_t = HR_standing,t - HR_supine</w:t>
            </w:r>
            <w:r>
              <w:br/>
            </w:r>
            <w:r>
              <w:rPr>
                <w:rFonts w:ascii="Arial" w:hAnsi="Arial"/>
                <w:color w:val="20242A"/>
                <w:sz w:val="17"/>
              </w:rPr>
              <w:t>Delta_SBP_t = SBP_standing,t - SBP_supine</w:t>
            </w:r>
            <w:r>
              <w:br/>
            </w:r>
            <w:r>
              <w:rPr>
                <w:rFonts w:ascii="Arial" w:hAnsi="Arial"/>
                <w:color w:val="20242A"/>
                <w:sz w:val="17"/>
              </w:rPr>
              <w:t>Delta_DBP_t = DBP_standing,t - DBP_supine</w:t>
            </w:r>
            <w:r>
              <w:br/>
            </w:r>
            <w:r>
              <w:rPr>
                <w:rFonts w:ascii="Arial" w:hAnsi="Arial"/>
                <w:color w:val="20242A"/>
                <w:sz w:val="17"/>
              </w:rPr>
              <w:t>Percent HR change_t = 100*Delta_HR_t/HR_supine.</w:t>
            </w:r>
            <w:r>
              <w:br/>
            </w:r>
            <w:r>
              <w:rPr>
                <w:rFonts w:ascii="Arial" w:hAnsi="Arial"/>
                <w:color w:val="20242A"/>
                <w:sz w:val="17"/>
              </w:rPr>
              <w:t>Optional compensation ratio for research/clinician review only: R_t = Delta_HR_t / abs(Delta_SBP_t), undefined when Delta_SBP_t=0.</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Activation gate</w:t>
            </w:r>
          </w:p>
        </w:tc>
        <w:tc>
          <w:tcPr>
            <w:tcW w:type="dxa" w:w="7992"/>
            <w:tcMar>
              <w:top w:w="70" w:type="dxa"/>
              <w:start w:w="90" w:type="dxa"/>
              <w:bottom w:w="70" w:type="dxa"/>
              <w:end w:w="90" w:type="dxa"/>
            </w:tcMar>
            <w:vAlign w:val="top"/>
          </w:tcPr>
          <w:p>
            <w:pPr>
              <w:spacing w:after="0"/>
            </w:pPr>
            <w:r>
              <w:rPr>
                <w:rFonts w:ascii="Arial" w:hAnsi="Arial"/>
                <w:color w:val="20242A"/>
                <w:sz w:val="17"/>
              </w:rPr>
              <w:t>All paired values required for a complete time point. Flag timing deviation if standing measurement differs from target by &gt;30 seconds. Require 5-minute supine rest confirmation in the guided UI.</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Analysis output</w:t>
            </w:r>
          </w:p>
        </w:tc>
        <w:tc>
          <w:tcPr>
            <w:tcW w:type="dxa" w:w="7992"/>
            <w:tcMar>
              <w:top w:w="70" w:type="dxa"/>
              <w:start w:w="90" w:type="dxa"/>
              <w:bottom w:w="70" w:type="dxa"/>
              <w:end w:w="90" w:type="dxa"/>
            </w:tcMar>
            <w:vAlign w:val="top"/>
          </w:tcPr>
          <w:p>
            <w:pPr>
              <w:spacing w:after="0"/>
            </w:pPr>
            <w:r>
              <w:rPr>
                <w:rFonts w:ascii="Arial" w:hAnsi="Arial"/>
                <w:color w:val="20242A"/>
                <w:sz w:val="17"/>
              </w:rPr>
              <w:t>Supine/1m/3m values, each delta, symptoms during transition, timing-quality flag.</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Physician-facing example</w:t>
            </w:r>
          </w:p>
        </w:tc>
        <w:tc>
          <w:tcPr>
            <w:tcW w:type="dxa" w:w="7992"/>
            <w:tcMar>
              <w:top w:w="70" w:type="dxa"/>
              <w:start w:w="90" w:type="dxa"/>
              <w:bottom w:w="70" w:type="dxa"/>
              <w:end w:w="90" w:type="dxa"/>
            </w:tcMar>
            <w:vAlign w:val="top"/>
          </w:tcPr>
          <w:p>
            <w:pPr>
              <w:spacing w:after="0"/>
            </w:pPr>
            <w:r>
              <w:rPr>
                <w:rFonts w:ascii="Arial" w:hAnsi="Arial"/>
                <w:color w:val="20242A"/>
                <w:sz w:val="17"/>
              </w:rPr>
              <w:t>"Supine 68 BPM -&gt; standing 88 BPM at 1 minute (+20); SBP 128 -&gt; 112 mmHg (-16)."</w:t>
            </w:r>
          </w:p>
        </w:tc>
      </w:tr>
      <w:tr>
        <w:trPr>
          <w:cantSplit/>
        </w:trPr>
        <w:tc>
          <w:tcPr>
            <w:tcW w:type="dxa" w:w="2045"/>
            <w:shd w:fill="F6F8FA"/>
            <w:tcMar>
              <w:top w:w="70" w:type="dxa"/>
              <w:start w:w="90" w:type="dxa"/>
              <w:bottom w:w="70" w:type="dxa"/>
              <w:end w:w="90" w:type="dxa"/>
            </w:tcMar>
            <w:vAlign w:val="top"/>
          </w:tcPr>
          <w:p>
            <w:pPr>
              <w:spacing w:after="0"/>
            </w:pPr>
            <w:r>
              <w:rPr>
                <w:rFonts w:ascii="Arial" w:hAnsi="Arial"/>
                <w:b/>
                <w:color w:val="1B2A4A"/>
                <w:sz w:val="17"/>
              </w:rPr>
              <w:t>Engineering notes</w:t>
            </w:r>
          </w:p>
        </w:tc>
        <w:tc>
          <w:tcPr>
            <w:tcW w:type="dxa" w:w="7992"/>
            <w:tcMar>
              <w:top w:w="70" w:type="dxa"/>
              <w:start w:w="90" w:type="dxa"/>
              <w:bottom w:w="70" w:type="dxa"/>
              <w:end w:w="90" w:type="dxa"/>
            </w:tcMar>
            <w:vAlign w:val="top"/>
          </w:tcPr>
          <w:p>
            <w:pPr>
              <w:spacing w:after="0"/>
            </w:pPr>
            <w:r>
              <w:rPr>
                <w:rFonts w:ascii="Arial" w:hAnsi="Arial"/>
                <w:color w:val="20242A"/>
                <w:sz w:val="17"/>
              </w:rPr>
              <w:t>AHA notes HR normally increases as part of compensation on standing and distinguishes orthostatic hypotension from postural tachycardia syndromes. Do not infer etiology from these deltas alone. [5]</w:t>
            </w:r>
          </w:p>
        </w:tc>
      </w:tr>
    </w:tbl>
    <w:p>
      <w:pPr>
        <w:spacing w:after="20"/>
      </w:pPr>
    </w:p>
    <w:p>
      <w:pPr>
        <w:keepNext/>
        <w:spacing w:before="200" w:after="140"/>
        <w:pBdr>
          <w:bottom w:val="single" w:sz="12" w:space="3" w:color="14A9B8"/>
        </w:pBdr>
      </w:pPr>
      <w:r>
        <w:rPr>
          <w:rFonts w:ascii="Arial" w:hAnsi="Arial"/>
          <w:b/>
          <w:color w:val="1B2A4A"/>
          <w:sz w:val="32"/>
        </w:rPr>
        <w:t>8. P2 / Deferred Device-Enabled Analysis</w:t>
      </w:r>
    </w:p>
    <w:p>
      <w:pPr>
        <w:spacing w:after="100"/>
      </w:pPr>
      <w:r>
        <w:rPr>
          <w:rFonts w:ascii="Arial" w:hAnsi="Arial"/>
          <w:i w:val="0"/>
          <w:color w:val="20242A"/>
          <w:sz w:val="19"/>
        </w:rPr>
        <w:t>The following analyses should be represented in capability contracts now but not activated from ordinary spot BPM values.</w:t>
      </w:r>
    </w:p>
    <w:tbl>
      <w:tblPr>
        <w:tblW w:type="auto" w:w="0"/>
        <w:jc w:val="center"/>
        <w:tblLayout w:type="autofit"/>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3331"/>
        <w:gridCol w:w="3331"/>
        <w:gridCol w:w="3331"/>
      </w:tblGrid>
      <w:tr>
        <w:trPr>
          <w:cantSplit/>
          <w:tblHeader w:val="true"/>
        </w:trPr>
        <w:tc>
          <w:tcPr>
            <w:tcW w:type="dxa" w:w="3331"/>
            <w:vAlign w:val="center"/>
            <w:tcMar>
              <w:top w:w="70" w:type="dxa"/>
              <w:start w:w="90" w:type="dxa"/>
              <w:bottom w:w="70" w:type="dxa"/>
              <w:end w:w="90" w:type="dxa"/>
            </w:tcMar>
            <w:shd w:fill="1B2A4A"/>
          </w:tcPr>
          <w:p>
            <w:pPr>
              <w:spacing w:after="0"/>
            </w:pPr>
            <w:r>
              <w:rPr>
                <w:rFonts w:ascii="Arial" w:hAnsi="Arial"/>
                <w:b/>
                <w:color w:val="FFFFFF"/>
                <w:sz w:val="15"/>
              </w:rPr>
              <w:t>Deferred analysis</w:t>
            </w:r>
          </w:p>
        </w:tc>
        <w:tc>
          <w:tcPr>
            <w:tcW w:type="dxa" w:w="3331"/>
            <w:vAlign w:val="center"/>
            <w:tcMar>
              <w:top w:w="70" w:type="dxa"/>
              <w:start w:w="90" w:type="dxa"/>
              <w:bottom w:w="70" w:type="dxa"/>
              <w:end w:w="90" w:type="dxa"/>
            </w:tcMar>
            <w:shd w:fill="1B2A4A"/>
          </w:tcPr>
          <w:p>
            <w:pPr>
              <w:spacing w:after="0"/>
            </w:pPr>
            <w:r>
              <w:rPr>
                <w:rFonts w:ascii="Arial" w:hAnsi="Arial"/>
                <w:b/>
                <w:color w:val="FFFFFF"/>
                <w:sz w:val="15"/>
              </w:rPr>
              <w:t>Required source</w:t>
            </w:r>
          </w:p>
        </w:tc>
        <w:tc>
          <w:tcPr>
            <w:tcW w:type="dxa" w:w="3331"/>
            <w:vAlign w:val="center"/>
            <w:tcMar>
              <w:top w:w="70" w:type="dxa"/>
              <w:start w:w="90" w:type="dxa"/>
              <w:bottom w:w="70" w:type="dxa"/>
              <w:end w:w="90" w:type="dxa"/>
            </w:tcMar>
            <w:shd w:fill="1B2A4A"/>
          </w:tcPr>
          <w:p>
            <w:pPr>
              <w:spacing w:after="0"/>
            </w:pPr>
            <w:r>
              <w:rPr>
                <w:rFonts w:ascii="Arial" w:hAnsi="Arial"/>
                <w:b/>
                <w:color w:val="FFFFFF"/>
                <w:sz w:val="15"/>
              </w:rPr>
              <w:t>Mathematical / engineering note</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Duration-based high/low rate burden</w:t>
            </w:r>
          </w:p>
        </w:tc>
        <w:tc>
          <w:tcPr>
            <w:tcW w:type="dxa" w:w="3331"/>
            <w:vAlign w:val="center"/>
            <w:tcMar>
              <w:top w:w="70" w:type="dxa"/>
              <w:start w:w="90" w:type="dxa"/>
              <w:bottom w:w="70" w:type="dxa"/>
              <w:end w:w="90" w:type="dxa"/>
            </w:tcMar>
          </w:tcPr>
          <w:p>
            <w:pPr>
              <w:spacing w:after="0"/>
            </w:pPr>
            <w:r>
              <w:rPr>
                <w:rFonts w:ascii="Arial" w:hAnsi="Arial"/>
                <w:color w:val="20242A"/>
                <w:sz w:val="15"/>
              </w:rPr>
              <w:t>Dense wearable/telemetry sampling</w:t>
            </w:r>
          </w:p>
        </w:tc>
        <w:tc>
          <w:tcPr>
            <w:tcW w:type="dxa" w:w="3331"/>
            <w:vAlign w:val="center"/>
            <w:tcMar>
              <w:top w:w="70" w:type="dxa"/>
              <w:start w:w="90" w:type="dxa"/>
              <w:bottom w:w="70" w:type="dxa"/>
              <w:end w:w="90" w:type="dxa"/>
            </w:tcMar>
          </w:tcPr>
          <w:p>
            <w:pPr>
              <w:spacing w:after="0"/>
            </w:pPr>
            <w:r>
              <w:rPr>
                <w:rFonts w:ascii="Arial" w:hAnsi="Arial"/>
                <w:color w:val="20242A"/>
                <w:sz w:val="15"/>
              </w:rPr>
              <w:t>time_above = 100 * observed_duration_above / valid_observed_duration. Never derive from sparse spot readings.</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True Heart Rate Variability - SDNN</w:t>
            </w:r>
          </w:p>
        </w:tc>
        <w:tc>
          <w:tcPr>
            <w:tcW w:type="dxa" w:w="3331"/>
            <w:vAlign w:val="center"/>
            <w:tcMar>
              <w:top w:w="70" w:type="dxa"/>
              <w:start w:w="90" w:type="dxa"/>
              <w:bottom w:w="70" w:type="dxa"/>
              <w:end w:w="90" w:type="dxa"/>
            </w:tcMar>
          </w:tcPr>
          <w:p>
            <w:pPr>
              <w:spacing w:after="0"/>
            </w:pPr>
            <w:r>
              <w:rPr>
                <w:rFonts w:ascii="Arial" w:hAnsi="Arial"/>
                <w:color w:val="20242A"/>
                <w:sz w:val="15"/>
              </w:rPr>
              <w:t>Validated RR/NN interval series</w:t>
            </w:r>
          </w:p>
        </w:tc>
        <w:tc>
          <w:tcPr>
            <w:tcW w:type="dxa" w:w="3331"/>
            <w:vAlign w:val="center"/>
            <w:tcMar>
              <w:top w:w="70" w:type="dxa"/>
              <w:start w:w="90" w:type="dxa"/>
              <w:bottom w:w="70" w:type="dxa"/>
              <w:end w:w="90" w:type="dxa"/>
            </w:tcMar>
          </w:tcPr>
          <w:p>
            <w:pPr>
              <w:spacing w:after="0"/>
            </w:pPr>
            <w:r>
              <w:rPr>
                <w:rFonts w:ascii="Arial" w:hAnsi="Arial"/>
                <w:color w:val="20242A"/>
                <w:sz w:val="15"/>
              </w:rPr>
              <w:t>SDNN = sqrt[Σ(NN_i-NN_bar)^2/(N-1)]. Do not compute from daily BPM values.</w:t>
            </w:r>
            <w:r>
              <w:rPr>
                <w:rFonts w:ascii="Arial" w:hAnsi="Arial"/>
                <w:color w:val="20242A"/>
                <w:sz w:val="17"/>
              </w:rPr>
              <w:t xml:space="preserve"> [9]</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True Heart Rate Variability - RMSSD</w:t>
            </w:r>
          </w:p>
        </w:tc>
        <w:tc>
          <w:tcPr>
            <w:tcW w:type="dxa" w:w="3331"/>
            <w:vAlign w:val="center"/>
            <w:tcMar>
              <w:top w:w="70" w:type="dxa"/>
              <w:start w:w="90" w:type="dxa"/>
              <w:bottom w:w="70" w:type="dxa"/>
              <w:end w:w="90" w:type="dxa"/>
            </w:tcMar>
          </w:tcPr>
          <w:p>
            <w:pPr>
              <w:spacing w:after="0"/>
            </w:pPr>
            <w:r>
              <w:rPr>
                <w:rFonts w:ascii="Arial" w:hAnsi="Arial"/>
                <w:color w:val="20242A"/>
                <w:sz w:val="15"/>
              </w:rPr>
              <w:t>Validated RR/NN interval series</w:t>
            </w:r>
          </w:p>
        </w:tc>
        <w:tc>
          <w:tcPr>
            <w:tcW w:type="dxa" w:w="3331"/>
            <w:vAlign w:val="center"/>
            <w:tcMar>
              <w:top w:w="70" w:type="dxa"/>
              <w:start w:w="90" w:type="dxa"/>
              <w:bottom w:w="70" w:type="dxa"/>
              <w:end w:w="90" w:type="dxa"/>
            </w:tcMar>
          </w:tcPr>
          <w:p>
            <w:pPr>
              <w:spacing w:after="0"/>
            </w:pPr>
            <w:r>
              <w:rPr>
                <w:rFonts w:ascii="Arial" w:hAnsi="Arial"/>
                <w:color w:val="20242A"/>
                <w:sz w:val="15"/>
              </w:rPr>
              <w:t>RMSSD = sqrt[Σ(NN_{i+1}-NN_i)^2/(N-1)].</w:t>
            </w:r>
            <w:r>
              <w:rPr>
                <w:rFonts w:ascii="Arial" w:hAnsi="Arial"/>
                <w:color w:val="20242A"/>
                <w:sz w:val="17"/>
              </w:rPr>
              <w:t xml:space="preserve"> [9]</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Heart-rate recovery</w:t>
            </w:r>
          </w:p>
        </w:tc>
        <w:tc>
          <w:tcPr>
            <w:tcW w:type="dxa" w:w="3331"/>
            <w:vAlign w:val="center"/>
            <w:tcMar>
              <w:top w:w="70" w:type="dxa"/>
              <w:start w:w="90" w:type="dxa"/>
              <w:bottom w:w="70" w:type="dxa"/>
              <w:end w:w="90" w:type="dxa"/>
            </w:tcMar>
          </w:tcPr>
          <w:p>
            <w:pPr>
              <w:spacing w:after="0"/>
            </w:pPr>
            <w:r>
              <w:rPr>
                <w:rFonts w:ascii="Arial" w:hAnsi="Arial"/>
                <w:color w:val="20242A"/>
                <w:sz w:val="15"/>
              </w:rPr>
              <w:t>Structured exercise protocol with peak/end HR and timed recovery HR</w:t>
            </w:r>
          </w:p>
        </w:tc>
        <w:tc>
          <w:tcPr>
            <w:tcW w:type="dxa" w:w="3331"/>
            <w:vAlign w:val="center"/>
            <w:tcMar>
              <w:top w:w="70" w:type="dxa"/>
              <w:start w:w="90" w:type="dxa"/>
              <w:bottom w:w="70" w:type="dxa"/>
              <w:end w:w="90" w:type="dxa"/>
            </w:tcMar>
          </w:tcPr>
          <w:p>
            <w:pPr>
              <w:spacing w:after="0"/>
            </w:pPr>
            <w:r>
              <w:rPr>
                <w:rFonts w:ascii="Arial" w:hAnsi="Arial"/>
                <w:color w:val="20242A"/>
                <w:sz w:val="15"/>
              </w:rPr>
              <w:t>HRR_1 = HR_peak_or_end - HR_1min. Protocol details must be standardized before interpretation.</w:t>
            </w:r>
            <w:r>
              <w:rPr>
                <w:rFonts w:ascii="Arial" w:hAnsi="Arial"/>
                <w:color w:val="20242A"/>
                <w:sz w:val="17"/>
              </w:rPr>
              <w:t xml:space="preserve"> [10]</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Rhythm classification</w:t>
            </w:r>
          </w:p>
        </w:tc>
        <w:tc>
          <w:tcPr>
            <w:tcW w:type="dxa" w:w="3331"/>
            <w:vAlign w:val="center"/>
            <w:tcMar>
              <w:top w:w="70" w:type="dxa"/>
              <w:start w:w="90" w:type="dxa"/>
              <w:bottom w:w="70" w:type="dxa"/>
              <w:end w:w="90" w:type="dxa"/>
            </w:tcMar>
          </w:tcPr>
          <w:p>
            <w:pPr>
              <w:spacing w:after="0"/>
            </w:pPr>
            <w:r>
              <w:rPr>
                <w:rFonts w:ascii="Arial" w:hAnsi="Arial"/>
                <w:color w:val="20242A"/>
                <w:sz w:val="15"/>
              </w:rPr>
              <w:t>ECG or validated rhythm-capable device output</w:t>
            </w:r>
          </w:p>
        </w:tc>
        <w:tc>
          <w:tcPr>
            <w:tcW w:type="dxa" w:w="3331"/>
            <w:vAlign w:val="center"/>
            <w:tcMar>
              <w:top w:w="70" w:type="dxa"/>
              <w:start w:w="90" w:type="dxa"/>
              <w:bottom w:w="70" w:type="dxa"/>
              <w:end w:w="90" w:type="dxa"/>
            </w:tcMar>
          </w:tcPr>
          <w:p>
            <w:pPr>
              <w:spacing w:after="0"/>
            </w:pPr>
            <w:r>
              <w:rPr>
                <w:rFonts w:ascii="Arial" w:hAnsi="Arial"/>
                <w:color w:val="20242A"/>
                <w:sz w:val="15"/>
              </w:rPr>
              <w:t>Out of scope for BPM mathematics; preserve device/ECG result provenance and do not infer rhythm from rate alone.</w:t>
            </w:r>
          </w:p>
        </w:tc>
      </w:tr>
    </w:tbl>
    <w:p>
      <w:pPr>
        <w:spacing w:after="20"/>
      </w:pPr>
    </w:p>
    <w:p>
      <w:pPr>
        <w:keepNext/>
        <w:spacing w:before="200" w:after="140"/>
        <w:pBdr>
          <w:bottom w:val="single" w:sz="12" w:space="3" w:color="14A9B8"/>
        </w:pBdr>
      </w:pPr>
      <w:r>
        <w:rPr>
          <w:rFonts w:ascii="Arial" w:hAnsi="Arial"/>
          <w:b/>
          <w:color w:val="1B2A4A"/>
          <w:sz w:val="32"/>
        </w:rPr>
        <w:t>9. Result Contract and Service Architecture</w:t>
      </w:r>
    </w:p>
    <w:p>
      <w:pPr>
        <w:spacing w:after="100"/>
      </w:pPr>
      <w:r>
        <w:rPr>
          <w:rFonts w:ascii="Arial" w:hAnsi="Arial"/>
          <w:i w:val="0"/>
          <w:color w:val="20242A"/>
          <w:sz w:val="19"/>
        </w:rPr>
        <w:t>Heart-rate analysis should be implemented as a metric-specific strategy over a shared statistical toolkit. The strategy owns clinical grouping and eligibility; shared services own reusable math such as mean/median, OLS, LOESS, SD, IQR, and correlation.</w:t>
      </w:r>
    </w:p>
    <w:tbl>
      <w:tblPr>
        <w:tblW w:type="auto" w:w="0"/>
        <w:jc w:val="center"/>
        <w:tblLayout w:type="autofit"/>
        <w:tblLook w:firstColumn="1" w:firstRow="1" w:lastColumn="0" w:lastRow="0" w:noHBand="0" w:noVBand="1" w:val="04A0"/>
        <w:tblBorders>
          <w:top w:val="single" w:sz="0" w:space="0" w:color="F6F8FA"/>
          <w:left w:val="single" w:sz="0" w:space="0" w:color="F6F8FA"/>
          <w:bottom w:val="single" w:sz="0" w:space="0" w:color="F6F8FA"/>
          <w:right w:val="single" w:sz="0" w:space="0" w:color="F6F8FA"/>
          <w:insideH w:val="single" w:sz="0" w:space="0" w:color="F6F8FA"/>
          <w:insideV w:val="single" w:sz="0" w:space="0" w:color="F6F8FA"/>
        </w:tblBorders>
      </w:tblPr>
      <w:tblGrid>
        <w:gridCol w:w="9994"/>
      </w:tblGrid>
      <w:tr>
        <w:tc>
          <w:tcPr>
            <w:tcW w:type="dxa" w:w="9994"/>
            <w:shd w:fill="F6F8FA"/>
            <w:tcMar>
              <w:top w:w="90" w:type="dxa"/>
              <w:start w:w="120" w:type="dxa"/>
              <w:bottom w:w="90" w:type="dxa"/>
              <w:end w:w="120" w:type="dxa"/>
            </w:tcMar>
            <w:tcBorders>
              <w:left w:val="single" w:sz="22" w:color="14A9B8"/>
            </w:tcBorders>
          </w:tcPr>
          <w:p>
            <w:pPr>
              <w:spacing w:after="40"/>
            </w:pPr>
            <w:r>
              <w:rPr>
                <w:rFonts w:ascii="Arial" w:hAnsi="Arial"/>
                <w:b/>
                <w:color w:val="1B2A4A"/>
                <w:sz w:val="20"/>
              </w:rPr>
              <w:t>Proposed result DTO</w:t>
            </w:r>
          </w:p>
          <w:p>
            <w:pPr>
              <w:spacing w:after="0"/>
            </w:pPr>
            <w:r>
              <w:rPr>
                <w:rFonts w:ascii="Arial" w:hAnsi="Arial"/>
                <w:color w:val="20242A"/>
                <w:sz w:val="18"/>
              </w:rPr>
              <w:t>HeartRateAnalysisResult</w:t>
              <w:br/>
              <w:t xml:space="preserve">  period</w:t>
              <w:br/>
              <w:t xml:space="preserve">  latest</w:t>
              <w:br/>
              <w:t xml:space="preserve">  resting_summary { n, distinct_days, mean, median, min, max, range }</w:t>
              <w:br/>
              <w:t xml:space="preserve">  dispersion { sd, iqr, spot_cv? }</w:t>
              <w:br/>
              <w:t xml:space="preserve">  trend { slope_bpm_per_day, modeled_change, r2, p_value?, loess[] }</w:t>
              <w:br/>
              <w:t xml:space="preserve">  baseline_shift { baseline_median, recent_median, delta_bpm, delta_percent }</w:t>
              <w:br/>
              <w:t xml:space="preserve">  threshold_events { high, low, marked_low, custom_target_exceptions }</w:t>
              <w:br/>
              <w:t xml:space="preserve">  time_of_day[]</w:t>
              <w:br/>
              <w:t xml:space="preserve">  symptom_associations[]</w:t>
              <w:br/>
              <w:t xml:space="preserve">  medication_associations[]</w:t>
              <w:br/>
              <w:t xml:space="preserve">  cross_vital_context[]</w:t>
              <w:br/>
              <w:t xml:space="preserve">  orthostatic?</w:t>
              <w:br/>
              <w:t xml:space="preserve">  data_support { state, n, distinct_days, span_days, day_coverage_percent }</w:t>
              <w:br/>
              <w:t xml:space="preserve">  disclosures[]</w:t>
            </w:r>
          </w:p>
        </w:tc>
      </w:tr>
    </w:tbl>
    <w:p>
      <w:pPr>
        <w:spacing w:after="20"/>
      </w:pPr>
    </w:p>
    <w:p>
      <w:pPr>
        <w:spacing w:after="50"/>
        <w:ind w:left="115" w:hanging="29"/>
      </w:pPr>
      <w:r>
        <w:rPr>
          <w:rFonts w:ascii="Arial" w:hAnsi="Arial"/>
          <w:b/>
          <w:color w:val="14A9B8"/>
          <w:sz w:val="18"/>
        </w:rPr>
        <w:t xml:space="preserve">• </w:t>
      </w:r>
      <w:r>
        <w:rPr>
          <w:rFonts w:ascii="Arial" w:hAnsi="Arial"/>
          <w:sz w:val="18"/>
        </w:rPr>
        <w:t>IHeartRateAnalysisStrategy is responsible for filtering comparable resting observations and applying heart-rate-specific threshold/wording rules.</w:t>
      </w:r>
    </w:p>
    <w:p>
      <w:pPr>
        <w:spacing w:after="50"/>
        <w:ind w:left="115" w:hanging="29"/>
      </w:pPr>
      <w:r>
        <w:rPr>
          <w:rFonts w:ascii="Arial" w:hAnsi="Arial"/>
          <w:b/>
          <w:color w:val="14A9B8"/>
          <w:sz w:val="18"/>
        </w:rPr>
        <w:t xml:space="preserve">• </w:t>
      </w:r>
      <w:r>
        <w:rPr>
          <w:rFonts w:ascii="Arial" w:hAnsi="Arial"/>
          <w:sz w:val="18"/>
        </w:rPr>
        <w:t>IStatisticsService provides deterministic implementations of mean, median, quantiles, sample SD, OLS, Student-t p-value, LOESS, and correlation.</w:t>
      </w:r>
    </w:p>
    <w:p>
      <w:pPr>
        <w:spacing w:after="50"/>
        <w:ind w:left="115" w:hanging="29"/>
      </w:pPr>
      <w:r>
        <w:rPr>
          <w:rFonts w:ascii="Arial" w:hAnsi="Arial"/>
          <w:b/>
          <w:color w:val="14A9B8"/>
          <w:sz w:val="18"/>
        </w:rPr>
        <w:t xml:space="preserve">• </w:t>
      </w:r>
      <w:r>
        <w:rPr>
          <w:rFonts w:ascii="Arial" w:hAnsi="Arial"/>
          <w:sz w:val="18"/>
        </w:rPr>
        <w:t>IMedicationTimelineService supplies normalized start/stop/dose/frequency events and overlap/confounding detection.</w:t>
      </w:r>
    </w:p>
    <w:p>
      <w:pPr>
        <w:spacing w:after="50"/>
        <w:ind w:left="115" w:hanging="29"/>
      </w:pPr>
      <w:r>
        <w:rPr>
          <w:rFonts w:ascii="Arial" w:hAnsi="Arial"/>
          <w:b/>
          <w:color w:val="14A9B8"/>
          <w:sz w:val="18"/>
        </w:rPr>
        <w:t xml:space="preserve">• </w:t>
      </w:r>
      <w:r>
        <w:rPr>
          <w:rFonts w:ascii="Arial" w:hAnsi="Arial"/>
          <w:sz w:val="18"/>
        </w:rPr>
        <w:t>ISymptomAssociationService resolves same-event or nearest-timestamp associations without embedding diagnostic logic.</w:t>
      </w:r>
    </w:p>
    <w:p>
      <w:pPr>
        <w:spacing w:after="50"/>
        <w:ind w:left="115" w:hanging="29"/>
      </w:pPr>
      <w:r>
        <w:rPr>
          <w:rFonts w:ascii="Arial" w:hAnsi="Arial"/>
          <w:b/>
          <w:color w:val="14A9B8"/>
          <w:sz w:val="18"/>
        </w:rPr>
        <w:t xml:space="preserve">• </w:t>
      </w:r>
      <w:r>
        <w:rPr>
          <w:rFonts w:ascii="Arial" w:hAnsi="Arial"/>
          <w:sz w:val="18"/>
        </w:rPr>
        <w:t>ICrossVitalContextService aligns measurements by measurement_event_id first, then by the strict timestamp fallback.</w:t>
      </w:r>
    </w:p>
    <w:p>
      <w:pPr>
        <w:spacing w:after="50"/>
        <w:ind w:left="115" w:hanging="29"/>
      </w:pPr>
      <w:r>
        <w:rPr>
          <w:rFonts w:ascii="Arial" w:hAnsi="Arial"/>
          <w:b/>
          <w:color w:val="14A9B8"/>
          <w:sz w:val="18"/>
        </w:rPr>
        <w:t xml:space="preserve">• </w:t>
      </w:r>
      <w:r>
        <w:rPr>
          <w:rFonts w:ascii="Arial" w:hAnsi="Arial"/>
          <w:sz w:val="18"/>
        </w:rPr>
        <w:t>UI and PDF layers consume the same result model so displayed numbers cannot drift between app and exported report.</w:t>
      </w:r>
    </w:p>
    <w:p>
      <w:pPr>
        <w:keepNext/>
        <w:spacing w:before="200" w:after="140"/>
        <w:pBdr>
          <w:bottom w:val="single" w:sz="12" w:space="3" w:color="14A9B8"/>
        </w:pBdr>
      </w:pPr>
      <w:r>
        <w:rPr>
          <w:rFonts w:ascii="Arial" w:hAnsi="Arial"/>
          <w:b/>
          <w:color w:val="1B2A4A"/>
          <w:sz w:val="32"/>
        </w:rPr>
        <w:t>10. Recommended UI and Physician PDF Composition</w:t>
      </w:r>
    </w:p>
    <w:p>
      <w:pPr>
        <w:keepNext/>
        <w:spacing w:before="140" w:after="100"/>
      </w:pPr>
      <w:r>
        <w:rPr>
          <w:rFonts w:ascii="Arial" w:hAnsi="Arial"/>
          <w:b/>
          <w:color w:val="1B2A4A"/>
          <w:sz w:val="24"/>
        </w:rPr>
        <w:t>10.1 Dashboard card</w:t>
      </w:r>
    </w:p>
    <w:tbl>
      <w:tblPr>
        <w:tblW w:type="auto" w:w="0"/>
        <w:jc w:val="center"/>
        <w:tblLayout w:type="autofit"/>
        <w:tblLook w:firstColumn="1" w:firstRow="1" w:lastColumn="0" w:lastRow="0" w:noHBand="0" w:noVBand="1" w:val="04A0"/>
        <w:tblBorders>
          <w:top w:val="single" w:sz="0" w:space="0" w:color="EAF7F8"/>
          <w:left w:val="single" w:sz="0" w:space="0" w:color="EAF7F8"/>
          <w:bottom w:val="single" w:sz="0" w:space="0" w:color="EAF7F8"/>
          <w:right w:val="single" w:sz="0" w:space="0" w:color="EAF7F8"/>
          <w:insideH w:val="single" w:sz="0" w:space="0" w:color="EAF7F8"/>
          <w:insideV w:val="single" w:sz="0" w:space="0" w:color="EAF7F8"/>
        </w:tblBorders>
      </w:tblPr>
      <w:tblGrid>
        <w:gridCol w:w="9994"/>
      </w:tblGrid>
      <w:tr>
        <w:tc>
          <w:tcPr>
            <w:tcW w:type="dxa" w:w="9994"/>
            <w:shd w:fill="EAF7F8"/>
            <w:tcMar>
              <w:top w:w="90" w:type="dxa"/>
              <w:start w:w="120" w:type="dxa"/>
              <w:bottom w:w="90" w:type="dxa"/>
              <w:end w:w="120" w:type="dxa"/>
            </w:tcMar>
            <w:tcBorders>
              <w:left w:val="single" w:sz="22" w:color="14A9B8"/>
            </w:tcBorders>
          </w:tcPr>
          <w:p>
            <w:pPr>
              <w:spacing w:after="40"/>
            </w:pPr>
            <w:r>
              <w:rPr>
                <w:rFonts w:ascii="Arial" w:hAnsi="Arial"/>
                <w:b/>
                <w:color w:val="1B2A4A"/>
                <w:sz w:val="20"/>
              </w:rPr>
              <w:t>Heart Rate</w:t>
            </w:r>
          </w:p>
          <w:p>
            <w:pPr>
              <w:spacing w:after="0"/>
            </w:pPr>
            <w:r>
              <w:rPr>
                <w:rFonts w:ascii="Arial" w:hAnsi="Arial"/>
                <w:color w:val="20242A"/>
                <w:sz w:val="18"/>
              </w:rPr>
              <w:t>Latest: 74 BPM - Resting - Today 7:14 AM</w:t>
              <w:br/>
              <w:t>30-day resting average: 72 BPM</w:t>
              <w:br/>
              <w:t>Personal baseline: +5 BPM vs preceding 30 days</w:t>
              <w:br/>
              <w:t>Trend: Gradually increasing</w:t>
            </w:r>
          </w:p>
        </w:tc>
      </w:tr>
    </w:tbl>
    <w:p>
      <w:pPr>
        <w:spacing w:after="20"/>
      </w:pPr>
    </w:p>
    <w:p>
      <w:pPr>
        <w:spacing w:after="100"/>
      </w:pPr>
      <w:r>
        <w:rPr>
          <w:rFonts w:ascii="Arial" w:hAnsi="Arial"/>
          <w:i w:val="0"/>
          <w:color w:val="20242A"/>
          <w:sz w:val="19"/>
        </w:rPr>
        <w:t>The Dashboard should show only a compact subset: latest value/context, one longitudinal summary, and one meaningful deviation/trend cue. Detailed event counts, symptoms, medications, and statistical outputs belong on the Heart Rate Details screen and physician PDF.</w:t>
      </w:r>
    </w:p>
    <w:p>
      <w:pPr>
        <w:keepNext/>
        <w:spacing w:before="140" w:after="100"/>
      </w:pPr>
      <w:r>
        <w:rPr>
          <w:rFonts w:ascii="Arial" w:hAnsi="Arial"/>
          <w:b/>
          <w:color w:val="1B2A4A"/>
          <w:sz w:val="24"/>
        </w:rPr>
        <w:t>10.2 Heart Rate Details</w:t>
      </w:r>
    </w:p>
    <w:p>
      <w:pPr>
        <w:spacing w:after="50"/>
        <w:ind w:left="115" w:hanging="29"/>
      </w:pPr>
      <w:r>
        <w:rPr>
          <w:rFonts w:ascii="Arial" w:hAnsi="Arial"/>
          <w:b/>
          <w:color w:val="14A9B8"/>
          <w:sz w:val="18"/>
        </w:rPr>
        <w:t xml:space="preserve">• </w:t>
      </w:r>
      <w:r>
        <w:rPr>
          <w:rFonts w:ascii="Arial" w:hAnsi="Arial"/>
          <w:sz w:val="18"/>
        </w:rPr>
        <w:t>Latest resting rate + measurement context.</w:t>
      </w:r>
    </w:p>
    <w:p>
      <w:pPr>
        <w:spacing w:after="50"/>
        <w:ind w:left="115" w:hanging="29"/>
      </w:pPr>
      <w:r>
        <w:rPr>
          <w:rFonts w:ascii="Arial" w:hAnsi="Arial"/>
          <w:b/>
          <w:color w:val="14A9B8"/>
          <w:sz w:val="18"/>
        </w:rPr>
        <w:t xml:space="preserve">• </w:t>
      </w:r>
      <w:r>
        <w:rPr>
          <w:rFonts w:ascii="Arial" w:hAnsi="Arial"/>
          <w:sz w:val="18"/>
        </w:rPr>
        <w:t>7/14/30/60-day central tendency and observed range.</w:t>
      </w:r>
    </w:p>
    <w:p>
      <w:pPr>
        <w:spacing w:after="50"/>
        <w:ind w:left="115" w:hanging="29"/>
      </w:pPr>
      <w:r>
        <w:rPr>
          <w:rFonts w:ascii="Arial" w:hAnsi="Arial"/>
          <w:b/>
          <w:color w:val="14A9B8"/>
          <w:sz w:val="18"/>
        </w:rPr>
        <w:t xml:space="preserve">• </w:t>
      </w:r>
      <w:r>
        <w:rPr>
          <w:rFonts w:ascii="Arial" w:hAnsi="Arial"/>
          <w:sz w:val="18"/>
        </w:rPr>
        <w:t>Raw resting points + LOESS overlay; OLS direction/magnitude in details.</w:t>
      </w:r>
    </w:p>
    <w:p>
      <w:pPr>
        <w:spacing w:after="50"/>
        <w:ind w:left="115" w:hanging="29"/>
      </w:pPr>
      <w:r>
        <w:rPr>
          <w:rFonts w:ascii="Arial" w:hAnsi="Arial"/>
          <w:b/>
          <w:color w:val="14A9B8"/>
          <w:sz w:val="18"/>
        </w:rPr>
        <w:t xml:space="preserve">• </w:t>
      </w:r>
      <w:r>
        <w:rPr>
          <w:rFonts w:ascii="Arial" w:hAnsi="Arial"/>
          <w:sz w:val="18"/>
        </w:rPr>
        <w:t>Personal-baseline shift.</w:t>
      </w:r>
    </w:p>
    <w:p>
      <w:pPr>
        <w:spacing w:after="50"/>
        <w:ind w:left="115" w:hanging="29"/>
      </w:pPr>
      <w:r>
        <w:rPr>
          <w:rFonts w:ascii="Arial" w:hAnsi="Arial"/>
          <w:b/>
          <w:color w:val="14A9B8"/>
          <w:sz w:val="18"/>
        </w:rPr>
        <w:t xml:space="preserve">• </w:t>
      </w:r>
      <w:r>
        <w:rPr>
          <w:rFonts w:ascii="Arial" w:hAnsi="Arial"/>
          <w:sz w:val="18"/>
        </w:rPr>
        <w:t>High/low resting-rate reading counts with dates and symptoms.</w:t>
      </w:r>
    </w:p>
    <w:p>
      <w:pPr>
        <w:spacing w:after="50"/>
        <w:ind w:left="115" w:hanging="29"/>
      </w:pPr>
      <w:r>
        <w:rPr>
          <w:rFonts w:ascii="Arial" w:hAnsi="Arial"/>
          <w:b/>
          <w:color w:val="14A9B8"/>
          <w:sz w:val="18"/>
        </w:rPr>
        <w:t xml:space="preserve">• </w:t>
      </w:r>
      <w:r>
        <w:rPr>
          <w:rFonts w:ascii="Arial" w:hAnsi="Arial"/>
          <w:sz w:val="18"/>
        </w:rPr>
        <w:t>Time-of-day pattern cards only when data gates are met.</w:t>
      </w:r>
    </w:p>
    <w:p>
      <w:pPr>
        <w:spacing w:after="50"/>
        <w:ind w:left="115" w:hanging="29"/>
      </w:pPr>
      <w:r>
        <w:rPr>
          <w:rFonts w:ascii="Arial" w:hAnsi="Arial"/>
          <w:b/>
          <w:color w:val="14A9B8"/>
          <w:sz w:val="18"/>
        </w:rPr>
        <w:t xml:space="preserve">• </w:t>
      </w:r>
      <w:r>
        <w:rPr>
          <w:rFonts w:ascii="Arial" w:hAnsi="Arial"/>
          <w:sz w:val="18"/>
        </w:rPr>
        <w:t>Medication-change comparisons, with confounded comparisons clearly labeled.</w:t>
      </w:r>
    </w:p>
    <w:p>
      <w:pPr>
        <w:spacing w:after="50"/>
        <w:ind w:left="115" w:hanging="29"/>
      </w:pPr>
      <w:r>
        <w:rPr>
          <w:rFonts w:ascii="Arial" w:hAnsi="Arial"/>
          <w:b/>
          <w:color w:val="14A9B8"/>
          <w:sz w:val="18"/>
        </w:rPr>
        <w:t xml:space="preserve">• </w:t>
      </w:r>
      <w:r>
        <w:rPr>
          <w:rFonts w:ascii="Arial" w:hAnsi="Arial"/>
          <w:sz w:val="18"/>
        </w:rPr>
        <w:t>Linked BP/temperature/SpO2 context for selected outlier events.</w:t>
      </w:r>
    </w:p>
    <w:p>
      <w:pPr>
        <w:spacing w:after="50"/>
        <w:ind w:left="115" w:hanging="29"/>
      </w:pPr>
      <w:r>
        <w:rPr>
          <w:rFonts w:ascii="Arial" w:hAnsi="Arial"/>
          <w:b/>
          <w:color w:val="14A9B8"/>
          <w:sz w:val="18"/>
        </w:rPr>
        <w:t xml:space="preserve">• </w:t>
      </w:r>
      <w:r>
        <w:rPr>
          <w:rFonts w:ascii="Arial" w:hAnsi="Arial"/>
          <w:sz w:val="18"/>
        </w:rPr>
        <w:t>Orthostatic response module only after a guided measurement sequence exists.</w:t>
      </w:r>
    </w:p>
    <w:p>
      <w:pPr>
        <w:keepNext/>
        <w:spacing w:before="140" w:after="100"/>
      </w:pPr>
      <w:r>
        <w:rPr>
          <w:rFonts w:ascii="Arial" w:hAnsi="Arial"/>
          <w:b/>
          <w:color w:val="1B2A4A"/>
          <w:sz w:val="24"/>
        </w:rPr>
        <w:t>10.3 Physician PDF</w:t>
      </w:r>
    </w:p>
    <w:tbl>
      <w:tblPr>
        <w:tblW w:type="auto" w:w="0"/>
        <w:jc w:val="center"/>
        <w:tblLayout w:type="autofit"/>
        <w:tblLook w:firstColumn="1" w:firstRow="1" w:lastColumn="0" w:lastRow="0" w:noHBand="0" w:noVBand="1" w:val="04A0"/>
        <w:tblBorders>
          <w:top w:val="single" w:sz="0" w:space="0" w:color="EDF3F8"/>
          <w:left w:val="single" w:sz="0" w:space="0" w:color="EDF3F8"/>
          <w:bottom w:val="single" w:sz="0" w:space="0" w:color="EDF3F8"/>
          <w:right w:val="single" w:sz="0" w:space="0" w:color="EDF3F8"/>
          <w:insideH w:val="single" w:sz="0" w:space="0" w:color="EDF3F8"/>
          <w:insideV w:val="single" w:sz="0" w:space="0" w:color="EDF3F8"/>
        </w:tblBorders>
      </w:tblPr>
      <w:tblGrid>
        <w:gridCol w:w="9994"/>
      </w:tblGrid>
      <w:tr>
        <w:tc>
          <w:tcPr>
            <w:tcW w:type="dxa" w:w="9994"/>
            <w:shd w:fill="EDF3F8"/>
            <w:tcMar>
              <w:top w:w="90" w:type="dxa"/>
              <w:start w:w="120" w:type="dxa"/>
              <w:bottom w:w="90" w:type="dxa"/>
              <w:end w:w="120" w:type="dxa"/>
            </w:tcMar>
            <w:tcBorders>
              <w:left w:val="single" w:sz="22" w:color="14A9B8"/>
            </w:tcBorders>
          </w:tcPr>
          <w:p>
            <w:pPr>
              <w:spacing w:after="40"/>
            </w:pPr>
            <w:r>
              <w:rPr>
                <w:rFonts w:ascii="Arial" w:hAnsi="Arial"/>
                <w:b/>
                <w:color w:val="1B2A4A"/>
                <w:sz w:val="20"/>
              </w:rPr>
              <w:t>Example physician summary</w:t>
            </w:r>
          </w:p>
          <w:p>
            <w:pPr>
              <w:spacing w:after="0"/>
            </w:pPr>
            <w:r>
              <w:rPr>
                <w:rFonts w:ascii="Arial" w:hAnsi="Arial"/>
                <w:color w:val="20242A"/>
                <w:sz w:val="18"/>
              </w:rPr>
              <w:t>HEART RATE - 30 DAY SUMMARY</w:t>
              <w:br/>
              <w:t>Resting average: 72.4 BPM | Median: 71 BPM | Range: 48-108 BPM</w:t>
              <w:br/>
              <w:t>Trend: +0.27 BPM/day; modeled +7.8 BPM across observed span</w:t>
              <w:br/>
              <w:t>Personal baseline: recent median 77 BPM vs prior baseline 65 BPM (+12 BPM)</w:t>
              <w:br/>
              <w:t>Resting readings &gt;100 BPM: 3 of 28 | &lt;60 BPM: 5 of 28 | &lt;50 BPM: 1 of 28</w:t>
              <w:br/>
              <w:t>Symptoms: 2 low-rate readings occurred near reported dizziness</w:t>
              <w:br/>
              <w:t>Medication timeline: median resting HR 10 BPM lower after recorded dose change (temporal association; causality not inferred).</w:t>
            </w:r>
          </w:p>
        </w:tc>
      </w:tr>
    </w:tbl>
    <w:p>
      <w:pPr>
        <w:spacing w:after="20"/>
      </w:pPr>
    </w:p>
    <w:p>
      <w:pPr>
        <w:keepNext/>
        <w:spacing w:before="200" w:after="140"/>
        <w:pBdr>
          <w:bottom w:val="single" w:sz="12" w:space="3" w:color="14A9B8"/>
        </w:pBdr>
      </w:pPr>
      <w:r>
        <w:rPr>
          <w:rFonts w:ascii="Arial" w:hAnsi="Arial"/>
          <w:b/>
          <w:color w:val="1B2A4A"/>
          <w:sz w:val="32"/>
        </w:rPr>
        <w:t>11. Language and Safety Rules</w:t>
      </w:r>
    </w:p>
    <w:tbl>
      <w:tblPr>
        <w:tblW w:type="auto" w:w="0"/>
        <w:jc w:val="center"/>
        <w:tblLayout w:type="autofit"/>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4997"/>
        <w:gridCol w:w="4997"/>
      </w:tblGrid>
      <w:tr>
        <w:trPr>
          <w:cantSplit/>
          <w:tblHeader w:val="true"/>
        </w:trPr>
        <w:tc>
          <w:tcPr>
            <w:tcW w:type="dxa" w:w="4997"/>
            <w:vAlign w:val="center"/>
            <w:tcMar>
              <w:top w:w="70" w:type="dxa"/>
              <w:start w:w="90" w:type="dxa"/>
              <w:bottom w:w="70" w:type="dxa"/>
              <w:end w:w="90" w:type="dxa"/>
            </w:tcMar>
            <w:shd w:fill="1B2A4A"/>
          </w:tcPr>
          <w:p>
            <w:pPr>
              <w:spacing w:after="0"/>
            </w:pPr>
            <w:r>
              <w:rPr>
                <w:rFonts w:ascii="Arial" w:hAnsi="Arial"/>
                <w:b/>
                <w:color w:val="FFFFFF"/>
                <w:sz w:val="16"/>
              </w:rPr>
              <w:t>Preferred wording</w:t>
            </w:r>
          </w:p>
        </w:tc>
        <w:tc>
          <w:tcPr>
            <w:tcW w:type="dxa" w:w="4997"/>
            <w:vAlign w:val="center"/>
            <w:tcMar>
              <w:top w:w="70" w:type="dxa"/>
              <w:start w:w="90" w:type="dxa"/>
              <w:bottom w:w="70" w:type="dxa"/>
              <w:end w:w="90" w:type="dxa"/>
            </w:tcMar>
            <w:shd w:fill="1B2A4A"/>
          </w:tcPr>
          <w:p>
            <w:pPr>
              <w:spacing w:after="0"/>
            </w:pPr>
            <w:r>
              <w:rPr>
                <w:rFonts w:ascii="Arial" w:hAnsi="Arial"/>
                <w:b/>
                <w:color w:val="FFFFFF"/>
                <w:sz w:val="16"/>
              </w:rPr>
              <w:t>Do not say</w:t>
            </w:r>
          </w:p>
        </w:tc>
      </w:tr>
      <w:tr>
        <w:trPr>
          <w:cantSplit/>
        </w:trPr>
        <w:tc>
          <w:tcPr>
            <w:tcW w:type="dxa" w:w="4997"/>
            <w:vAlign w:val="center"/>
            <w:tcMar>
              <w:top w:w="70" w:type="dxa"/>
              <w:start w:w="90" w:type="dxa"/>
              <w:bottom w:w="70" w:type="dxa"/>
              <w:end w:w="90" w:type="dxa"/>
            </w:tcMar>
          </w:tcPr>
          <w:p>
            <w:pPr>
              <w:spacing w:after="0"/>
            </w:pPr>
            <w:r>
              <w:rPr>
                <w:rFonts w:ascii="Arial" w:hAnsi="Arial"/>
                <w:color w:val="20242A"/>
                <w:sz w:val="16"/>
              </w:rPr>
              <w:t>"Four resting readings above 100 BPM were recorded."</w:t>
            </w:r>
          </w:p>
        </w:tc>
        <w:tc>
          <w:tcPr>
            <w:tcW w:type="dxa" w:w="4997"/>
            <w:vAlign w:val="center"/>
            <w:tcMar>
              <w:top w:w="70" w:type="dxa"/>
              <w:start w:w="90" w:type="dxa"/>
              <w:bottom w:w="70" w:type="dxa"/>
              <w:end w:w="90" w:type="dxa"/>
            </w:tcMar>
          </w:tcPr>
          <w:p>
            <w:pPr>
              <w:spacing w:after="0"/>
            </w:pPr>
            <w:r>
              <w:rPr>
                <w:rFonts w:ascii="Arial" w:hAnsi="Arial"/>
                <w:color w:val="20242A"/>
                <w:sz w:val="16"/>
              </w:rPr>
              <w:t>"You have tachycardia."</w:t>
            </w:r>
          </w:p>
        </w:tc>
      </w:tr>
      <w:tr>
        <w:trPr>
          <w:cantSplit/>
        </w:trPr>
        <w:tc>
          <w:tcPr>
            <w:tcW w:type="dxa" w:w="4997"/>
            <w:vAlign w:val="center"/>
            <w:tcMar>
              <w:top w:w="70" w:type="dxa"/>
              <w:start w:w="90" w:type="dxa"/>
              <w:bottom w:w="70" w:type="dxa"/>
              <w:end w:w="90" w:type="dxa"/>
            </w:tcMar>
          </w:tcPr>
          <w:p>
            <w:pPr>
              <w:spacing w:after="0"/>
            </w:pPr>
            <w:r>
              <w:rPr>
                <w:rFonts w:ascii="Arial" w:hAnsi="Arial"/>
                <w:color w:val="20242A"/>
                <w:sz w:val="16"/>
              </w:rPr>
              <w:t>"Recent resting rate is 12 BPM higher than the preceding baseline."</w:t>
            </w:r>
          </w:p>
        </w:tc>
        <w:tc>
          <w:tcPr>
            <w:tcW w:type="dxa" w:w="4997"/>
            <w:vAlign w:val="center"/>
            <w:tcMar>
              <w:top w:w="70" w:type="dxa"/>
              <w:start w:w="90" w:type="dxa"/>
              <w:bottom w:w="70" w:type="dxa"/>
              <w:end w:w="90" w:type="dxa"/>
            </w:tcMar>
          </w:tcPr>
          <w:p>
            <w:pPr>
              <w:spacing w:after="0"/>
            </w:pPr>
            <w:r>
              <w:rPr>
                <w:rFonts w:ascii="Arial" w:hAnsi="Arial"/>
                <w:color w:val="20242A"/>
                <w:sz w:val="16"/>
              </w:rPr>
              <w:t>"Your heart condition is worsening."</w:t>
            </w:r>
          </w:p>
        </w:tc>
      </w:tr>
      <w:tr>
        <w:trPr>
          <w:cantSplit/>
        </w:trPr>
        <w:tc>
          <w:tcPr>
            <w:tcW w:type="dxa" w:w="4997"/>
            <w:vAlign w:val="center"/>
            <w:tcMar>
              <w:top w:w="70" w:type="dxa"/>
              <w:start w:w="90" w:type="dxa"/>
              <w:bottom w:w="70" w:type="dxa"/>
              <w:end w:w="90" w:type="dxa"/>
            </w:tcMar>
          </w:tcPr>
          <w:p>
            <w:pPr>
              <w:spacing w:after="0"/>
            </w:pPr>
            <w:r>
              <w:rPr>
                <w:rFonts w:ascii="Arial" w:hAnsi="Arial"/>
                <w:color w:val="20242A"/>
                <w:sz w:val="16"/>
              </w:rPr>
              <w:t>"The lower readings occurred after the medication change."</w:t>
            </w:r>
          </w:p>
        </w:tc>
        <w:tc>
          <w:tcPr>
            <w:tcW w:type="dxa" w:w="4997"/>
            <w:vAlign w:val="center"/>
            <w:tcMar>
              <w:top w:w="70" w:type="dxa"/>
              <w:start w:w="90" w:type="dxa"/>
              <w:bottom w:w="70" w:type="dxa"/>
              <w:end w:w="90" w:type="dxa"/>
            </w:tcMar>
          </w:tcPr>
          <w:p>
            <w:pPr>
              <w:spacing w:after="0"/>
            </w:pPr>
            <w:r>
              <w:rPr>
                <w:rFonts w:ascii="Arial" w:hAnsi="Arial"/>
                <w:color w:val="20242A"/>
                <w:sz w:val="16"/>
              </w:rPr>
              <w:t>"The medication caused bradycardia."</w:t>
            </w:r>
          </w:p>
        </w:tc>
      </w:tr>
      <w:tr>
        <w:trPr>
          <w:cantSplit/>
        </w:trPr>
        <w:tc>
          <w:tcPr>
            <w:tcW w:type="dxa" w:w="4997"/>
            <w:vAlign w:val="center"/>
            <w:tcMar>
              <w:top w:w="70" w:type="dxa"/>
              <w:start w:w="90" w:type="dxa"/>
              <w:bottom w:w="70" w:type="dxa"/>
              <w:end w:w="90" w:type="dxa"/>
            </w:tcMar>
          </w:tcPr>
          <w:p>
            <w:pPr>
              <w:spacing w:after="0"/>
            </w:pPr>
            <w:r>
              <w:rPr>
                <w:rFonts w:ascii="Arial" w:hAnsi="Arial"/>
                <w:color w:val="20242A"/>
                <w:sz w:val="16"/>
              </w:rPr>
              <w:t>"Two dizziness episodes occurred near low heart-rate readings."</w:t>
            </w:r>
          </w:p>
        </w:tc>
        <w:tc>
          <w:tcPr>
            <w:tcW w:type="dxa" w:w="4997"/>
            <w:vAlign w:val="center"/>
            <w:tcMar>
              <w:top w:w="70" w:type="dxa"/>
              <w:start w:w="90" w:type="dxa"/>
              <w:bottom w:w="70" w:type="dxa"/>
              <w:end w:w="90" w:type="dxa"/>
            </w:tcMar>
          </w:tcPr>
          <w:p>
            <w:pPr>
              <w:spacing w:after="0"/>
            </w:pPr>
            <w:r>
              <w:rPr>
                <w:rFonts w:ascii="Arial" w:hAnsi="Arial"/>
                <w:color w:val="20242A"/>
                <w:sz w:val="16"/>
              </w:rPr>
              <w:t>"Your low heart rate caused dizziness."</w:t>
            </w:r>
          </w:p>
        </w:tc>
      </w:tr>
      <w:tr>
        <w:trPr>
          <w:cantSplit/>
        </w:trPr>
        <w:tc>
          <w:tcPr>
            <w:tcW w:type="dxa" w:w="4997"/>
            <w:vAlign w:val="center"/>
            <w:tcMar>
              <w:top w:w="70" w:type="dxa"/>
              <w:start w:w="90" w:type="dxa"/>
              <w:bottom w:w="70" w:type="dxa"/>
              <w:end w:w="90" w:type="dxa"/>
            </w:tcMar>
          </w:tcPr>
          <w:p>
            <w:pPr>
              <w:spacing w:after="0"/>
            </w:pPr>
            <w:r>
              <w:rPr>
                <w:rFonts w:ascii="Arial" w:hAnsi="Arial"/>
                <w:color w:val="20242A"/>
                <w:sz w:val="16"/>
              </w:rPr>
              <w:t>"Between-reading SD was 8.2 BPM."</w:t>
            </w:r>
          </w:p>
        </w:tc>
        <w:tc>
          <w:tcPr>
            <w:tcW w:type="dxa" w:w="4997"/>
            <w:vAlign w:val="center"/>
            <w:tcMar>
              <w:top w:w="70" w:type="dxa"/>
              <w:start w:w="90" w:type="dxa"/>
              <w:bottom w:w="70" w:type="dxa"/>
              <w:end w:w="90" w:type="dxa"/>
            </w:tcMar>
          </w:tcPr>
          <w:p>
            <w:pPr>
              <w:spacing w:after="0"/>
            </w:pPr>
            <w:r>
              <w:rPr>
                <w:rFonts w:ascii="Arial" w:hAnsi="Arial"/>
                <w:color w:val="20242A"/>
                <w:sz w:val="16"/>
              </w:rPr>
              <w:t>"HRV was 8.2 BPM" from spot readings.</w:t>
            </w:r>
          </w:p>
        </w:tc>
      </w:tr>
      <w:tr>
        <w:trPr>
          <w:cantSplit/>
        </w:trPr>
        <w:tc>
          <w:tcPr>
            <w:tcW w:type="dxa" w:w="4997"/>
            <w:vAlign w:val="center"/>
            <w:tcMar>
              <w:top w:w="70" w:type="dxa"/>
              <w:start w:w="90" w:type="dxa"/>
              <w:bottom w:w="70" w:type="dxa"/>
              <w:end w:w="90" w:type="dxa"/>
            </w:tcMar>
          </w:tcPr>
          <w:p>
            <w:pPr>
              <w:spacing w:after="0"/>
            </w:pPr>
            <w:r>
              <w:rPr>
                <w:rFonts w:ascii="Arial" w:hAnsi="Arial"/>
                <w:color w:val="20242A"/>
                <w:sz w:val="16"/>
              </w:rPr>
              <w:t>"The rate was recorded with an elevated temperature."</w:t>
            </w:r>
          </w:p>
        </w:tc>
        <w:tc>
          <w:tcPr>
            <w:tcW w:type="dxa" w:w="4997"/>
            <w:vAlign w:val="center"/>
            <w:tcMar>
              <w:top w:w="70" w:type="dxa"/>
              <w:start w:w="90" w:type="dxa"/>
              <w:bottom w:w="70" w:type="dxa"/>
              <w:end w:w="90" w:type="dxa"/>
            </w:tcMar>
          </w:tcPr>
          <w:p>
            <w:pPr>
              <w:spacing w:after="0"/>
            </w:pPr>
            <w:r>
              <w:rPr>
                <w:rFonts w:ascii="Arial" w:hAnsi="Arial"/>
                <w:color w:val="20242A"/>
                <w:sz w:val="16"/>
              </w:rPr>
              <w:t>"The fever caused the high heart rate."</w:t>
            </w:r>
          </w:p>
        </w:tc>
      </w:tr>
    </w:tbl>
    <w:p>
      <w:pPr>
        <w:spacing w:after="20"/>
      </w:pPr>
    </w:p>
    <w:p>
      <w:pPr>
        <w:spacing w:after="100"/>
      </w:pPr>
      <w:r>
        <w:rPr>
          <w:rFonts w:ascii="Arial" w:hAnsi="Arial"/>
          <w:i w:val="0"/>
          <w:color w:val="20242A"/>
          <w:sz w:val="19"/>
        </w:rPr>
        <w:t>Escalation/urgent-care messaging is intentionally outside this engineering specification because it becomes a clinical triage feature. Any future symptom/rate safety alerts require separate clinical review, product policy, and regulatory assessment.</w:t>
      </w:r>
    </w:p>
    <w:p>
      <w:pPr>
        <w:keepNext/>
        <w:spacing w:before="200" w:after="140"/>
        <w:pBdr>
          <w:bottom w:val="single" w:sz="12" w:space="3" w:color="14A9B8"/>
        </w:pBdr>
      </w:pPr>
      <w:r>
        <w:rPr>
          <w:rFonts w:ascii="Arial" w:hAnsi="Arial"/>
          <w:b/>
          <w:color w:val="1B2A4A"/>
          <w:sz w:val="32"/>
        </w:rPr>
        <w:t>12. Deterministic Test Vectors</w:t>
      </w:r>
    </w:p>
    <w:p>
      <w:pPr>
        <w:spacing w:after="100"/>
      </w:pPr>
      <w:r>
        <w:rPr>
          <w:rFonts w:ascii="Arial" w:hAnsi="Arial"/>
          <w:i w:val="0"/>
          <w:color w:val="20242A"/>
          <w:sz w:val="19"/>
        </w:rPr>
        <w:t>The backend and any client-side mirror implementation should pass the same reference vectors. Values below are intentionally simple so failures are obvious.</w:t>
      </w:r>
    </w:p>
    <w:tbl>
      <w:tblPr>
        <w:tblW w:type="auto" w:w="0"/>
        <w:jc w:val="center"/>
        <w:tblLayout w:type="autofit"/>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3331"/>
        <w:gridCol w:w="3331"/>
        <w:gridCol w:w="3331"/>
      </w:tblGrid>
      <w:tr>
        <w:trPr>
          <w:cantSplit/>
          <w:tblHeader w:val="true"/>
        </w:trPr>
        <w:tc>
          <w:tcPr>
            <w:tcW w:type="dxa" w:w="3331"/>
            <w:vAlign w:val="center"/>
            <w:tcMar>
              <w:top w:w="70" w:type="dxa"/>
              <w:start w:w="90" w:type="dxa"/>
              <w:bottom w:w="70" w:type="dxa"/>
              <w:end w:w="90" w:type="dxa"/>
            </w:tcMar>
            <w:shd w:fill="1B2A4A"/>
          </w:tcPr>
          <w:p>
            <w:pPr>
              <w:spacing w:after="0"/>
            </w:pPr>
            <w:r>
              <w:rPr>
                <w:rFonts w:ascii="Arial" w:hAnsi="Arial"/>
                <w:b/>
                <w:color w:val="FFFFFF"/>
                <w:sz w:val="15"/>
              </w:rPr>
              <w:t>Vector</w:t>
            </w:r>
          </w:p>
        </w:tc>
        <w:tc>
          <w:tcPr>
            <w:tcW w:type="dxa" w:w="3331"/>
            <w:vAlign w:val="center"/>
            <w:tcMar>
              <w:top w:w="70" w:type="dxa"/>
              <w:start w:w="90" w:type="dxa"/>
              <w:bottom w:w="70" w:type="dxa"/>
              <w:end w:w="90" w:type="dxa"/>
            </w:tcMar>
            <w:shd w:fill="1B2A4A"/>
          </w:tcPr>
          <w:p>
            <w:pPr>
              <w:spacing w:after="0"/>
            </w:pPr>
            <w:r>
              <w:rPr>
                <w:rFonts w:ascii="Arial" w:hAnsi="Arial"/>
                <w:b/>
                <w:color w:val="FFFFFF"/>
                <w:sz w:val="15"/>
              </w:rPr>
              <w:t>Input</w:t>
            </w:r>
          </w:p>
        </w:tc>
        <w:tc>
          <w:tcPr>
            <w:tcW w:type="dxa" w:w="3331"/>
            <w:vAlign w:val="center"/>
            <w:tcMar>
              <w:top w:w="70" w:type="dxa"/>
              <w:start w:w="90" w:type="dxa"/>
              <w:bottom w:w="70" w:type="dxa"/>
              <w:end w:w="90" w:type="dxa"/>
            </w:tcMar>
            <w:shd w:fill="1B2A4A"/>
          </w:tcPr>
          <w:p>
            <w:pPr>
              <w:spacing w:after="0"/>
            </w:pPr>
            <w:r>
              <w:rPr>
                <w:rFonts w:ascii="Arial" w:hAnsi="Arial"/>
                <w:b/>
                <w:color w:val="FFFFFF"/>
                <w:sz w:val="15"/>
              </w:rPr>
              <w:t>Expected output</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A - central tendency / OLS</w:t>
            </w:r>
          </w:p>
        </w:tc>
        <w:tc>
          <w:tcPr>
            <w:tcW w:type="dxa" w:w="3331"/>
            <w:vAlign w:val="center"/>
            <w:tcMar>
              <w:top w:w="70" w:type="dxa"/>
              <w:start w:w="90" w:type="dxa"/>
              <w:bottom w:w="70" w:type="dxa"/>
              <w:end w:w="90" w:type="dxa"/>
            </w:tcMar>
          </w:tcPr>
          <w:p>
            <w:pPr>
              <w:spacing w:after="0"/>
            </w:pPr>
            <w:r>
              <w:rPr>
                <w:rFonts w:ascii="Arial" w:hAnsi="Arial"/>
                <w:color w:val="20242A"/>
                <w:sz w:val="15"/>
              </w:rPr>
              <w:t>Days x=[0,1,2,3,4]; BPM y=[68,70,72,74,76]</w:t>
            </w:r>
          </w:p>
        </w:tc>
        <w:tc>
          <w:tcPr>
            <w:tcW w:type="dxa" w:w="3331"/>
            <w:vAlign w:val="center"/>
            <w:tcMar>
              <w:top w:w="70" w:type="dxa"/>
              <w:start w:w="90" w:type="dxa"/>
              <w:bottom w:w="70" w:type="dxa"/>
              <w:end w:w="90" w:type="dxa"/>
            </w:tcMar>
          </w:tcPr>
          <w:p>
            <w:pPr>
              <w:spacing w:after="0"/>
            </w:pPr>
            <w:r>
              <w:rPr>
                <w:rFonts w:ascii="Arial" w:hAnsi="Arial"/>
                <w:color w:val="20242A"/>
                <w:sz w:val="15"/>
              </w:rPr>
              <w:t>mean=72; median=72; min=68; max=76; range=8; sample SD=sqrt(10)=3.1623; slope=2.0 BPM/day; intercept=68; R^2=1.0; modeled change=8 BPM.</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B - threshold counts</w:t>
            </w:r>
          </w:p>
        </w:tc>
        <w:tc>
          <w:tcPr>
            <w:tcW w:type="dxa" w:w="3331"/>
            <w:vAlign w:val="center"/>
            <w:tcMar>
              <w:top w:w="70" w:type="dxa"/>
              <w:start w:w="90" w:type="dxa"/>
              <w:bottom w:w="70" w:type="dxa"/>
              <w:end w:w="90" w:type="dxa"/>
            </w:tcMar>
          </w:tcPr>
          <w:p>
            <w:pPr>
              <w:spacing w:after="0"/>
            </w:pPr>
            <w:r>
              <w:rPr>
                <w:rFonts w:ascii="Arial" w:hAnsi="Arial"/>
                <w:color w:val="20242A"/>
                <w:sz w:val="15"/>
              </w:rPr>
              <w:t>Resting BPM [58,59,62,104,108,72]</w:t>
            </w:r>
          </w:p>
        </w:tc>
        <w:tc>
          <w:tcPr>
            <w:tcW w:type="dxa" w:w="3331"/>
            <w:vAlign w:val="center"/>
            <w:tcMar>
              <w:top w:w="70" w:type="dxa"/>
              <w:start w:w="90" w:type="dxa"/>
              <w:bottom w:w="70" w:type="dxa"/>
              <w:end w:w="90" w:type="dxa"/>
            </w:tcMar>
          </w:tcPr>
          <w:p>
            <w:pPr>
              <w:spacing w:after="0"/>
            </w:pPr>
            <w:r>
              <w:rPr>
                <w:rFonts w:ascii="Arial" w:hAnsi="Arial"/>
                <w:color w:val="20242A"/>
                <w:sz w:val="15"/>
              </w:rPr>
              <w:t>n=6; low&lt;60: 2 (33.3%); high&gt;100: 2 (33.3%); marked-low&lt;50: 0.</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C - personal baseline</w:t>
            </w:r>
          </w:p>
        </w:tc>
        <w:tc>
          <w:tcPr>
            <w:tcW w:type="dxa" w:w="3331"/>
            <w:vAlign w:val="center"/>
            <w:tcMar>
              <w:top w:w="70" w:type="dxa"/>
              <w:start w:w="90" w:type="dxa"/>
              <w:bottom w:w="70" w:type="dxa"/>
              <w:end w:w="90" w:type="dxa"/>
            </w:tcMar>
          </w:tcPr>
          <w:p>
            <w:pPr>
              <w:spacing w:after="0"/>
            </w:pPr>
            <w:r>
              <w:rPr>
                <w:rFonts w:ascii="Arial" w:hAnsi="Arial"/>
                <w:color w:val="20242A"/>
                <w:sz w:val="15"/>
              </w:rPr>
              <w:t>Baseline [64,66,65,67,63]; recent [76,78,77]</w:t>
            </w:r>
          </w:p>
        </w:tc>
        <w:tc>
          <w:tcPr>
            <w:tcW w:type="dxa" w:w="3331"/>
            <w:vAlign w:val="center"/>
            <w:tcMar>
              <w:top w:w="70" w:type="dxa"/>
              <w:start w:w="90" w:type="dxa"/>
              <w:bottom w:w="70" w:type="dxa"/>
              <w:end w:w="90" w:type="dxa"/>
            </w:tcMar>
          </w:tcPr>
          <w:p>
            <w:pPr>
              <w:spacing w:after="0"/>
            </w:pPr>
            <w:r>
              <w:rPr>
                <w:rFonts w:ascii="Arial" w:hAnsi="Arial"/>
                <w:color w:val="20242A"/>
                <w:sz w:val="15"/>
              </w:rPr>
              <w:t>baseline median=65; recent median=77; Delta=+12 BPM; Delta%=18.4615%.</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D - medication association</w:t>
            </w:r>
          </w:p>
        </w:tc>
        <w:tc>
          <w:tcPr>
            <w:tcW w:type="dxa" w:w="3331"/>
            <w:vAlign w:val="center"/>
            <w:tcMar>
              <w:top w:w="70" w:type="dxa"/>
              <w:start w:w="90" w:type="dxa"/>
              <w:bottom w:w="70" w:type="dxa"/>
              <w:end w:w="90" w:type="dxa"/>
            </w:tcMar>
          </w:tcPr>
          <w:p>
            <w:pPr>
              <w:spacing w:after="0"/>
            </w:pPr>
            <w:r>
              <w:rPr>
                <w:rFonts w:ascii="Arial" w:hAnsi="Arial"/>
                <w:color w:val="20242A"/>
                <w:sz w:val="15"/>
              </w:rPr>
              <w:t>PRE [78,80,79,77]; POST [68,70,69,67]</w:t>
            </w:r>
          </w:p>
        </w:tc>
        <w:tc>
          <w:tcPr>
            <w:tcW w:type="dxa" w:w="3331"/>
            <w:vAlign w:val="center"/>
            <w:tcMar>
              <w:top w:w="70" w:type="dxa"/>
              <w:start w:w="90" w:type="dxa"/>
              <w:bottom w:w="70" w:type="dxa"/>
              <w:end w:w="90" w:type="dxa"/>
            </w:tcMar>
          </w:tcPr>
          <w:p>
            <w:pPr>
              <w:spacing w:after="0"/>
            </w:pPr>
            <w:r>
              <w:rPr>
                <w:rFonts w:ascii="Arial" w:hAnsi="Arial"/>
                <w:color w:val="20242A"/>
                <w:sz w:val="15"/>
              </w:rPr>
              <w:t>M_pre=78.5; M_post=68.5; Delta=-10.0 BPM; Delta%=-12.7389%.</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E - symptom window</w:t>
            </w:r>
          </w:p>
        </w:tc>
        <w:tc>
          <w:tcPr>
            <w:tcW w:type="dxa" w:w="3331"/>
            <w:vAlign w:val="center"/>
            <w:tcMar>
              <w:top w:w="70" w:type="dxa"/>
              <w:start w:w="90" w:type="dxa"/>
              <w:bottom w:w="70" w:type="dxa"/>
              <w:end w:w="90" w:type="dxa"/>
            </w:tcMar>
          </w:tcPr>
          <w:p>
            <w:pPr>
              <w:spacing w:after="0"/>
            </w:pPr>
            <w:r>
              <w:rPr>
                <w:rFonts w:ascii="Arial" w:hAnsi="Arial"/>
                <w:color w:val="20242A"/>
                <w:sz w:val="15"/>
              </w:rPr>
              <w:t>Dizziness 10:00; HR 52 at 10:04. Palpitations 15:00; HR 112 at 15:12. HR 118 at 15:20.</w:t>
            </w:r>
          </w:p>
        </w:tc>
        <w:tc>
          <w:tcPr>
            <w:tcW w:type="dxa" w:w="3331"/>
            <w:vAlign w:val="center"/>
            <w:tcMar>
              <w:top w:w="70" w:type="dxa"/>
              <w:start w:w="90" w:type="dxa"/>
              <w:bottom w:w="70" w:type="dxa"/>
              <w:end w:w="90" w:type="dxa"/>
            </w:tcMar>
          </w:tcPr>
          <w:p>
            <w:pPr>
              <w:spacing w:after="0"/>
            </w:pPr>
            <w:r>
              <w:rPr>
                <w:rFonts w:ascii="Arial" w:hAnsi="Arial"/>
                <w:color w:val="20242A"/>
                <w:sz w:val="15"/>
              </w:rPr>
              <w:t>With +/-15 min fallback: 52 and 112 are associated; 118 at +20 min is not selected for the 15:00 symptom.</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F - orthostatic deltas</w:t>
            </w:r>
          </w:p>
        </w:tc>
        <w:tc>
          <w:tcPr>
            <w:tcW w:type="dxa" w:w="3331"/>
            <w:vAlign w:val="center"/>
            <w:tcMar>
              <w:top w:w="70" w:type="dxa"/>
              <w:start w:w="90" w:type="dxa"/>
              <w:bottom w:w="70" w:type="dxa"/>
              <w:end w:w="90" w:type="dxa"/>
            </w:tcMar>
          </w:tcPr>
          <w:p>
            <w:pPr>
              <w:spacing w:after="0"/>
            </w:pPr>
            <w:r>
              <w:rPr>
                <w:rFonts w:ascii="Arial" w:hAnsi="Arial"/>
                <w:color w:val="20242A"/>
                <w:sz w:val="15"/>
              </w:rPr>
              <w:t>Supine HR 68, BP 128/76; 1m HR 88, BP 112/68; 3m HR 82, BP 116/70</w:t>
            </w:r>
          </w:p>
        </w:tc>
        <w:tc>
          <w:tcPr>
            <w:tcW w:type="dxa" w:w="3331"/>
            <w:vAlign w:val="center"/>
            <w:tcMar>
              <w:top w:w="70" w:type="dxa"/>
              <w:start w:w="90" w:type="dxa"/>
              <w:bottom w:w="70" w:type="dxa"/>
              <w:end w:w="90" w:type="dxa"/>
            </w:tcMar>
          </w:tcPr>
          <w:p>
            <w:pPr>
              <w:spacing w:after="0"/>
            </w:pPr>
            <w:r>
              <w:rPr>
                <w:rFonts w:ascii="Arial" w:hAnsi="Arial"/>
                <w:color w:val="20242A"/>
                <w:sz w:val="15"/>
              </w:rPr>
              <w:t>1m: DeltaHR=+20, DeltaSBP=-16, DeltaDBP=-8. 3m: DeltaHR=+14, DeltaSBP=-12, DeltaDBP=-6.</w:t>
            </w:r>
          </w:p>
        </w:tc>
      </w:tr>
    </w:tbl>
    <w:p>
      <w:pPr>
        <w:spacing w:after="20"/>
      </w:pPr>
    </w:p>
    <w:p>
      <w:pPr>
        <w:keepNext/>
        <w:spacing w:before="200" w:after="140"/>
        <w:pBdr>
          <w:bottom w:val="single" w:sz="12" w:space="3" w:color="14A9B8"/>
        </w:pBdr>
      </w:pPr>
      <w:r>
        <w:rPr>
          <w:rFonts w:ascii="Arial" w:hAnsi="Arial"/>
          <w:b/>
          <w:color w:val="1B2A4A"/>
          <w:sz w:val="32"/>
        </w:rPr>
        <w:t>13. Verification Requirements</w:t>
      </w:r>
    </w:p>
    <w:p>
      <w:pPr>
        <w:spacing w:after="50"/>
        <w:ind w:left="115" w:hanging="29"/>
      </w:pPr>
      <w:r>
        <w:rPr>
          <w:rFonts w:ascii="Arial" w:hAnsi="Arial"/>
          <w:b/>
          <w:color w:val="14A9B8"/>
          <w:sz w:val="18"/>
        </w:rPr>
        <w:t xml:space="preserve">• </w:t>
      </w:r>
      <w:r>
        <w:rPr>
          <w:rFonts w:ascii="Arial" w:hAnsi="Arial"/>
          <w:sz w:val="18"/>
        </w:rPr>
        <w:t>Unit-test every formula and every eligibility gate independently.</w:t>
      </w:r>
    </w:p>
    <w:p>
      <w:pPr>
        <w:spacing w:after="50"/>
        <w:ind w:left="115" w:hanging="29"/>
      </w:pPr>
      <w:r>
        <w:rPr>
          <w:rFonts w:ascii="Arial" w:hAnsi="Arial"/>
          <w:b/>
          <w:color w:val="14A9B8"/>
          <w:sz w:val="18"/>
        </w:rPr>
        <w:t xml:space="preserve">• </w:t>
      </w:r>
      <w:r>
        <w:rPr>
          <w:rFonts w:ascii="Arial" w:hAnsi="Arial"/>
          <w:sz w:val="18"/>
        </w:rPr>
        <w:t>Run date/time tests around midnight, daylight-saving transitions, and time-zone changes; time-of-day buckets must use the reading's original local offset.</w:t>
      </w:r>
    </w:p>
    <w:p>
      <w:pPr>
        <w:spacing w:after="50"/>
        <w:ind w:left="115" w:hanging="29"/>
      </w:pPr>
      <w:r>
        <w:rPr>
          <w:rFonts w:ascii="Arial" w:hAnsi="Arial"/>
          <w:b/>
          <w:color w:val="14A9B8"/>
          <w:sz w:val="18"/>
        </w:rPr>
        <w:t xml:space="preserve">• </w:t>
      </w:r>
      <w:r>
        <w:rPr>
          <w:rFonts w:ascii="Arial" w:hAnsi="Arial"/>
          <w:sz w:val="18"/>
        </w:rPr>
        <w:t>Verify invalidated readings are excluded from calculations but remain auditable in History.</w:t>
      </w:r>
    </w:p>
    <w:p>
      <w:pPr>
        <w:spacing w:after="50"/>
        <w:ind w:left="115" w:hanging="29"/>
      </w:pPr>
      <w:r>
        <w:rPr>
          <w:rFonts w:ascii="Arial" w:hAnsi="Arial"/>
          <w:b/>
          <w:color w:val="14A9B8"/>
          <w:sz w:val="18"/>
        </w:rPr>
        <w:t xml:space="preserve">• </w:t>
      </w:r>
      <w:r>
        <w:rPr>
          <w:rFonts w:ascii="Arial" w:hAnsi="Arial"/>
          <w:sz w:val="18"/>
        </w:rPr>
        <w:t>Verify unknown-context readings never enter resting trend, resting threshold, or baseline calculations by default.</w:t>
      </w:r>
    </w:p>
    <w:p>
      <w:pPr>
        <w:spacing w:after="50"/>
        <w:ind w:left="115" w:hanging="29"/>
      </w:pPr>
      <w:r>
        <w:rPr>
          <w:rFonts w:ascii="Arial" w:hAnsi="Arial"/>
          <w:b/>
          <w:color w:val="14A9B8"/>
          <w:sz w:val="18"/>
        </w:rPr>
        <w:t xml:space="preserve">• </w:t>
      </w:r>
      <w:r>
        <w:rPr>
          <w:rFonts w:ascii="Arial" w:hAnsi="Arial"/>
          <w:sz w:val="18"/>
        </w:rPr>
        <w:t>Verify threshold boundary semantics exactly: default high is &gt;100; low is &lt;60; marked-low reference is &lt;50. A reading of exactly 100 is not in the default high set; exactly 60 is not in the low set.</w:t>
      </w:r>
    </w:p>
    <w:p>
      <w:pPr>
        <w:spacing w:after="50"/>
        <w:ind w:left="115" w:hanging="29"/>
      </w:pPr>
      <w:r>
        <w:rPr>
          <w:rFonts w:ascii="Arial" w:hAnsi="Arial"/>
          <w:b/>
          <w:color w:val="14A9B8"/>
          <w:sz w:val="18"/>
        </w:rPr>
        <w:t xml:space="preserve">• </w:t>
      </w:r>
      <w:r>
        <w:rPr>
          <w:rFonts w:ascii="Arial" w:hAnsi="Arial"/>
          <w:sz w:val="18"/>
        </w:rPr>
        <w:t>Verify custom clinician/patient target thresholds replace reference thresholds without changing stored raw readings.</w:t>
      </w:r>
    </w:p>
    <w:p>
      <w:pPr>
        <w:spacing w:after="50"/>
        <w:ind w:left="115" w:hanging="29"/>
      </w:pPr>
      <w:r>
        <w:rPr>
          <w:rFonts w:ascii="Arial" w:hAnsi="Arial"/>
          <w:b/>
          <w:color w:val="14A9B8"/>
          <w:sz w:val="18"/>
        </w:rPr>
        <w:t xml:space="preserve">• </w:t>
      </w:r>
      <w:r>
        <w:rPr>
          <w:rFonts w:ascii="Arial" w:hAnsi="Arial"/>
          <w:sz w:val="18"/>
        </w:rPr>
        <w:t>Verify OLS against a trusted numerical library and compare R^2, slope SE, t statistic, and p-value within tight tolerance.</w:t>
      </w:r>
    </w:p>
    <w:p>
      <w:pPr>
        <w:spacing w:after="50"/>
        <w:ind w:left="115" w:hanging="29"/>
      </w:pPr>
      <w:r>
        <w:rPr>
          <w:rFonts w:ascii="Arial" w:hAnsi="Arial"/>
          <w:b/>
          <w:color w:val="14A9B8"/>
          <w:sz w:val="18"/>
        </w:rPr>
        <w:t xml:space="preserve">• </w:t>
      </w:r>
      <w:r>
        <w:rPr>
          <w:rFonts w:ascii="Arial" w:hAnsi="Arial"/>
          <w:sz w:val="18"/>
        </w:rPr>
        <w:t>Verify LOESS weighting/neighbor selection against a reference implementation using the same span and local-linear degree.</w:t>
      </w:r>
    </w:p>
    <w:p>
      <w:pPr>
        <w:spacing w:after="50"/>
        <w:ind w:left="115" w:hanging="29"/>
      </w:pPr>
      <w:r>
        <w:rPr>
          <w:rFonts w:ascii="Arial" w:hAnsi="Arial"/>
          <w:b/>
          <w:color w:val="14A9B8"/>
          <w:sz w:val="18"/>
        </w:rPr>
        <w:t xml:space="preserve">• </w:t>
      </w:r>
      <w:r>
        <w:rPr>
          <w:rFonts w:ascii="Arial" w:hAnsi="Arial"/>
          <w:sz w:val="18"/>
        </w:rPr>
        <w:t>Verify same-event cross-vital linkage takes precedence over timestamp matching.</w:t>
      </w:r>
    </w:p>
    <w:p>
      <w:pPr>
        <w:spacing w:after="50"/>
        <w:ind w:left="115" w:hanging="29"/>
      </w:pPr>
      <w:r>
        <w:rPr>
          <w:rFonts w:ascii="Arial" w:hAnsi="Arial"/>
          <w:b/>
          <w:color w:val="14A9B8"/>
          <w:sz w:val="18"/>
        </w:rPr>
        <w:t xml:space="preserve">• </w:t>
      </w:r>
      <w:r>
        <w:rPr>
          <w:rFonts w:ascii="Arial" w:hAnsi="Arial"/>
          <w:sz w:val="18"/>
        </w:rPr>
        <w:t>Verify medication comparisons are marked confounded when another medication change overlaps the comparison interval.</w:t>
      </w:r>
    </w:p>
    <w:p>
      <w:pPr>
        <w:spacing w:after="50"/>
        <w:ind w:left="115" w:hanging="29"/>
      </w:pPr>
      <w:r>
        <w:rPr>
          <w:rFonts w:ascii="Arial" w:hAnsi="Arial"/>
          <w:b/>
          <w:color w:val="14A9B8"/>
          <w:sz w:val="18"/>
        </w:rPr>
        <w:t xml:space="preserve">• </w:t>
      </w:r>
      <w:r>
        <w:rPr>
          <w:rFonts w:ascii="Arial" w:hAnsi="Arial"/>
          <w:sz w:val="18"/>
        </w:rPr>
        <w:t>Verify UI and PDF consume the same analysis DTO and produce the same displayed values after rounding.</w:t>
      </w:r>
    </w:p>
    <w:p>
      <w:pPr>
        <w:keepNext/>
        <w:spacing w:before="200" w:after="140"/>
        <w:pBdr>
          <w:bottom w:val="single" w:sz="12" w:space="3" w:color="14A9B8"/>
        </w:pBdr>
      </w:pPr>
      <w:r>
        <w:rPr>
          <w:rFonts w:ascii="Arial" w:hAnsi="Arial"/>
          <w:b/>
          <w:color w:val="1B2A4A"/>
          <w:sz w:val="32"/>
        </w:rPr>
        <w:t>14. Recommended Implementation Order</w:t>
      </w:r>
    </w:p>
    <w:tbl>
      <w:tblPr>
        <w:tblW w:type="auto" w:w="0"/>
        <w:jc w:val="center"/>
        <w:tblLayout w:type="autofit"/>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3331"/>
        <w:gridCol w:w="3331"/>
        <w:gridCol w:w="3331"/>
      </w:tblGrid>
      <w:tr>
        <w:trPr>
          <w:cantSplit/>
          <w:tblHeader w:val="true"/>
        </w:trPr>
        <w:tc>
          <w:tcPr>
            <w:tcW w:type="dxa" w:w="3331"/>
            <w:vAlign w:val="center"/>
            <w:tcMar>
              <w:top w:w="70" w:type="dxa"/>
              <w:start w:w="90" w:type="dxa"/>
              <w:bottom w:w="70" w:type="dxa"/>
              <w:end w:w="90" w:type="dxa"/>
            </w:tcMar>
            <w:shd w:fill="1B2A4A"/>
          </w:tcPr>
          <w:p>
            <w:pPr>
              <w:spacing w:after="0"/>
            </w:pPr>
            <w:r>
              <w:rPr>
                <w:rFonts w:ascii="Arial" w:hAnsi="Arial"/>
                <w:b/>
                <w:color w:val="FFFFFF"/>
                <w:sz w:val="15"/>
              </w:rPr>
              <w:t>Step</w:t>
            </w:r>
          </w:p>
        </w:tc>
        <w:tc>
          <w:tcPr>
            <w:tcW w:type="dxa" w:w="3331"/>
            <w:vAlign w:val="center"/>
            <w:tcMar>
              <w:top w:w="70" w:type="dxa"/>
              <w:start w:w="90" w:type="dxa"/>
              <w:bottom w:w="70" w:type="dxa"/>
              <w:end w:w="90" w:type="dxa"/>
            </w:tcMar>
            <w:shd w:fill="1B2A4A"/>
          </w:tcPr>
          <w:p>
            <w:pPr>
              <w:spacing w:after="0"/>
            </w:pPr>
            <w:r>
              <w:rPr>
                <w:rFonts w:ascii="Arial" w:hAnsi="Arial"/>
                <w:b/>
                <w:color w:val="FFFFFF"/>
                <w:sz w:val="15"/>
              </w:rPr>
              <w:t>Engineering work</w:t>
            </w:r>
          </w:p>
        </w:tc>
        <w:tc>
          <w:tcPr>
            <w:tcW w:type="dxa" w:w="3331"/>
            <w:vAlign w:val="center"/>
            <w:tcMar>
              <w:top w:w="70" w:type="dxa"/>
              <w:start w:w="90" w:type="dxa"/>
              <w:bottom w:w="70" w:type="dxa"/>
              <w:end w:w="90" w:type="dxa"/>
            </w:tcMar>
            <w:shd w:fill="1B2A4A"/>
          </w:tcPr>
          <w:p>
            <w:pPr>
              <w:spacing w:after="0"/>
            </w:pPr>
            <w:r>
              <w:rPr>
                <w:rFonts w:ascii="Arial" w:hAnsi="Arial"/>
                <w:b/>
                <w:color w:val="FFFFFF"/>
                <w:sz w:val="15"/>
              </w:rPr>
              <w:t>Outcome</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1</w:t>
            </w:r>
          </w:p>
        </w:tc>
        <w:tc>
          <w:tcPr>
            <w:tcW w:type="dxa" w:w="3331"/>
            <w:vAlign w:val="center"/>
            <w:tcMar>
              <w:top w:w="70" w:type="dxa"/>
              <w:start w:w="90" w:type="dxa"/>
              <w:bottom w:w="70" w:type="dxa"/>
              <w:end w:w="90" w:type="dxa"/>
            </w:tcMar>
          </w:tcPr>
          <w:p>
            <w:pPr>
              <w:spacing w:after="0"/>
            </w:pPr>
            <w:r>
              <w:rPr>
                <w:rFonts w:ascii="Arial" w:hAnsi="Arial"/>
                <w:color w:val="20242A"/>
                <w:sz w:val="15"/>
              </w:rPr>
              <w:t>Extend heart-rate observation model</w:t>
            </w:r>
          </w:p>
        </w:tc>
        <w:tc>
          <w:tcPr>
            <w:tcW w:type="dxa" w:w="3331"/>
            <w:vAlign w:val="center"/>
            <w:tcMar>
              <w:top w:w="70" w:type="dxa"/>
              <w:start w:w="90" w:type="dxa"/>
              <w:bottom w:w="70" w:type="dxa"/>
              <w:end w:w="90" w:type="dxa"/>
            </w:tcMar>
          </w:tcPr>
          <w:p>
            <w:pPr>
              <w:spacing w:after="0"/>
            </w:pPr>
            <w:r>
              <w:rPr>
                <w:rFonts w:ascii="Arial" w:hAnsi="Arial"/>
                <w:color w:val="20242A"/>
                <w:sz w:val="15"/>
              </w:rPr>
              <w:t>Add context/posture/source/symptoms/event linkage while preserving existing BPM records.</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2</w:t>
            </w:r>
          </w:p>
        </w:tc>
        <w:tc>
          <w:tcPr>
            <w:tcW w:type="dxa" w:w="3331"/>
            <w:vAlign w:val="center"/>
            <w:tcMar>
              <w:top w:w="70" w:type="dxa"/>
              <w:start w:w="90" w:type="dxa"/>
              <w:bottom w:w="70" w:type="dxa"/>
              <w:end w:w="90" w:type="dxa"/>
            </w:tcMar>
          </w:tcPr>
          <w:p>
            <w:pPr>
              <w:spacing w:after="0"/>
            </w:pPr>
            <w:r>
              <w:rPr>
                <w:rFonts w:ascii="Arial" w:hAnsi="Arial"/>
                <w:color w:val="20242A"/>
                <w:sz w:val="15"/>
              </w:rPr>
              <w:t>Extract shared statistics library</w:t>
            </w:r>
          </w:p>
        </w:tc>
        <w:tc>
          <w:tcPr>
            <w:tcW w:type="dxa" w:w="3331"/>
            <w:vAlign w:val="center"/>
            <w:tcMar>
              <w:top w:w="70" w:type="dxa"/>
              <w:start w:w="90" w:type="dxa"/>
              <w:bottom w:w="70" w:type="dxa"/>
              <w:end w:w="90" w:type="dxa"/>
            </w:tcMar>
          </w:tcPr>
          <w:p>
            <w:pPr>
              <w:spacing w:after="0"/>
            </w:pPr>
            <w:r>
              <w:rPr>
                <w:rFonts w:ascii="Arial" w:hAnsi="Arial"/>
                <w:color w:val="20242A"/>
                <w:sz w:val="15"/>
              </w:rPr>
              <w:t>Deterministic mean/median/quantiles/SD/OLS/t/LOESS/correlation with reference tests.</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3</w:t>
            </w:r>
          </w:p>
        </w:tc>
        <w:tc>
          <w:tcPr>
            <w:tcW w:type="dxa" w:w="3331"/>
            <w:vAlign w:val="center"/>
            <w:tcMar>
              <w:top w:w="70" w:type="dxa"/>
              <w:start w:w="90" w:type="dxa"/>
              <w:bottom w:w="70" w:type="dxa"/>
              <w:end w:w="90" w:type="dxa"/>
            </w:tcMar>
          </w:tcPr>
          <w:p>
            <w:pPr>
              <w:spacing w:after="0"/>
            </w:pPr>
            <w:r>
              <w:rPr>
                <w:rFonts w:ascii="Arial" w:hAnsi="Arial"/>
                <w:color w:val="20242A"/>
                <w:sz w:val="15"/>
              </w:rPr>
              <w:t>Build resting summary + data support</w:t>
            </w:r>
          </w:p>
        </w:tc>
        <w:tc>
          <w:tcPr>
            <w:tcW w:type="dxa" w:w="3331"/>
            <w:vAlign w:val="center"/>
            <w:tcMar>
              <w:top w:w="70" w:type="dxa"/>
              <w:start w:w="90" w:type="dxa"/>
              <w:bottom w:w="70" w:type="dxa"/>
              <w:end w:w="90" w:type="dxa"/>
            </w:tcMar>
          </w:tcPr>
          <w:p>
            <w:pPr>
              <w:spacing w:after="0"/>
            </w:pPr>
            <w:r>
              <w:rPr>
                <w:rFonts w:ascii="Arial" w:hAnsi="Arial"/>
                <w:color w:val="20242A"/>
                <w:sz w:val="15"/>
              </w:rPr>
              <w:t>Snapshot, 7/14/30/60 summaries, range, SD/IQR, support gates.</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4</w:t>
            </w:r>
          </w:p>
        </w:tc>
        <w:tc>
          <w:tcPr>
            <w:tcW w:type="dxa" w:w="3331"/>
            <w:vAlign w:val="center"/>
            <w:tcMar>
              <w:top w:w="70" w:type="dxa"/>
              <w:start w:w="90" w:type="dxa"/>
              <w:bottom w:w="70" w:type="dxa"/>
              <w:end w:w="90" w:type="dxa"/>
            </w:tcMar>
          </w:tcPr>
          <w:p>
            <w:pPr>
              <w:spacing w:after="0"/>
            </w:pPr>
            <w:r>
              <w:rPr>
                <w:rFonts w:ascii="Arial" w:hAnsi="Arial"/>
                <w:color w:val="20242A"/>
                <w:sz w:val="15"/>
              </w:rPr>
              <w:t>Build trend + personal baseline</w:t>
            </w:r>
          </w:p>
        </w:tc>
        <w:tc>
          <w:tcPr>
            <w:tcW w:type="dxa" w:w="3331"/>
            <w:vAlign w:val="center"/>
            <w:tcMar>
              <w:top w:w="70" w:type="dxa"/>
              <w:start w:w="90" w:type="dxa"/>
              <w:bottom w:w="70" w:type="dxa"/>
              <w:end w:w="90" w:type="dxa"/>
            </w:tcMar>
          </w:tcPr>
          <w:p>
            <w:pPr>
              <w:spacing w:after="0"/>
            </w:pPr>
            <w:r>
              <w:rPr>
                <w:rFonts w:ascii="Arial" w:hAnsi="Arial"/>
                <w:color w:val="20242A"/>
                <w:sz w:val="15"/>
              </w:rPr>
              <w:t>OLS, LOESS, baseline comparison, safe language.</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5</w:t>
            </w:r>
          </w:p>
        </w:tc>
        <w:tc>
          <w:tcPr>
            <w:tcW w:type="dxa" w:w="3331"/>
            <w:vAlign w:val="center"/>
            <w:tcMar>
              <w:top w:w="70" w:type="dxa"/>
              <w:start w:w="90" w:type="dxa"/>
              <w:bottom w:w="70" w:type="dxa"/>
              <w:end w:w="90" w:type="dxa"/>
            </w:tcMar>
          </w:tcPr>
          <w:p>
            <w:pPr>
              <w:spacing w:after="0"/>
            </w:pPr>
            <w:r>
              <w:rPr>
                <w:rFonts w:ascii="Arial" w:hAnsi="Arial"/>
                <w:color w:val="20242A"/>
                <w:sz w:val="15"/>
              </w:rPr>
              <w:t>Build event + time-of-day analysis</w:t>
            </w:r>
          </w:p>
        </w:tc>
        <w:tc>
          <w:tcPr>
            <w:tcW w:type="dxa" w:w="3331"/>
            <w:vAlign w:val="center"/>
            <w:tcMar>
              <w:top w:w="70" w:type="dxa"/>
              <w:start w:w="90" w:type="dxa"/>
              <w:bottom w:w="70" w:type="dxa"/>
              <w:end w:w="90" w:type="dxa"/>
            </w:tcMar>
          </w:tcPr>
          <w:p>
            <w:pPr>
              <w:spacing w:after="0"/>
            </w:pPr>
            <w:r>
              <w:rPr>
                <w:rFonts w:ascii="Arial" w:hAnsi="Arial"/>
                <w:color w:val="20242A"/>
                <w:sz w:val="15"/>
              </w:rPr>
              <w:t>High/low reading counts, custom targets, local-time buckets.</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6</w:t>
            </w:r>
          </w:p>
        </w:tc>
        <w:tc>
          <w:tcPr>
            <w:tcW w:type="dxa" w:w="3331"/>
            <w:vAlign w:val="center"/>
            <w:tcMar>
              <w:top w:w="70" w:type="dxa"/>
              <w:start w:w="90" w:type="dxa"/>
              <w:bottom w:w="70" w:type="dxa"/>
              <w:end w:w="90" w:type="dxa"/>
            </w:tcMar>
          </w:tcPr>
          <w:p>
            <w:pPr>
              <w:spacing w:after="0"/>
            </w:pPr>
            <w:r>
              <w:rPr>
                <w:rFonts w:ascii="Arial" w:hAnsi="Arial"/>
                <w:color w:val="20242A"/>
                <w:sz w:val="15"/>
              </w:rPr>
              <w:t>Add symptom + medication association</w:t>
            </w:r>
          </w:p>
        </w:tc>
        <w:tc>
          <w:tcPr>
            <w:tcW w:type="dxa" w:w="3331"/>
            <w:vAlign w:val="center"/>
            <w:tcMar>
              <w:top w:w="70" w:type="dxa"/>
              <w:start w:w="90" w:type="dxa"/>
              <w:bottom w:w="70" w:type="dxa"/>
              <w:end w:w="90" w:type="dxa"/>
            </w:tcMar>
          </w:tcPr>
          <w:p>
            <w:pPr>
              <w:spacing w:after="0"/>
            </w:pPr>
            <w:r>
              <w:rPr>
                <w:rFonts w:ascii="Arial" w:hAnsi="Arial"/>
                <w:color w:val="20242A"/>
                <w:sz w:val="15"/>
              </w:rPr>
              <w:t>Timestamp/event linkage and pre/post comparison with confounding flags.</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7</w:t>
            </w:r>
          </w:p>
        </w:tc>
        <w:tc>
          <w:tcPr>
            <w:tcW w:type="dxa" w:w="3331"/>
            <w:vAlign w:val="center"/>
            <w:tcMar>
              <w:top w:w="70" w:type="dxa"/>
              <w:start w:w="90" w:type="dxa"/>
              <w:bottom w:w="70" w:type="dxa"/>
              <w:end w:w="90" w:type="dxa"/>
            </w:tcMar>
          </w:tcPr>
          <w:p>
            <w:pPr>
              <w:spacing w:after="0"/>
            </w:pPr>
            <w:r>
              <w:rPr>
                <w:rFonts w:ascii="Arial" w:hAnsi="Arial"/>
                <w:color w:val="20242A"/>
                <w:sz w:val="15"/>
              </w:rPr>
              <w:t>Add cross-vital context</w:t>
            </w:r>
          </w:p>
        </w:tc>
        <w:tc>
          <w:tcPr>
            <w:tcW w:type="dxa" w:w="3331"/>
            <w:vAlign w:val="center"/>
            <w:tcMar>
              <w:top w:w="70" w:type="dxa"/>
              <w:start w:w="90" w:type="dxa"/>
              <w:bottom w:w="70" w:type="dxa"/>
              <w:end w:w="90" w:type="dxa"/>
            </w:tcMar>
          </w:tcPr>
          <w:p>
            <w:pPr>
              <w:spacing w:after="0"/>
            </w:pPr>
            <w:r>
              <w:rPr>
                <w:rFonts w:ascii="Arial" w:hAnsi="Arial"/>
                <w:color w:val="20242A"/>
                <w:sz w:val="15"/>
              </w:rPr>
              <w:t>Link HR to BP/SpO2/temperature using measurement_event_id.</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8</w:t>
            </w:r>
          </w:p>
        </w:tc>
        <w:tc>
          <w:tcPr>
            <w:tcW w:type="dxa" w:w="3331"/>
            <w:vAlign w:val="center"/>
            <w:tcMar>
              <w:top w:w="70" w:type="dxa"/>
              <w:start w:w="90" w:type="dxa"/>
              <w:bottom w:w="70" w:type="dxa"/>
              <w:end w:w="90" w:type="dxa"/>
            </w:tcMar>
          </w:tcPr>
          <w:p>
            <w:pPr>
              <w:spacing w:after="0"/>
            </w:pPr>
            <w:r>
              <w:rPr>
                <w:rFonts w:ascii="Arial" w:hAnsi="Arial"/>
                <w:color w:val="20242A"/>
                <w:sz w:val="15"/>
              </w:rPr>
              <w:t>Update Dashboard / Details / PDF</w:t>
            </w:r>
          </w:p>
        </w:tc>
        <w:tc>
          <w:tcPr>
            <w:tcW w:type="dxa" w:w="3331"/>
            <w:vAlign w:val="center"/>
            <w:tcMar>
              <w:top w:w="70" w:type="dxa"/>
              <w:start w:w="90" w:type="dxa"/>
              <w:bottom w:w="70" w:type="dxa"/>
              <w:end w:w="90" w:type="dxa"/>
            </w:tcMar>
          </w:tcPr>
          <w:p>
            <w:pPr>
              <w:spacing w:after="0"/>
            </w:pPr>
            <w:r>
              <w:rPr>
                <w:rFonts w:ascii="Arial" w:hAnsi="Arial"/>
                <w:color w:val="20242A"/>
                <w:sz w:val="15"/>
              </w:rPr>
              <w:t>Metric-driven composition; same result DTO everywhere.</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9</w:t>
            </w:r>
          </w:p>
        </w:tc>
        <w:tc>
          <w:tcPr>
            <w:tcW w:type="dxa" w:w="3331"/>
            <w:vAlign w:val="center"/>
            <w:tcMar>
              <w:top w:w="70" w:type="dxa"/>
              <w:start w:w="90" w:type="dxa"/>
              <w:bottom w:w="70" w:type="dxa"/>
              <w:end w:w="90" w:type="dxa"/>
            </w:tcMar>
          </w:tcPr>
          <w:p>
            <w:pPr>
              <w:spacing w:after="0"/>
            </w:pPr>
            <w:r>
              <w:rPr>
                <w:rFonts w:ascii="Arial" w:hAnsi="Arial"/>
                <w:color w:val="20242A"/>
                <w:sz w:val="15"/>
              </w:rPr>
              <w:t>Add guided orthostatic workflow</w:t>
            </w:r>
          </w:p>
        </w:tc>
        <w:tc>
          <w:tcPr>
            <w:tcW w:type="dxa" w:w="3331"/>
            <w:vAlign w:val="center"/>
            <w:tcMar>
              <w:top w:w="70" w:type="dxa"/>
              <w:start w:w="90" w:type="dxa"/>
              <w:bottom w:w="70" w:type="dxa"/>
              <w:end w:w="90" w:type="dxa"/>
            </w:tcMar>
          </w:tcPr>
          <w:p>
            <w:pPr>
              <w:spacing w:after="0"/>
            </w:pPr>
            <w:r>
              <w:rPr>
                <w:rFonts w:ascii="Arial" w:hAnsi="Arial"/>
                <w:color w:val="20242A"/>
                <w:sz w:val="15"/>
              </w:rPr>
              <w:t>P1 paired HR+BP measurements after P0 is stable.</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10</w:t>
            </w:r>
          </w:p>
        </w:tc>
        <w:tc>
          <w:tcPr>
            <w:tcW w:type="dxa" w:w="3331"/>
            <w:vAlign w:val="center"/>
            <w:tcMar>
              <w:top w:w="70" w:type="dxa"/>
              <w:start w:w="90" w:type="dxa"/>
              <w:bottom w:w="70" w:type="dxa"/>
              <w:end w:w="90" w:type="dxa"/>
            </w:tcMar>
          </w:tcPr>
          <w:p>
            <w:pPr>
              <w:spacing w:after="0"/>
            </w:pPr>
            <w:r>
              <w:rPr>
                <w:rFonts w:ascii="Arial" w:hAnsi="Arial"/>
                <w:color w:val="20242A"/>
                <w:sz w:val="15"/>
              </w:rPr>
              <w:t>Land future capability flags</w:t>
            </w:r>
          </w:p>
        </w:tc>
        <w:tc>
          <w:tcPr>
            <w:tcW w:type="dxa" w:w="3331"/>
            <w:vAlign w:val="center"/>
            <w:tcMar>
              <w:top w:w="70" w:type="dxa"/>
              <w:start w:w="90" w:type="dxa"/>
              <w:bottom w:w="70" w:type="dxa"/>
              <w:end w:w="90" w:type="dxa"/>
            </w:tcMar>
          </w:tcPr>
          <w:p>
            <w:pPr>
              <w:spacing w:after="0"/>
            </w:pPr>
            <w:r>
              <w:rPr>
                <w:rFonts w:ascii="Arial" w:hAnsi="Arial"/>
                <w:color w:val="20242A"/>
                <w:sz w:val="15"/>
              </w:rPr>
              <w:t>Reserve dense-rate, RR/NN HRV, exercise recovery, and rhythm-source contracts without exposing unsupported metrics.</w:t>
            </w:r>
          </w:p>
        </w:tc>
      </w:tr>
    </w:tbl>
    <w:p>
      <w:pPr>
        <w:spacing w:after="20"/>
      </w:pPr>
    </w:p>
    <w:p>
      <w:pPr>
        <w:keepNext/>
        <w:spacing w:before="200" w:after="140"/>
        <w:pBdr>
          <w:bottom w:val="single" w:sz="12" w:space="3" w:color="14A9B8"/>
        </w:pBdr>
      </w:pPr>
      <w:r>
        <w:rPr>
          <w:rFonts w:ascii="Arial" w:hAnsi="Arial"/>
          <w:b/>
          <w:color w:val="1B2A4A"/>
          <w:sz w:val="32"/>
        </w:rPr>
        <w:t>15. Engineering Decisions to Lock</w:t>
      </w:r>
    </w:p>
    <w:tbl>
      <w:tblPr>
        <w:tblW w:type="auto" w:w="0"/>
        <w:jc w:val="center"/>
        <w:tblLayout w:type="autofit"/>
        <w:tblLook w:firstColumn="1" w:firstRow="1" w:lastColumn="0" w:lastRow="0" w:noHBand="0" w:noVBand="1" w:val="04A0"/>
        <w:tblBorders>
          <w:top w:val="single" w:sz="4" w:space="0" w:color="D3DAE3"/>
          <w:left w:val="single" w:sz="4" w:space="0" w:color="D3DAE3"/>
          <w:bottom w:val="single" w:sz="4" w:space="0" w:color="D3DAE3"/>
          <w:right w:val="single" w:sz="4" w:space="0" w:color="D3DAE3"/>
          <w:insideH w:val="single" w:sz="4" w:space="0" w:color="D3DAE3"/>
          <w:insideV w:val="single" w:sz="4" w:space="0" w:color="D3DAE3"/>
        </w:tblBorders>
      </w:tblPr>
      <w:tblGrid>
        <w:gridCol w:w="3331"/>
        <w:gridCol w:w="3331"/>
        <w:gridCol w:w="3331"/>
      </w:tblGrid>
      <w:tr>
        <w:trPr>
          <w:cantSplit/>
          <w:tblHeader w:val="true"/>
        </w:trPr>
        <w:tc>
          <w:tcPr>
            <w:tcW w:type="dxa" w:w="3331"/>
            <w:vAlign w:val="center"/>
            <w:tcMar>
              <w:top w:w="70" w:type="dxa"/>
              <w:start w:w="90" w:type="dxa"/>
              <w:bottom w:w="70" w:type="dxa"/>
              <w:end w:w="90" w:type="dxa"/>
            </w:tcMar>
            <w:shd w:fill="1B2A4A"/>
          </w:tcPr>
          <w:p>
            <w:pPr>
              <w:spacing w:after="0"/>
            </w:pPr>
            <w:r>
              <w:rPr>
                <w:rFonts w:ascii="Arial" w:hAnsi="Arial"/>
                <w:b/>
                <w:color w:val="FFFFFF"/>
                <w:sz w:val="15"/>
              </w:rPr>
              <w:t>Decision</w:t>
            </w:r>
          </w:p>
        </w:tc>
        <w:tc>
          <w:tcPr>
            <w:tcW w:type="dxa" w:w="3331"/>
            <w:vAlign w:val="center"/>
            <w:tcMar>
              <w:top w:w="70" w:type="dxa"/>
              <w:start w:w="90" w:type="dxa"/>
              <w:bottom w:w="70" w:type="dxa"/>
              <w:end w:w="90" w:type="dxa"/>
            </w:tcMar>
            <w:shd w:fill="1B2A4A"/>
          </w:tcPr>
          <w:p>
            <w:pPr>
              <w:spacing w:after="0"/>
            </w:pPr>
            <w:r>
              <w:rPr>
                <w:rFonts w:ascii="Arial" w:hAnsi="Arial"/>
                <w:b/>
                <w:color w:val="FFFFFF"/>
                <w:sz w:val="15"/>
              </w:rPr>
              <w:t>Recommended value</w:t>
            </w:r>
          </w:p>
        </w:tc>
        <w:tc>
          <w:tcPr>
            <w:tcW w:type="dxa" w:w="3331"/>
            <w:vAlign w:val="center"/>
            <w:tcMar>
              <w:top w:w="70" w:type="dxa"/>
              <w:start w:w="90" w:type="dxa"/>
              <w:bottom w:w="70" w:type="dxa"/>
              <w:end w:w="90" w:type="dxa"/>
            </w:tcMar>
            <w:shd w:fill="1B2A4A"/>
          </w:tcPr>
          <w:p>
            <w:pPr>
              <w:spacing w:after="0"/>
            </w:pPr>
            <w:r>
              <w:rPr>
                <w:rFonts w:ascii="Arial" w:hAnsi="Arial"/>
                <w:b/>
                <w:color w:val="FFFFFF"/>
                <w:sz w:val="15"/>
              </w:rPr>
              <w:t>Status</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Resting context required for trend/thresholds</w:t>
            </w:r>
          </w:p>
        </w:tc>
        <w:tc>
          <w:tcPr>
            <w:tcW w:type="dxa" w:w="3331"/>
            <w:vAlign w:val="center"/>
            <w:tcMar>
              <w:top w:w="70" w:type="dxa"/>
              <w:start w:w="90" w:type="dxa"/>
              <w:bottom w:w="70" w:type="dxa"/>
              <w:end w:w="90" w:type="dxa"/>
            </w:tcMar>
          </w:tcPr>
          <w:p>
            <w:pPr>
              <w:spacing w:after="0"/>
            </w:pPr>
            <w:r>
              <w:rPr>
                <w:rFonts w:ascii="Arial" w:hAnsi="Arial"/>
                <w:color w:val="20242A"/>
                <w:sz w:val="15"/>
              </w:rPr>
              <w:t>Yes</w:t>
            </w:r>
          </w:p>
        </w:tc>
        <w:tc>
          <w:tcPr>
            <w:tcW w:type="dxa" w:w="3331"/>
            <w:vAlign w:val="center"/>
            <w:tcMar>
              <w:top w:w="70" w:type="dxa"/>
              <w:start w:w="90" w:type="dxa"/>
              <w:bottom w:w="70" w:type="dxa"/>
              <w:end w:w="90" w:type="dxa"/>
            </w:tcMar>
          </w:tcPr>
          <w:p>
            <w:pPr>
              <w:spacing w:after="0"/>
            </w:pPr>
            <w:r>
              <w:rPr>
                <w:rFonts w:ascii="Arial" w:hAnsi="Arial"/>
                <w:color w:val="20242A"/>
                <w:sz w:val="15"/>
              </w:rPr>
              <w:t>Adopt now</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Default resting reference high</w:t>
            </w:r>
          </w:p>
        </w:tc>
        <w:tc>
          <w:tcPr>
            <w:tcW w:type="dxa" w:w="3331"/>
            <w:vAlign w:val="center"/>
            <w:tcMar>
              <w:top w:w="70" w:type="dxa"/>
              <w:start w:w="90" w:type="dxa"/>
              <w:bottom w:w="70" w:type="dxa"/>
              <w:end w:w="90" w:type="dxa"/>
            </w:tcMar>
          </w:tcPr>
          <w:p>
            <w:pPr>
              <w:spacing w:after="0"/>
            </w:pPr>
            <w:r>
              <w:rPr>
                <w:rFonts w:ascii="Arial" w:hAnsi="Arial"/>
                <w:color w:val="20242A"/>
                <w:sz w:val="15"/>
              </w:rPr>
              <w:t>&gt;100 BPM</w:t>
            </w:r>
          </w:p>
        </w:tc>
        <w:tc>
          <w:tcPr>
            <w:tcW w:type="dxa" w:w="3331"/>
            <w:vAlign w:val="center"/>
            <w:tcMar>
              <w:top w:w="70" w:type="dxa"/>
              <w:start w:w="90" w:type="dxa"/>
              <w:bottom w:w="70" w:type="dxa"/>
              <w:end w:w="90" w:type="dxa"/>
            </w:tcMar>
          </w:tcPr>
          <w:p>
            <w:pPr>
              <w:spacing w:after="0"/>
            </w:pPr>
            <w:r>
              <w:rPr>
                <w:rFonts w:ascii="Arial" w:hAnsi="Arial"/>
                <w:color w:val="20242A"/>
                <w:sz w:val="15"/>
              </w:rPr>
              <w:t>Reference only; clinically review wording</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Default resting reference low</w:t>
            </w:r>
          </w:p>
        </w:tc>
        <w:tc>
          <w:tcPr>
            <w:tcW w:type="dxa" w:w="3331"/>
            <w:vAlign w:val="center"/>
            <w:tcMar>
              <w:top w:w="70" w:type="dxa"/>
              <w:start w:w="90" w:type="dxa"/>
              <w:bottom w:w="70" w:type="dxa"/>
              <w:end w:w="90" w:type="dxa"/>
            </w:tcMar>
          </w:tcPr>
          <w:p>
            <w:pPr>
              <w:spacing w:after="0"/>
            </w:pPr>
            <w:r>
              <w:rPr>
                <w:rFonts w:ascii="Arial" w:hAnsi="Arial"/>
                <w:color w:val="20242A"/>
                <w:sz w:val="15"/>
              </w:rPr>
              <w:t>&lt;60 BPM</w:t>
            </w:r>
          </w:p>
        </w:tc>
        <w:tc>
          <w:tcPr>
            <w:tcW w:type="dxa" w:w="3331"/>
            <w:vAlign w:val="center"/>
            <w:tcMar>
              <w:top w:w="70" w:type="dxa"/>
              <w:start w:w="90" w:type="dxa"/>
              <w:bottom w:w="70" w:type="dxa"/>
              <w:end w:w="90" w:type="dxa"/>
            </w:tcMar>
          </w:tcPr>
          <w:p>
            <w:pPr>
              <w:spacing w:after="0"/>
            </w:pPr>
            <w:r>
              <w:rPr>
                <w:rFonts w:ascii="Arial" w:hAnsi="Arial"/>
                <w:color w:val="20242A"/>
                <w:sz w:val="15"/>
              </w:rPr>
              <w:t>Reference only; clinically review wording</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Marked-low physician reference</w:t>
            </w:r>
          </w:p>
        </w:tc>
        <w:tc>
          <w:tcPr>
            <w:tcW w:type="dxa" w:w="3331"/>
            <w:vAlign w:val="center"/>
            <w:tcMar>
              <w:top w:w="70" w:type="dxa"/>
              <w:start w:w="90" w:type="dxa"/>
              <w:bottom w:w="70" w:type="dxa"/>
              <w:end w:w="90" w:type="dxa"/>
            </w:tcMar>
          </w:tcPr>
          <w:p>
            <w:pPr>
              <w:spacing w:after="0"/>
            </w:pPr>
            <w:r>
              <w:rPr>
                <w:rFonts w:ascii="Arial" w:hAnsi="Arial"/>
                <w:color w:val="20242A"/>
                <w:sz w:val="15"/>
              </w:rPr>
              <w:t>&lt;50 BPM</w:t>
            </w:r>
          </w:p>
        </w:tc>
        <w:tc>
          <w:tcPr>
            <w:tcW w:type="dxa" w:w="3331"/>
            <w:vAlign w:val="center"/>
            <w:tcMar>
              <w:top w:w="70" w:type="dxa"/>
              <w:start w:w="90" w:type="dxa"/>
              <w:bottom w:w="70" w:type="dxa"/>
              <w:end w:w="90" w:type="dxa"/>
            </w:tcMar>
          </w:tcPr>
          <w:p>
            <w:pPr>
              <w:spacing w:after="0"/>
            </w:pPr>
            <w:r>
              <w:rPr>
                <w:rFonts w:ascii="Arial" w:hAnsi="Arial"/>
                <w:color w:val="20242A"/>
                <w:sz w:val="15"/>
              </w:rPr>
              <w:t>Reference only; no diagnosis</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OLS trend minimum</w:t>
            </w:r>
          </w:p>
        </w:tc>
        <w:tc>
          <w:tcPr>
            <w:tcW w:type="dxa" w:w="3331"/>
            <w:vAlign w:val="center"/>
            <w:tcMar>
              <w:top w:w="70" w:type="dxa"/>
              <w:start w:w="90" w:type="dxa"/>
              <w:bottom w:w="70" w:type="dxa"/>
              <w:end w:w="90" w:type="dxa"/>
            </w:tcMar>
          </w:tcPr>
          <w:p>
            <w:pPr>
              <w:spacing w:after="0"/>
            </w:pPr>
            <w:r>
              <w:rPr>
                <w:rFonts w:ascii="Arial" w:hAnsi="Arial"/>
                <w:color w:val="20242A"/>
                <w:sz w:val="15"/>
              </w:rPr>
              <w:t>5 readings / 5 days / &gt;=7-day span</w:t>
            </w:r>
          </w:p>
        </w:tc>
        <w:tc>
          <w:tcPr>
            <w:tcW w:type="dxa" w:w="3331"/>
            <w:vAlign w:val="center"/>
            <w:tcMar>
              <w:top w:w="70" w:type="dxa"/>
              <w:start w:w="90" w:type="dxa"/>
              <w:bottom w:w="70" w:type="dxa"/>
              <w:end w:w="90" w:type="dxa"/>
            </w:tcMar>
          </w:tcPr>
          <w:p>
            <w:pPr>
              <w:spacing w:after="0"/>
            </w:pPr>
            <w:r>
              <w:rPr>
                <w:rFonts w:ascii="Arial" w:hAnsi="Arial"/>
                <w:color w:val="20242A"/>
                <w:sz w:val="15"/>
              </w:rPr>
              <w:t>Proposed engineering gate</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Regression significance display</w:t>
            </w:r>
          </w:p>
        </w:tc>
        <w:tc>
          <w:tcPr>
            <w:tcW w:type="dxa" w:w="3331"/>
            <w:vAlign w:val="center"/>
            <w:tcMar>
              <w:top w:w="70" w:type="dxa"/>
              <w:start w:w="90" w:type="dxa"/>
              <w:bottom w:w="70" w:type="dxa"/>
              <w:end w:w="90" w:type="dxa"/>
            </w:tcMar>
          </w:tcPr>
          <w:p>
            <w:pPr>
              <w:spacing w:after="0"/>
            </w:pPr>
            <w:r>
              <w:rPr>
                <w:rFonts w:ascii="Arial" w:hAnsi="Arial"/>
                <w:color w:val="20242A"/>
                <w:sz w:val="15"/>
              </w:rPr>
              <w:t>8 readings / &gt;=14-day span</w:t>
            </w:r>
          </w:p>
        </w:tc>
        <w:tc>
          <w:tcPr>
            <w:tcW w:type="dxa" w:w="3331"/>
            <w:vAlign w:val="center"/>
            <w:tcMar>
              <w:top w:w="70" w:type="dxa"/>
              <w:start w:w="90" w:type="dxa"/>
              <w:bottom w:w="70" w:type="dxa"/>
              <w:end w:w="90" w:type="dxa"/>
            </w:tcMar>
          </w:tcPr>
          <w:p>
            <w:pPr>
              <w:spacing w:after="0"/>
            </w:pPr>
            <w:r>
              <w:rPr>
                <w:rFonts w:ascii="Arial" w:hAnsi="Arial"/>
                <w:color w:val="20242A"/>
                <w:sz w:val="15"/>
              </w:rPr>
              <w:t>Proposed engineering gate</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LOESS span</w:t>
            </w:r>
          </w:p>
        </w:tc>
        <w:tc>
          <w:tcPr>
            <w:tcW w:type="dxa" w:w="3331"/>
            <w:vAlign w:val="center"/>
            <w:tcMar>
              <w:top w:w="70" w:type="dxa"/>
              <w:start w:w="90" w:type="dxa"/>
              <w:bottom w:w="70" w:type="dxa"/>
              <w:end w:w="90" w:type="dxa"/>
            </w:tcMar>
          </w:tcPr>
          <w:p>
            <w:pPr>
              <w:spacing w:after="0"/>
            </w:pPr>
            <w:r>
              <w:rPr>
                <w:rFonts w:ascii="Arial" w:hAnsi="Arial"/>
                <w:color w:val="20242A"/>
                <w:sz w:val="15"/>
              </w:rPr>
              <w:t>0.60, local linear, no robust outlier suppression</w:t>
            </w:r>
          </w:p>
        </w:tc>
        <w:tc>
          <w:tcPr>
            <w:tcW w:type="dxa" w:w="3331"/>
            <w:vAlign w:val="center"/>
            <w:tcMar>
              <w:top w:w="70" w:type="dxa"/>
              <w:start w:w="90" w:type="dxa"/>
              <w:bottom w:w="70" w:type="dxa"/>
              <w:end w:w="90" w:type="dxa"/>
            </w:tcMar>
          </w:tcPr>
          <w:p>
            <w:pPr>
              <w:spacing w:after="0"/>
            </w:pPr>
            <w:r>
              <w:rPr>
                <w:rFonts w:ascii="Arial" w:hAnsi="Arial"/>
                <w:color w:val="20242A"/>
                <w:sz w:val="15"/>
              </w:rPr>
              <w:t>Proposed; validate visually</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Personal recent window</w:t>
            </w:r>
          </w:p>
        </w:tc>
        <w:tc>
          <w:tcPr>
            <w:tcW w:type="dxa" w:w="3331"/>
            <w:vAlign w:val="center"/>
            <w:tcMar>
              <w:top w:w="70" w:type="dxa"/>
              <w:start w:w="90" w:type="dxa"/>
              <w:bottom w:w="70" w:type="dxa"/>
              <w:end w:w="90" w:type="dxa"/>
            </w:tcMar>
          </w:tcPr>
          <w:p>
            <w:pPr>
              <w:spacing w:after="0"/>
            </w:pPr>
            <w:r>
              <w:rPr>
                <w:rFonts w:ascii="Arial" w:hAnsi="Arial"/>
                <w:color w:val="20242A"/>
                <w:sz w:val="15"/>
              </w:rPr>
              <w:t>7 days</w:t>
            </w:r>
          </w:p>
        </w:tc>
        <w:tc>
          <w:tcPr>
            <w:tcW w:type="dxa" w:w="3331"/>
            <w:vAlign w:val="center"/>
            <w:tcMar>
              <w:top w:w="70" w:type="dxa"/>
              <w:start w:w="90" w:type="dxa"/>
              <w:bottom w:w="70" w:type="dxa"/>
              <w:end w:w="90" w:type="dxa"/>
            </w:tcMar>
          </w:tcPr>
          <w:p>
            <w:pPr>
              <w:spacing w:after="0"/>
            </w:pPr>
            <w:r>
              <w:rPr>
                <w:rFonts w:ascii="Arial" w:hAnsi="Arial"/>
                <w:color w:val="20242A"/>
                <w:sz w:val="15"/>
              </w:rPr>
              <w:t>Proposed</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Personal baseline window</w:t>
            </w:r>
          </w:p>
        </w:tc>
        <w:tc>
          <w:tcPr>
            <w:tcW w:type="dxa" w:w="3331"/>
            <w:vAlign w:val="center"/>
            <w:tcMar>
              <w:top w:w="70" w:type="dxa"/>
              <w:start w:w="90" w:type="dxa"/>
              <w:bottom w:w="70" w:type="dxa"/>
              <w:end w:w="90" w:type="dxa"/>
            </w:tcMar>
          </w:tcPr>
          <w:p>
            <w:pPr>
              <w:spacing w:after="0"/>
            </w:pPr>
            <w:r>
              <w:rPr>
                <w:rFonts w:ascii="Arial" w:hAnsi="Arial"/>
                <w:color w:val="20242A"/>
                <w:sz w:val="15"/>
              </w:rPr>
              <w:t>preceding 30 days</w:t>
            </w:r>
          </w:p>
        </w:tc>
        <w:tc>
          <w:tcPr>
            <w:tcW w:type="dxa" w:w="3331"/>
            <w:vAlign w:val="center"/>
            <w:tcMar>
              <w:top w:w="70" w:type="dxa"/>
              <w:start w:w="90" w:type="dxa"/>
              <w:bottom w:w="70" w:type="dxa"/>
              <w:end w:w="90" w:type="dxa"/>
            </w:tcMar>
          </w:tcPr>
          <w:p>
            <w:pPr>
              <w:spacing w:after="0"/>
            </w:pPr>
            <w:r>
              <w:rPr>
                <w:rFonts w:ascii="Arial" w:hAnsi="Arial"/>
                <w:color w:val="20242A"/>
                <w:sz w:val="15"/>
              </w:rPr>
              <w:t>Proposed</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Symptom timestamp fallback</w:t>
            </w:r>
          </w:p>
        </w:tc>
        <w:tc>
          <w:tcPr>
            <w:tcW w:type="dxa" w:w="3331"/>
            <w:vAlign w:val="center"/>
            <w:tcMar>
              <w:top w:w="70" w:type="dxa"/>
              <w:start w:w="90" w:type="dxa"/>
              <w:bottom w:w="70" w:type="dxa"/>
              <w:end w:w="90" w:type="dxa"/>
            </w:tcMar>
          </w:tcPr>
          <w:p>
            <w:pPr>
              <w:spacing w:after="0"/>
            </w:pPr>
            <w:r>
              <w:rPr>
                <w:rFonts w:ascii="Arial" w:hAnsi="Arial"/>
                <w:color w:val="20242A"/>
                <w:sz w:val="15"/>
              </w:rPr>
              <w:t>nearest HR within +/-15 minutes</w:t>
            </w:r>
          </w:p>
        </w:tc>
        <w:tc>
          <w:tcPr>
            <w:tcW w:type="dxa" w:w="3331"/>
            <w:vAlign w:val="center"/>
            <w:tcMar>
              <w:top w:w="70" w:type="dxa"/>
              <w:start w:w="90" w:type="dxa"/>
              <w:bottom w:w="70" w:type="dxa"/>
              <w:end w:w="90" w:type="dxa"/>
            </w:tcMar>
          </w:tcPr>
          <w:p>
            <w:pPr>
              <w:spacing w:after="0"/>
            </w:pPr>
            <w:r>
              <w:rPr>
                <w:rFonts w:ascii="Arial" w:hAnsi="Arial"/>
                <w:color w:val="20242A"/>
                <w:sz w:val="15"/>
              </w:rPr>
              <w:t>Proposed product rule</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Medication comparison window</w:t>
            </w:r>
          </w:p>
        </w:tc>
        <w:tc>
          <w:tcPr>
            <w:tcW w:type="dxa" w:w="3331"/>
            <w:vAlign w:val="center"/>
            <w:tcMar>
              <w:top w:w="70" w:type="dxa"/>
              <w:start w:w="90" w:type="dxa"/>
              <w:bottom w:w="70" w:type="dxa"/>
              <w:end w:w="90" w:type="dxa"/>
            </w:tcMar>
          </w:tcPr>
          <w:p>
            <w:pPr>
              <w:spacing w:after="0"/>
            </w:pPr>
            <w:r>
              <w:rPr>
                <w:rFonts w:ascii="Arial" w:hAnsi="Arial"/>
                <w:color w:val="20242A"/>
                <w:sz w:val="15"/>
              </w:rPr>
              <w:t>14 days before vs 14 days after</w:t>
            </w:r>
          </w:p>
        </w:tc>
        <w:tc>
          <w:tcPr>
            <w:tcW w:type="dxa" w:w="3331"/>
            <w:vAlign w:val="center"/>
            <w:tcMar>
              <w:top w:w="70" w:type="dxa"/>
              <w:start w:w="90" w:type="dxa"/>
              <w:bottom w:w="70" w:type="dxa"/>
              <w:end w:w="90" w:type="dxa"/>
            </w:tcMar>
          </w:tcPr>
          <w:p>
            <w:pPr>
              <w:spacing w:after="0"/>
            </w:pPr>
            <w:r>
              <w:rPr>
                <w:rFonts w:ascii="Arial" w:hAnsi="Arial"/>
                <w:color w:val="20242A"/>
                <w:sz w:val="15"/>
              </w:rPr>
              <w:t>Proposed product rule</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Cross-vital fallback alignment</w:t>
            </w:r>
          </w:p>
        </w:tc>
        <w:tc>
          <w:tcPr>
            <w:tcW w:type="dxa" w:w="3331"/>
            <w:vAlign w:val="center"/>
            <w:tcMar>
              <w:top w:w="70" w:type="dxa"/>
              <w:start w:w="90" w:type="dxa"/>
              <w:bottom w:w="70" w:type="dxa"/>
              <w:end w:w="90" w:type="dxa"/>
            </w:tcMar>
          </w:tcPr>
          <w:p>
            <w:pPr>
              <w:spacing w:after="0"/>
            </w:pPr>
            <w:r>
              <w:rPr>
                <w:rFonts w:ascii="Arial" w:hAnsi="Arial"/>
                <w:color w:val="20242A"/>
                <w:sz w:val="15"/>
              </w:rPr>
              <w:t>same event first; otherwise &lt;=2 minutes</w:t>
            </w:r>
          </w:p>
        </w:tc>
        <w:tc>
          <w:tcPr>
            <w:tcW w:type="dxa" w:w="3331"/>
            <w:vAlign w:val="center"/>
            <w:tcMar>
              <w:top w:w="70" w:type="dxa"/>
              <w:start w:w="90" w:type="dxa"/>
              <w:bottom w:w="70" w:type="dxa"/>
              <w:end w:w="90" w:type="dxa"/>
            </w:tcMar>
          </w:tcPr>
          <w:p>
            <w:pPr>
              <w:spacing w:after="0"/>
            </w:pPr>
            <w:r>
              <w:rPr>
                <w:rFonts w:ascii="Arial" w:hAnsi="Arial"/>
                <w:color w:val="20242A"/>
                <w:sz w:val="15"/>
              </w:rPr>
              <w:t>Proposed product rule</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Spot dispersion label</w:t>
            </w:r>
          </w:p>
        </w:tc>
        <w:tc>
          <w:tcPr>
            <w:tcW w:type="dxa" w:w="3331"/>
            <w:vAlign w:val="center"/>
            <w:tcMar>
              <w:top w:w="70" w:type="dxa"/>
              <w:start w:w="90" w:type="dxa"/>
              <w:bottom w:w="70" w:type="dxa"/>
              <w:end w:w="90" w:type="dxa"/>
            </w:tcMar>
          </w:tcPr>
          <w:p>
            <w:pPr>
              <w:spacing w:after="0"/>
            </w:pPr>
            <w:r>
              <w:rPr>
                <w:rFonts w:ascii="Arial" w:hAnsi="Arial"/>
                <w:color w:val="20242A"/>
                <w:sz w:val="15"/>
              </w:rPr>
              <w:t>SD/IQR / "between-reading spread"</w:t>
            </w:r>
          </w:p>
        </w:tc>
        <w:tc>
          <w:tcPr>
            <w:tcW w:type="dxa" w:w="3331"/>
            <w:vAlign w:val="center"/>
            <w:tcMar>
              <w:top w:w="70" w:type="dxa"/>
              <w:start w:w="90" w:type="dxa"/>
              <w:bottom w:w="70" w:type="dxa"/>
              <w:end w:w="90" w:type="dxa"/>
            </w:tcMar>
          </w:tcPr>
          <w:p>
            <w:pPr>
              <w:spacing w:after="0"/>
            </w:pPr>
            <w:r>
              <w:rPr>
                <w:rFonts w:ascii="Arial" w:hAnsi="Arial"/>
                <w:color w:val="20242A"/>
                <w:sz w:val="15"/>
              </w:rPr>
              <w:t>Adopt; never call HRV</w:t>
            </w:r>
          </w:p>
        </w:tc>
      </w:tr>
      <w:tr>
        <w:trPr>
          <w:cantSplit/>
        </w:trPr>
        <w:tc>
          <w:tcPr>
            <w:tcW w:type="dxa" w:w="3331"/>
            <w:vAlign w:val="center"/>
            <w:tcMar>
              <w:top w:w="70" w:type="dxa"/>
              <w:start w:w="90" w:type="dxa"/>
              <w:bottom w:w="70" w:type="dxa"/>
              <w:end w:w="90" w:type="dxa"/>
            </w:tcMar>
          </w:tcPr>
          <w:p>
            <w:pPr>
              <w:spacing w:after="0"/>
            </w:pPr>
            <w:r>
              <w:rPr>
                <w:rFonts w:ascii="Arial" w:hAnsi="Arial"/>
                <w:color w:val="20242A"/>
                <w:sz w:val="15"/>
              </w:rPr>
              <w:t>Orthostatic protocol</w:t>
            </w:r>
          </w:p>
        </w:tc>
        <w:tc>
          <w:tcPr>
            <w:tcW w:type="dxa" w:w="3331"/>
            <w:vAlign w:val="center"/>
            <w:tcMar>
              <w:top w:w="70" w:type="dxa"/>
              <w:start w:w="90" w:type="dxa"/>
              <w:bottom w:w="70" w:type="dxa"/>
              <w:end w:w="90" w:type="dxa"/>
            </w:tcMar>
          </w:tcPr>
          <w:p>
            <w:pPr>
              <w:spacing w:after="0"/>
            </w:pPr>
            <w:r>
              <w:rPr>
                <w:rFonts w:ascii="Arial" w:hAnsi="Arial"/>
                <w:color w:val="20242A"/>
                <w:sz w:val="15"/>
              </w:rPr>
              <w:t>5-min supine rest; standing at ~1 and 3 min</w:t>
            </w:r>
          </w:p>
        </w:tc>
        <w:tc>
          <w:tcPr>
            <w:tcW w:type="dxa" w:w="3331"/>
            <w:vAlign w:val="center"/>
            <w:tcMar>
              <w:top w:w="70" w:type="dxa"/>
              <w:start w:w="90" w:type="dxa"/>
              <w:bottom w:w="70" w:type="dxa"/>
              <w:end w:w="90" w:type="dxa"/>
            </w:tcMar>
          </w:tcPr>
          <w:p>
            <w:pPr>
              <w:spacing w:after="0"/>
            </w:pPr>
            <w:r>
              <w:rPr>
                <w:rFonts w:ascii="Arial" w:hAnsi="Arial"/>
                <w:color w:val="20242A"/>
                <w:sz w:val="15"/>
              </w:rPr>
              <w:t>Adopt pending UX/clinical review</w:t>
            </w:r>
          </w:p>
        </w:tc>
      </w:tr>
    </w:tbl>
    <w:p>
      <w:pPr>
        <w:spacing w:after="20"/>
      </w:pPr>
    </w:p>
    <w:p>
      <w:pPr>
        <w:spacing w:before="160" w:after="100"/>
        <w:keepNext/>
        <w:pBdr>
          <w:bottom w:val="single" w:sz="12" w:space="3" w:color="0AA5B5"/>
        </w:pBdr>
      </w:pPr>
      <w:r>
        <w:rPr>
          <w:rFonts w:ascii="Arial" w:hAnsi="Arial"/>
          <w:b/>
          <w:color w:val="1D3357"/>
          <w:sz w:val="33"/>
        </w:rPr>
        <w:t>16. Clinical Evidence vs. Vitals Engineering Decisions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shd w:fill="1D3357"/>
          </w:tcPr>
          <w:p>
            <w:pPr>
              <w:spacing w:after="0"/>
            </w:pPr>
            <w:r>
              <w:rPr>
                <w:rFonts w:ascii="Arial" w:hAnsi="Arial"/>
                <w:b/>
                <w:color w:val="FFFFFF"/>
                <w:sz w:val="16"/>
              </w:rPr>
              <w:t>Item</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shd w:fill="1D3357"/>
          </w:tcPr>
          <w:p>
            <w:pPr>
              <w:spacing w:after="0"/>
            </w:pPr>
            <w:r>
              <w:rPr>
                <w:rFonts w:ascii="Arial" w:hAnsi="Arial"/>
                <w:b/>
                <w:color w:val="FFFFFF"/>
                <w:sz w:val="16"/>
              </w:rPr>
              <w:t>Classification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shd w:fill="1D3357"/>
          </w:tcPr>
          <w:p>
            <w:pPr>
              <w:spacing w:after="0"/>
            </w:pPr>
            <w:r>
              <w:rPr>
                <w:rFonts w:ascii="Arial" w:hAnsi="Arial"/>
                <w:b/>
                <w:color w:val="FFFFFF"/>
                <w:sz w:val="16"/>
              </w:rPr>
              <w:t>Rule</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Adult resting-rate reference / tachy-brady labels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60-100 BPM is a common adult resting reference; &gt;100 and &lt;60 are descriptive clinical terms with context-dependent exceptions. [2][3]</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Marked-low &lt;50 BPM reference</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Clinical/context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Used only as a physician-facing reference; symptoms and clinical context determine significance. [4]</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Orthostatic BP definition / posture protocol</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Use paired supine-standing HR/BP; OH reference definition comes from AHA statement. [5]</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True HRV SDNN/RMSSD</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Clinical/statistical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Requires validated beat-to-beat RR/NN intervals; do not compute from spot BPM. [9]</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Heart-rate recovery</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Research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Formula is valid only in a standardized exercise/recovery protocol; P2/deferred. [10]</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Mean / SD / OLS / LOESS mathematics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Statistical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Shared deterministic implementations follow NIST methods. [6][7][8]</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Trend/significance sample gates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Product stability gates, not diagnostic criteria.</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Personal baseline windows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Recent 7 days vs preceding 30 days; configurable/versioned.</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Symptom / medication association windows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Timestamp and pre/post windows support temporal review only; not causal inference.</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15-minute event clustering / 2-minute cross-vital fallback</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Product grouping rules; preserve exact event timestamps and provenance.</w:t>
            </w:r>
          </w:p>
        </w:tc>
      </w:tr>
    </w:tbl>
    <w:p>
      <w:pPr>
        <w:keepNext/>
        <w:spacing w:before="160" w:after="100"/>
        <w:pBdr>
          <w:bottom w:val="single" w:sz="12" w:space="3" w:color="0AA5B5"/>
        </w:pBdr>
      </w:pPr>
      <w:r>
        <w:rPr>
          <w:rFonts w:ascii="Arial" w:hAnsi="Arial"/>
          <w:b/>
          <w:color w:val="1D3357"/>
          <w:sz w:val="33"/>
        </w:rPr>
        <w:t>17. References</w:t>
      </w:r>
    </w:p>
    <w:p>
      <w:pPr>
        <w:spacing w:after="80"/>
        <w:ind w:left="360" w:hanging="360"/>
      </w:pPr>
      <w:r>
        <w:rPr>
          <w:rFonts w:ascii="Arial" w:hAnsi="Arial"/>
          <w:b/>
          <w:color w:val="1D3357"/>
          <w:sz w:val="16"/>
        </w:rPr>
        <w:t xml:space="preserve">[1] </w:t>
      </w:r>
      <w:r>
        <w:rPr>
          <w:rFonts w:ascii="Arial" w:hAnsi="Arial"/>
          <w:color w:val="20242A"/>
          <w:sz w:val="16"/>
        </w:rPr>
        <w:t>Vitals Development Project. Mobile Application Development Roadmap - .NET MAUI | iOS &amp; Android | September 2026 Launch Target. Internal project document, Sep 2026 v2.</w:t>
      </w:r>
    </w:p>
    <w:p>
      <w:pPr>
        <w:spacing w:after="80"/>
        <w:ind w:left="360" w:hanging="360"/>
      </w:pPr>
      <w:r>
        <w:rPr>
          <w:rFonts w:ascii="Arial" w:hAnsi="Arial"/>
          <w:b/>
          <w:color w:val="1D3357"/>
          <w:sz w:val="16"/>
        </w:rPr>
        <w:t xml:space="preserve">[2] </w:t>
      </w:r>
      <w:r>
        <w:rPr>
          <w:rFonts w:ascii="Arial" w:hAnsi="Arial"/>
          <w:color w:val="20242A"/>
          <w:sz w:val="16"/>
        </w:rPr>
        <w:t>American Heart Association. All About Heart Rate. https://www.heart.org/en/health-topics/high-blood-pressure/the-facts-about-high-blood-pressure/all-about-heart-rate-pulse</w:t>
      </w:r>
    </w:p>
    <w:p>
      <w:pPr>
        <w:spacing w:after="80"/>
        <w:ind w:left="360" w:hanging="360"/>
      </w:pPr>
      <w:r>
        <w:rPr>
          <w:rFonts w:ascii="Arial" w:hAnsi="Arial"/>
          <w:b/>
          <w:color w:val="1D3357"/>
          <w:sz w:val="16"/>
        </w:rPr>
        <w:t xml:space="preserve">[3] </w:t>
      </w:r>
      <w:r>
        <w:rPr>
          <w:rFonts w:ascii="Arial" w:hAnsi="Arial"/>
          <w:color w:val="20242A"/>
          <w:sz w:val="16"/>
        </w:rPr>
        <w:t>American Heart Association. Tachycardia: Fast Heart Rate; Bradycardia: Slow Heart Rate. Last reviewed Sep 24-25, 2024. https://www.heart.org/en/health-topics/arrhythmia/about-arrhythmia/tachycardia--fast-heart-rate ; https://www.heart.org/en/health-topics/arrhythmia/about-arrhythmia/bradycardia--slow-heart-rate</w:t>
      </w:r>
    </w:p>
    <w:p>
      <w:pPr>
        <w:spacing w:after="80"/>
        <w:ind w:left="360" w:hanging="360"/>
      </w:pPr>
      <w:r>
        <w:rPr>
          <w:rFonts w:ascii="Arial" w:hAnsi="Arial"/>
          <w:b/>
          <w:color w:val="1D3357"/>
          <w:sz w:val="16"/>
        </w:rPr>
        <w:t xml:space="preserve">[4] </w:t>
      </w:r>
      <w:r>
        <w:rPr>
          <w:rFonts w:ascii="Arial" w:hAnsi="Arial"/>
          <w:color w:val="20242A"/>
          <w:sz w:val="16"/>
        </w:rPr>
        <w:t>Kusumoto FM, Schoenfeld MH, Barrett C, et al. 2018 ACC/AHA/HRS guideline on the evaluation and management of patients with bradycardia and cardiac conduction delay. Circulation. 2019;140:e382-e482. doi:10.1161/CIR.0000000000000628. https://www.ahajournals.org/doi/10.1161/CIR.0000000000000628</w:t>
      </w:r>
    </w:p>
    <w:p>
      <w:pPr>
        <w:spacing w:after="80"/>
        <w:ind w:left="360" w:hanging="360"/>
      </w:pPr>
      <w:r>
        <w:rPr>
          <w:rFonts w:ascii="Arial" w:hAnsi="Arial"/>
          <w:b/>
          <w:color w:val="1D3357"/>
          <w:sz w:val="16"/>
        </w:rPr>
        <w:t xml:space="preserve">[5] </w:t>
      </w:r>
      <w:r>
        <w:rPr>
          <w:rFonts w:ascii="Arial" w:hAnsi="Arial"/>
          <w:color w:val="20242A"/>
          <w:sz w:val="16"/>
        </w:rPr>
        <w:t>Juraschek SP, Cortez MM, Flack JM, et al. Orthostatic Hypotension in Adults With Hypertension: A Scientific Statement From the American Heart Association. Hypertension. 2024;81:e16-e30. doi:10.1161/HYP.0000000000000236. https://www.ahajournals.org/doi/10.1161/HYP.0000000000000236</w:t>
      </w:r>
    </w:p>
    <w:p>
      <w:pPr>
        <w:spacing w:after="80"/>
        <w:ind w:left="360" w:hanging="360"/>
      </w:pPr>
      <w:r>
        <w:rPr>
          <w:rFonts w:ascii="Arial" w:hAnsi="Arial"/>
          <w:b/>
          <w:color w:val="1D3357"/>
          <w:sz w:val="16"/>
        </w:rPr>
        <w:t xml:space="preserve">[6] </w:t>
      </w:r>
      <w:r>
        <w:rPr>
          <w:rFonts w:ascii="Arial" w:hAnsi="Arial"/>
          <w:color w:val="20242A"/>
          <w:sz w:val="16"/>
        </w:rPr>
        <w:t>NIST/SEMATECH e-Handbook of Statistical Methods. Linear Least Squares Regression / Least Squares. https://www.itl.nist.gov/div898/handbook/pmd/section1/pmd141.htm ; https://www.itl.nist.gov/div898/handbook/pmd/section4/pmd431.htm</w:t>
      </w:r>
    </w:p>
    <w:p>
      <w:pPr>
        <w:spacing w:after="80"/>
        <w:ind w:left="360" w:hanging="360"/>
      </w:pPr>
      <w:r>
        <w:rPr>
          <w:rFonts w:ascii="Arial" w:hAnsi="Arial"/>
          <w:b/>
          <w:color w:val="1D3357"/>
          <w:sz w:val="16"/>
        </w:rPr>
        <w:t xml:space="preserve">[7] </w:t>
      </w:r>
      <w:r>
        <w:rPr>
          <w:rFonts w:ascii="Arial" w:hAnsi="Arial"/>
          <w:color w:val="20242A"/>
          <w:sz w:val="16"/>
        </w:rPr>
        <w:t>NIST/SEMATECH e-Handbook of Statistical Methods. 4.1.4.4 LOESS (aka LOWESS). https://www.itl.nist.gov/div898/handbook/pmd/section1/pmd144.htm</w:t>
      </w:r>
    </w:p>
    <w:tbl>
      <w:tblPr>
        <w:tblW w:type="auto" w:w="0"/>
        <w:jc w:val="center"/>
        <w:tblLayout w:type="autofit"/>
        <w:tblLook w:firstColumn="1" w:firstRow="1" w:lastColumn="0" w:lastRow="0" w:noHBand="0" w:noVBand="1" w:val="04A0"/>
        <w:tblBorders>
          <w:top w:val="single" w:sz="0" w:space="0" w:color="FFF6DD"/>
          <w:left w:val="single" w:sz="0" w:space="0" w:color="FFF6DD"/>
          <w:bottom w:val="single" w:sz="0" w:space="0" w:color="FFF6DD"/>
          <w:right w:val="single" w:sz="0" w:space="0" w:color="FFF6DD"/>
          <w:insideH w:val="single" w:sz="0" w:space="0" w:color="FFF6DD"/>
          <w:insideV w:val="single" w:sz="0" w:space="0" w:color="FFF6DD"/>
        </w:tblBorders>
      </w:tblPr>
      <w:tblGrid>
        <w:gridCol w:w="9994"/>
      </w:tblGrid>
      <w:tr>
        <w:tc>
          <w:tcPr>
            <w:tcW w:type="dxa" w:w="9994"/>
            <w:shd w:fill="FFF6DD"/>
            <w:tcMar>
              <w:top w:w="90" w:type="dxa"/>
              <w:start w:w="120" w:type="dxa"/>
              <w:bottom w:w="90" w:type="dxa"/>
              <w:end w:w="120" w:type="dxa"/>
            </w:tcMar>
            <w:tcBorders>
              <w:left w:val="single" w:sz="22" w:color="E4A11B"/>
            </w:tcBorders>
          </w:tcPr>
          <w:p>
            <w:pPr>
              <w:spacing w:after="40"/>
            </w:pPr>
            <w:r>
              <w:rPr>
                <w:rFonts w:ascii="Arial" w:hAnsi="Arial"/>
                <w:b/>
                <w:color w:val="1B2A4A"/>
                <w:sz w:val="20"/>
              </w:rPr>
              <w:t>Clinical review checkpoint</w:t>
            </w:r>
          </w:p>
          <w:p>
            <w:pPr>
              <w:spacing w:after="0"/>
            </w:pPr>
            <w:r>
              <w:rPr>
                <w:rFonts w:ascii="Arial" w:hAnsi="Arial"/>
                <w:color w:val="20242A"/>
                <w:sz w:val="18"/>
              </w:rPr>
              <w:t>Before production release, confirm threshold wording, orthostatic presentation, symptom categories, and any patient-facing safety messages with a licensed clinician. The statistical formulas are deterministic engineering definitions; the interpretation and escalation language are clinical product decisions.</w:t>
            </w:r>
          </w:p>
        </w:tc>
      </w:tr>
    </w:tbl>
    <w:p>
      <w:pPr>
        <w:spacing w:after="20"/>
      </w:pPr>
    </w:p>
    <w:p>
      <w:pPr>
        <w:spacing w:after="80"/>
        <w:ind w:left="360" w:hanging="360"/>
      </w:pPr>
      <w:r>
        <w:rPr>
          <w:rFonts w:ascii="Arial" w:hAnsi="Arial"/>
          <w:b/>
          <w:color w:val="1D3357"/>
          <w:sz w:val="16"/>
        </w:rPr>
        <w:t xml:space="preserve">[8] </w:t>
      </w:r>
      <w:r>
        <w:rPr>
          <w:rFonts w:ascii="Arial" w:hAnsi="Arial"/>
          <w:color w:val="20242A"/>
          <w:sz w:val="16"/>
        </w:rPr>
        <w:t>NIST/SEMATECH e-Handbook of Statistical Methods. 1.3.5.6 Measures of Scale. https://www.itl.nist.gov/div898/handbook/eda/section3/eda356.htm</w:t>
      </w:r>
    </w:p>
    <w:p>
      <w:pPr>
        <w:spacing w:after="80"/>
        <w:ind w:left="360" w:hanging="360"/>
      </w:pPr>
      <w:r>
        <w:rPr>
          <w:rFonts w:ascii="Arial" w:hAnsi="Arial"/>
          <w:b/>
          <w:color w:val="1D3357"/>
          <w:sz w:val="16"/>
        </w:rPr>
        <w:t xml:space="preserve">[9] </w:t>
      </w:r>
      <w:r>
        <w:rPr>
          <w:rFonts w:ascii="Arial" w:hAnsi="Arial"/>
          <w:color w:val="20242A"/>
          <w:sz w:val="16"/>
        </w:rPr>
        <w:t>Task Force of the European Society of Cardiology and the North American Society of Pacing and Electrophysiology. Heart rate variability: standards of measurement, physiological interpretation and clinical use. Circulation. 1996;93(5):1043-1065. doi:10.1161/01.CIR.93.5.1043. PMID:8598068. https://pubmed.ncbi.nlm.nih.gov/8598068/</w:t>
      </w:r>
    </w:p>
    <w:p>
      <w:pPr>
        <w:spacing w:after="80"/>
        <w:ind w:left="360" w:hanging="360"/>
      </w:pPr>
      <w:r>
        <w:rPr>
          <w:rFonts w:ascii="Arial" w:hAnsi="Arial"/>
          <w:b/>
          <w:color w:val="1D3357"/>
          <w:sz w:val="16"/>
        </w:rPr>
        <w:t xml:space="preserve">[10] </w:t>
      </w:r>
      <w:r>
        <w:rPr>
          <w:rFonts w:ascii="Arial" w:hAnsi="Arial"/>
          <w:color w:val="20242A"/>
          <w:sz w:val="16"/>
        </w:rPr>
        <w:t>Cole CR, Blackstone EH, Pashkow FJ, Snader CE, Lauer MS. Heart-Rate Recovery Immediately after Exercise as a Predictor of Mortality. N Engl J Med. 1999;341:1351-1357. doi:10.1056/NEJM199910283411804. https://www.nejm.org/doi/full/10.1056/NEJM199910283411804</w:t>
      </w:r>
    </w:p>
    <w:p>
      <w:pPr>
        <w:spacing w:after="0"/>
      </w:pPr>
      <w:r>
        <w:rPr>
          <w:rFonts w:ascii="Arial" w:hAnsi="Arial"/>
          <w:i/>
          <w:color w:val="687386"/>
          <w:sz w:val="16"/>
        </w:rPr>
        <w:t>Reference maintenance: re-verify AHA/ACC/HRS guidance before release. If future guidelines change resting-rate or orthostatic definitions, preserve versioned reference profiles so historical analysis does not silently change.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31"/>
      <w:gridCol w:w="3331"/>
      <w:gridCol w:w="3331"/>
    </w:tblGrid>
    <w:tr>
      <w:tc>
        <w:tcPr>
          <w:tcW w:type="dxa" w:w="0"/>
          <w:tcBorders>
            <w:top w:val="single" w:sz="4" w:color="D5D9E0"/>
            <w:left w:val="nil"/>
            <w:bottom w:val="nil"/>
            <w:right w:val="nil"/>
          </w:tcBorders>
          <w:tcMar>
            <w:top w:w="60" w:type="dxa"/>
            <w:start w:w="0" w:type="dxa"/>
            <w:bottom w:w="0" w:type="dxa"/>
            <w:end w:w="0" w:type="dxa"/>
          </w:tcMar>
        </w:tcPr>
        <w:p>
          <w:r>
            <w:rPr>
              <w:rFonts w:ascii="Arial" w:hAnsi="Arial"/>
              <w:color w:val="6B7280"/>
              <w:sz w:val="15"/>
            </w:rPr>
            <w:t>Confidential - Working Draft</w:t>
          </w:r>
        </w:p>
      </w:tc>
      <w:tc>
        <w:tcPr>
          <w:tcW w:type="dxa" w:w="0"/>
          <w:tcBorders>
            <w:top w:val="single" w:sz="4" w:color="D5D9E0"/>
            <w:left w:val="nil"/>
            <w:bottom w:val="nil"/>
            <w:right w:val="nil"/>
          </w:tcBorders>
          <w:tcMar>
            <w:top w:w="60" w:type="dxa"/>
            <w:start w:w="0" w:type="dxa"/>
            <w:bottom w:w="0" w:type="dxa"/>
            <w:end w:w="0" w:type="dxa"/>
          </w:tcMar>
        </w:tcPr>
        <w:p>
          <w:pPr>
            <w:jc w:val="center"/>
          </w:pPr>
          <w:r>
            <w:rPr>
              <w:rFonts w:ascii="Arial" w:hAnsi="Arial"/>
              <w:color w:val="6B7280"/>
              <w:sz w:val="15"/>
            </w:rPr>
            <w:t>September 2026</w:t>
          </w:r>
        </w:p>
      </w:tc>
      <w:tc>
        <w:tcPr>
          <w:tcW w:type="dxa" w:w="0"/>
          <w:tcBorders>
            <w:top w:val="single" w:sz="4" w:color="D5D9E0"/>
            <w:left w:val="nil"/>
            <w:bottom w:val="nil"/>
            <w:right w:val="nil"/>
          </w:tcBorders>
          <w:tcMar>
            <w:top w:w="60" w:type="dxa"/>
            <w:start w:w="0" w:type="dxa"/>
            <w:bottom w:w="0" w:type="dxa"/>
            <w:end w:w="0" w:type="dxa"/>
          </w:tcMar>
        </w:tcPr>
        <w:p>
          <w:pPr>
            <w:jc w:val="right"/>
          </w:pPr>
          <w:r>
            <w:rPr>
              <w:rFonts w:ascii="Arial" w:hAnsi="Arial"/>
              <w:color w:val="6B7280"/>
              <w:sz w:val="15"/>
            </w:rPr>
            <w:t xml:space="preserve">Page </w:t>
          </w:r>
          <w:r>
            <w:rPr>
              <w:rFonts w:ascii="Arial" w:hAnsi="Arial"/>
              <w:color w:val="6B7280"/>
              <w:sz w:val="15"/>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color w:val="6B7280"/>
        <w:sz w:val="15"/>
      </w:rPr>
      <w:t>Vitals Development Project  |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024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iabetesjournals.org/care/article/49/Supplement_1/S132/163927/6-Glycemic-Goals-Hypoglycemia-and-Hyperglycemic" TargetMode="External"/><Relationship Id="rId13" Type="http://schemas.openxmlformats.org/officeDocument/2006/relationships/hyperlink" Target="https://diabetesjournals.org/care/article/49/Supplement_1/S150/163922/7-Diabetes-Technology-Standards-of-Care-in" TargetMode="External"/><Relationship Id="rId14" Type="http://schemas.openxmlformats.org/officeDocument/2006/relationships/hyperlink" Target="https://diabetesjournals.org/care/article/49/Supplement_1/S27/163926/2-Diagnosis-and-Classification-of-Diabetes" TargetMode="External"/><Relationship Id="rId15" Type="http://schemas.openxmlformats.org/officeDocument/2006/relationships/hyperlink" Target="https://diabetesjournals.org/care/article/41/11/2275/36593/Glucose-Management-Indicator-GMI-A-New-Term-for" TargetMode="External"/><Relationship Id="rId16" Type="http://schemas.openxmlformats.org/officeDocument/2006/relationships/hyperlink" Target="https://diabetesjournals.org/care/article/42/8/1593/36184/Clinical-Targets-for-Continuous-Glucose-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Vitals Heart Rate (BPM) Analysis Engineering Specification</dc:title>
  <dc:subject>High-priority heart-rate analysis sets, formulas, evidence traceability, citations, and implementation guidance</dc:subject>
  <dc:creator>Vitals Development Project</dc:creator>
  <cp:keywords>Vitals, heart rate, BPM, engineering specification, clinical visualization, trend analysis</cp:keywords>
  <dc:description>Working engineering specification for Vitals Development Project.</dc:description>
  <cp:lastModifiedBy/>
  <cp:revision>1</cp:revision>
  <dcterms:created xsi:type="dcterms:W3CDTF">2013-12-23T23:15:00Z</dcterms:created>
  <dcterms:modified xsi:type="dcterms:W3CDTF">2013-12-23T23:15:00Z</dcterms:modified>
  <cp:category/>
</cp:coreProperties>
</file>