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jc w:val="center"/>
      </w:pPr>
      <w:r>
        <w:drawing>
          <wp:inline xmlns:a="http://schemas.openxmlformats.org/drawingml/2006/main" xmlns:pic="http://schemas.openxmlformats.org/drawingml/2006/picture">
            <wp:extent cx="2057400" cy="937491"/>
            <wp:docPr id="1" name="Picture 1"/>
            <wp:cNvGraphicFramePr>
              <a:graphicFrameLocks noChangeAspect="1"/>
            </wp:cNvGraphicFramePr>
            <a:graphic>
              <a:graphicData uri="http://schemas.openxmlformats.org/drawingml/2006/picture">
                <pic:pic>
                  <pic:nvPicPr>
                    <pic:cNvPr id="0" name="vitals_logo_cropped.png"/>
                    <pic:cNvPicPr/>
                  </pic:nvPicPr>
                  <pic:blipFill>
                    <a:blip r:embed="rId11"/>
                    <a:stretch>
                      <a:fillRect/>
                    </a:stretch>
                  </pic:blipFill>
                  <pic:spPr>
                    <a:xfrm>
                      <a:off x="0" y="0"/>
                      <a:ext cx="2057400" cy="937491"/>
                    </a:xfrm>
                    <a:prstGeom prst="rect"/>
                  </pic:spPr>
                </pic:pic>
              </a:graphicData>
            </a:graphic>
          </wp:inline>
        </w:drawing>
      </w:r>
    </w:p>
    <w:p>
      <w:pPr>
        <w:spacing w:before="140" w:after="60"/>
        <w:jc w:val="center"/>
      </w:pPr>
      <w:r>
        <w:rPr>
          <w:rFonts w:ascii="Arial" w:hAnsi="Arial"/>
          <w:b/>
          <w:color w:val="17365D"/>
          <w:sz w:val="52"/>
        </w:rPr>
        <w:t>SpO2 Analysis Engine</w:t>
      </w:r>
    </w:p>
    <w:p>
      <w:pPr>
        <w:spacing w:after="100"/>
        <w:jc w:val="center"/>
      </w:pPr>
      <w:r>
        <w:rPr>
          <w:rFonts w:ascii="Arial" w:hAnsi="Arial"/>
          <w:b/>
          <w:color w:val="087C8C"/>
          <w:sz w:val="29"/>
        </w:rPr>
        <w:t>Engineering Specification - High-Priority Analysis Sets &amp; Mathematical Definitions</w:t>
      </w:r>
    </w:p>
    <w:p>
      <w:pPr>
        <w:spacing w:after="240"/>
        <w:jc w:val="center"/>
      </w:pPr>
      <w:r>
        <w:rPr>
          <w:rFonts w:ascii="Arial" w:hAnsi="Arial"/>
          <w:b w:val="0"/>
          <w:i/>
          <w:color w:val="667085"/>
          <w:sz w:val="20"/>
        </w:rPr>
        <w:t>.NET MAUI | FastAPI | Spot/Resting Measurements First | Continuous-Oximetry Ready</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506"/>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7"/>
              </w:rPr>
              <w:t>Document</w:t>
            </w:r>
          </w:p>
        </w:tc>
        <w:tc>
          <w:tcPr>
            <w:tcW w:type="dxa" w:w="2506"/>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7"/>
              </w:rPr>
              <w:t>Version</w:t>
            </w:r>
          </w:p>
        </w:tc>
        <w:tc>
          <w:tcPr>
            <w:tcW w:type="dxa" w:w="2506"/>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7"/>
              </w:rPr>
              <w:t>Date</w:t>
            </w:r>
          </w:p>
        </w:tc>
        <w:tc>
          <w:tcPr>
            <w:tcW w:type="dxa" w:w="2506"/>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7"/>
              </w:rPr>
              <w:t>Status</w:t>
            </w:r>
          </w:p>
        </w:tc>
      </w:tr>
      <w:tr>
        <w:trPr>
          <w:cantSplit/>
        </w:trPr>
        <w:tc>
          <w:tcPr>
            <w:tcW w:type="dxa" w:w="250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7"/>
              </w:rPr>
              <w:t>Engineering Specification</w:t>
            </w:r>
          </w:p>
        </w:tc>
        <w:tc>
          <w:tcPr>
            <w:tcW w:type="dxa" w:w="250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color w:val="20242A"/>
                <w:sz w:val="17"/>
              </w:rPr>
              <w:t>0.2 Draft</w:t>
            </w:r>
          </w:p>
        </w:tc>
        <w:tc>
          <w:tcPr>
            <w:tcW w:type="dxa" w:w="250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color w:val="20242A"/>
                <w:sz w:val="17"/>
              </w:rPr>
              <w:t>September 13, 2026</w:t>
            </w:r>
          </w:p>
        </w:tc>
        <w:tc>
          <w:tcPr>
            <w:tcW w:type="dxa" w:w="250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7"/>
              </w:rPr>
              <w:t>For implementation review</w:t>
            </w:r>
          </w:p>
        </w:tc>
      </w:tr>
    </w:tbl>
    <w:p>
      <w:pPr>
        <w:spacing w:after="40"/>
      </w:pPr>
    </w:p>
    <w:tbl>
      <w:tblPr>
        <w:tblW w:type="auto" w:w="0"/>
        <w:jc w:val="center"/>
        <w:tblLayout w:type="fixed"/>
        <w:tblLook w:firstColumn="1" w:firstRow="1" w:lastColumn="0" w:lastRow="0" w:noHBand="0" w:noVBand="1" w:val="04A0"/>
      </w:tblPr>
      <w:tblGrid>
        <w:gridCol w:w="9994"/>
      </w:tblGrid>
      <w:tr>
        <w:trPr>
          <w:cantSplit/>
        </w:trPr>
        <w:tc>
          <w:tcPr>
            <w:tcW w:type="dxa" w:w="9994"/>
            <w:shd w:fill="EAF2F7"/>
            <w:tcMar>
              <w:top w:w="100" w:type="dxa"/>
              <w:start w:w="120" w:type="dxa"/>
              <w:bottom w:w="100" w:type="dxa"/>
              <w:end w:w="120" w:type="dxa"/>
            </w:tcMar>
            <w:tcBorders>
              <w:top w:val="nil"/>
              <w:left w:val="single" w:sz="18" w:color="18AAB5"/>
              <w:bottom w:val="nil"/>
              <w:right w:val="nil"/>
            </w:tcBorders>
          </w:tcPr>
          <w:p>
            <w:pPr>
              <w:spacing w:after="60"/>
            </w:pPr>
            <w:r>
              <w:rPr>
                <w:rFonts w:ascii="Arial" w:hAnsi="Arial"/>
                <w:b/>
                <w:color w:val="17365D"/>
                <w:sz w:val="20"/>
              </w:rPr>
              <w:t>Core engineering decision</w:t>
            </w:r>
          </w:p>
          <w:p>
            <w:pPr>
              <w:spacing w:after="0" w:line="245" w:lineRule="auto"/>
            </w:pPr>
            <w:r>
              <w:rPr>
                <w:rFonts w:ascii="Arial" w:hAnsi="Arial"/>
                <w:b w:val="0"/>
                <w:color w:val="20242A"/>
                <w:sz w:val="18"/>
              </w:rPr>
              <w:t>SpO2 will use the shared Vitals statistics/visualization infrastructure, but clinical eligibility and interpretation will be oxygen-saturation specific. P0 emphasizes resting baseline, confirmed low observations, target exceptions, symptoms, supplemental oxygen, and cross-vital context. Duration-based hypoxemia metrics are reserved for validated dense/continuous oximetry.</w:t>
            </w:r>
          </w:p>
        </w:tc>
      </w:tr>
    </w:tbl>
    <w:p>
      <w:pPr>
        <w:spacing w:before="0" w:after="0" w:line="252" w:lineRule="auto"/>
      </w:pPr>
      <w:r>
        <w:rPr>
          <w:rFonts w:ascii="Arial" w:hAnsi="Arial"/>
          <w:b w:val="0"/>
          <w:i w:val="0"/>
          <w:color w:val="20242A"/>
          <w:sz w:val="18"/>
        </w:rPr>
        <w:t>This specification is an implementation companion to the Vitals Phase 4 Clinical Visualization Engine and addresses the current requirement that enabled vitals render dynamically on Dashboard/History. It defines SpO2-specific context rules, formulas, data-quality safeguards, presentation language, and future continuous-oximetry capability gates.</w:t>
      </w:r>
      <w:r>
        <w:rPr>
          <w:rFonts w:ascii="Arial" w:hAnsi="Arial"/>
          <w:color w:val="20242A"/>
          <w:sz w:val="18"/>
        </w:rPr>
        <w:t xml:space="preserve"> [1]</w:t>
      </w:r>
    </w:p>
    <w:p>
      <w:r>
        <w:br w:type="page"/>
      </w:r>
    </w:p>
    <w:p>
      <w:pPr>
        <w:spacing w:before="220" w:after="100"/>
        <w:keepNext/>
        <w:pBdr>
          <w:bottom w:val="single" w:sz="16" w:space="2" w:color="18AAB5"/>
        </w:pBdr>
      </w:pPr>
      <w:r>
        <w:rPr>
          <w:rFonts w:ascii="Arial" w:hAnsi="Arial"/>
          <w:b/>
          <w:color w:val="17365D"/>
          <w:sz w:val="32"/>
        </w:rPr>
        <w:t>1. Purpose and Scope</w:t>
      </w:r>
    </w:p>
    <w:p>
      <w:pPr>
        <w:spacing w:before="0" w:after="100" w:line="252" w:lineRule="auto"/>
      </w:pPr>
      <w:r>
        <w:rPr>
          <w:rFonts w:ascii="Arial" w:hAnsi="Arial"/>
          <w:b w:val="0"/>
          <w:i w:val="0"/>
          <w:color w:val="20242A"/>
          <w:sz w:val="19"/>
        </w:rPr>
        <w:t>This document defines the high-priority oxygen-saturation (SpO2) analysis sets for Vitals, including the mathematical formulas used to calculate each value, the minimum data required to activate each analysis, the proposed data model, and the presentation guardrails for the mobile UI and physician-grade PDF.</w:t>
      </w:r>
    </w:p>
    <w:p>
      <w:pPr>
        <w:spacing w:before="0" w:after="100" w:line="252" w:lineRule="auto"/>
      </w:pPr>
      <w:r>
        <w:rPr>
          <w:rFonts w:ascii="Arial" w:hAnsi="Arial"/>
          <w:b w:val="0"/>
          <w:i w:val="0"/>
          <w:color w:val="20242A"/>
          <w:sz w:val="19"/>
        </w:rPr>
        <w:t>The initial implementation is designed for spot measurements captured during the normal Vitals workflow. Dense overnight or wearable oximetry may be supported later, but P0 analysis must remain useful without device partnerships or continuous sensors.</w:t>
      </w:r>
    </w:p>
    <w:tbl>
      <w:tblPr>
        <w:tblW w:type="auto" w:w="0"/>
        <w:jc w:val="center"/>
        <w:tblLayout w:type="fixed"/>
        <w:tblLook w:firstColumn="1" w:firstRow="1" w:lastColumn="0" w:lastRow="0" w:noHBand="0" w:noVBand="1" w:val="04A0"/>
      </w:tblPr>
      <w:tblGrid>
        <w:gridCol w:w="9994"/>
      </w:tblGrid>
      <w:tr>
        <w:trPr>
          <w:cantSplit/>
        </w:trPr>
        <w:tc>
          <w:tcPr>
            <w:tcW w:type="dxa" w:w="9994"/>
            <w:shd w:fill="EAF2F7"/>
            <w:tcMar>
              <w:top w:w="100" w:type="dxa"/>
              <w:start w:w="120" w:type="dxa"/>
              <w:bottom w:w="100" w:type="dxa"/>
              <w:end w:w="120" w:type="dxa"/>
            </w:tcMar>
            <w:tcBorders>
              <w:top w:val="nil"/>
              <w:left w:val="single" w:sz="18" w:color="18AAB5"/>
              <w:bottom w:val="nil"/>
              <w:right w:val="nil"/>
            </w:tcBorders>
          </w:tcPr>
          <w:p>
            <w:pPr>
              <w:spacing w:after="60"/>
            </w:pPr>
            <w:r>
              <w:rPr>
                <w:rFonts w:ascii="Arial" w:hAnsi="Arial"/>
                <w:b/>
                <w:color w:val="17365D"/>
                <w:sz w:val="20"/>
              </w:rPr>
              <w:t>Pulse oximetry is an estimate, not an arterial blood-gas measurement</w:t>
            </w:r>
          </w:p>
          <w:p>
            <w:pPr>
              <w:spacing w:after="0" w:line="245" w:lineRule="auto"/>
            </w:pPr>
            <w:r>
              <w:rPr>
                <w:rFonts w:ascii="Arial" w:hAnsi="Arial"/>
                <w:b w:val="0"/>
                <w:color w:val="20242A"/>
                <w:sz w:val="18"/>
              </w:rPr>
              <w:t>FDA and ATS materials emphasize that pulse oximeters estimate oxygen saturation and can be inaccurate under some conditions. Vitals should summarize trends and context while preserving uncertainty. It must not diagnose hypoxemia, respiratory failure, or sleep apnea from home pulse-ox data alone.</w:t>
            </w:r>
            <w:r>
              <w:rPr>
                <w:rFonts w:ascii="Arial" w:hAnsi="Arial"/>
                <w:color w:val="20242A"/>
                <w:sz w:val="17"/>
              </w:rPr>
              <w:t xml:space="preserve"> [2][3][12]</w:t>
            </w:r>
          </w:p>
        </w:tc>
      </w:tr>
    </w:tbl>
    <w:tbl>
      <w:tblPr>
        <w:tblW w:type="auto" w:w="0"/>
        <w:jc w:val="center"/>
        <w:tblLayout w:type="fixed"/>
        <w:tblLook w:firstColumn="1" w:firstRow="1" w:lastColumn="0" w:lastRow="0" w:noHBand="0" w:noVBand="1" w:val="04A0"/>
      </w:tblPr>
      <w:tblGrid>
        <w:gridCol w:w="9965"/>
      </w:tblGrid>
      <w:tr>
        <w:tc>
          <w:tcPr>
            <w:tcW w:type="dxa" w:w="9994"/>
            <w:shd w:fill="EDF4F7"/>
            <w:tcBorders>
              <w:left w:val="single" w:sz="22" w:color="0AA5B5"/>
              <w:top w:val="nil"/>
              <w:right w:val="nil"/>
              <w:bottom w:val="nil"/>
            </w:tcBorders>
            <w:tcMar>
              <w:top w:w="80" w:type="dxa"/>
              <w:start w:w="110" w:type="dxa"/>
              <w:bottom w:w="80" w:type="dxa"/>
              <w:end w:w="100" w:type="dxa"/>
            </w:tcMar>
          </w:tcPr>
          <w:p>
            <w:pPr>
              <w:spacing w:after="40"/>
            </w:pPr>
            <w:r>
              <w:rPr>
                <w:rFonts w:ascii="Arial" w:hAnsi="Arial"/>
                <w:b/>
                <w:color w:val="1D3357"/>
                <w:sz w:val="20"/>
              </w:rPr>
              <w:t>Citation convention</w:t>
            </w:r>
          </w:p>
          <w:p>
            <w:pPr>
              <w:spacing w:after="0"/>
            </w:pPr>
            <w:r>
              <w:rPr>
                <w:rFonts w:ascii="Arial" w:hAnsi="Arial"/>
                <w:color w:val="20242A"/>
                <w:sz w:val="18"/>
              </w:rPr>
              <w:t>Bracketed citations such as [2] refer to the numbered References block in Section 18. Clinical thresholds, population reference ranges, diagnostic/safety boundaries, and externally validated formulas carry adjacent citations. Sample-count gates, time windows, display thresholds, grouping rules, and UI activation criteria that are not externally sourced are explicitly treated as Vitals engineering decisions.</w:t>
            </w:r>
          </w:p>
        </w:tc>
      </w:tr>
    </w:tbl>
    <w:p>
      <w:pPr>
        <w:spacing w:before="220" w:after="100"/>
        <w:keepNext/>
        <w:pBdr>
          <w:bottom w:val="single" w:sz="16" w:space="2" w:color="18AAB5"/>
        </w:pBdr>
      </w:pPr>
      <w:r>
        <w:rPr>
          <w:rFonts w:ascii="Arial" w:hAnsi="Arial"/>
          <w:b/>
          <w:color w:val="17365D"/>
          <w:sz w:val="32"/>
        </w:rPr>
        <w:t>2. Clinical and Engineering Guardrails</w:t>
      </w:r>
    </w:p>
    <w:p>
      <w:pPr>
        <w:spacing w:after="40" w:line="245" w:lineRule="auto"/>
        <w:ind w:left="101" w:hanging="43"/>
      </w:pPr>
      <w:r>
        <w:rPr>
          <w:rFonts w:ascii="Arial" w:hAnsi="Arial"/>
          <w:b w:val="0"/>
          <w:color w:val="20242A"/>
          <w:sz w:val="18"/>
        </w:rPr>
        <w:t>• Comparable context is mandatory. Resting, exertional, recovery, sleep, posture, supplemental oxygen, and source/device context can materially change interpretation.</w:t>
      </w:r>
    </w:p>
    <w:p>
      <w:pPr>
        <w:spacing w:after="40" w:line="245" w:lineRule="auto"/>
        <w:ind w:left="101" w:hanging="43"/>
      </w:pPr>
      <w:r>
        <w:rPr>
          <w:rFonts w:ascii="Arial" w:hAnsi="Arial"/>
          <w:b w:val="0"/>
          <w:color w:val="20242A"/>
          <w:sz w:val="18"/>
        </w:rPr>
        <w:t>• Pulse-ox readings are estimates. Poor circulation, skin pigmentation, skin temperature/thickness, tobacco use, nail polish, motion, and device quality can affect accuracy.[2][3]</w:t>
      </w:r>
    </w:p>
    <w:p>
      <w:pPr>
        <w:spacing w:after="40" w:line="245" w:lineRule="auto"/>
        <w:ind w:left="101" w:hanging="43"/>
      </w:pPr>
      <w:r>
        <w:rPr>
          <w:rFonts w:ascii="Arial" w:hAnsi="Arial"/>
          <w:b w:val="0"/>
          <w:color w:val="20242A"/>
          <w:sz w:val="18"/>
        </w:rPr>
        <w:t>• Vitals should describe observations, not assign diagnoses. Preferred wording: "6 resting readings were below the configured target" rather than "you are hypoxemic."</w:t>
      </w:r>
    </w:p>
    <w:p>
      <w:pPr>
        <w:spacing w:after="40" w:line="245" w:lineRule="auto"/>
        <w:ind w:left="101" w:hanging="43"/>
      </w:pPr>
      <w:r>
        <w:rPr>
          <w:rFonts w:ascii="Arial" w:hAnsi="Arial"/>
          <w:b w:val="0"/>
          <w:color w:val="20242A"/>
          <w:sz w:val="18"/>
        </w:rPr>
        <w:t>• A single unexpectedly low spot reading should not automatically become a confirmed desaturation event. Vitals should encourage a repeat measurement after stabilization and preserve both values.</w:t>
      </w:r>
    </w:p>
    <w:p>
      <w:pPr>
        <w:spacing w:after="40" w:line="245" w:lineRule="auto"/>
        <w:ind w:left="101" w:hanging="43"/>
      </w:pPr>
      <w:r>
        <w:rPr>
          <w:rFonts w:ascii="Arial" w:hAnsi="Arial"/>
          <w:b w:val="0"/>
          <w:color w:val="20242A"/>
          <w:sz w:val="18"/>
        </w:rPr>
        <w:t>• Spot measurements support "percentage of logged readings below target," not duration-based "time below target." Duration metrics require dense/continuous data.</w:t>
      </w:r>
    </w:p>
    <w:p>
      <w:pPr>
        <w:spacing w:after="40" w:line="245" w:lineRule="auto"/>
        <w:ind w:left="101" w:hanging="43"/>
      </w:pPr>
      <w:r>
        <w:rPr>
          <w:rFonts w:ascii="Arial" w:hAnsi="Arial"/>
          <w:b w:val="0"/>
          <w:color w:val="20242A"/>
          <w:sz w:val="18"/>
        </w:rPr>
        <w:t>• Target saturation ranges must be patient/clinician configurable. Acute-care references such as 94-98% for many patients and 88-92% for patients at risk of hypercapnic respiratory failure are contextual clinical guidance, not universal home-monitoring defaults.[4]</w:t>
      </w:r>
    </w:p>
    <w:p>
      <w:pPr>
        <w:spacing w:after="40" w:line="245" w:lineRule="auto"/>
        <w:ind w:left="101" w:hanging="43"/>
      </w:pPr>
      <w:r>
        <w:rPr>
          <w:rFonts w:ascii="Arial" w:hAnsi="Arial"/>
          <w:b w:val="0"/>
          <w:color w:val="20242A"/>
          <w:sz w:val="18"/>
        </w:rPr>
        <w:t>• Supplemental oxygen state and prescribed flow/device settings are part of the measurement context; room-air and oxygen-supported readings must not be silently pooled.</w:t>
      </w:r>
    </w:p>
    <w:p>
      <w:pPr>
        <w:spacing w:after="40" w:line="245" w:lineRule="auto"/>
        <w:ind w:left="101" w:hanging="43"/>
      </w:pPr>
      <w:r>
        <w:rPr>
          <w:rFonts w:ascii="Arial" w:hAnsi="Arial"/>
          <w:b w:val="0"/>
          <w:color w:val="20242A"/>
          <w:sz w:val="18"/>
        </w:rPr>
        <w:t>• Cross-vital and symptom relationships are temporal associations, not causal findings.</w:t>
      </w:r>
    </w:p>
    <w:p>
      <w:pPr>
        <w:spacing w:after="40" w:line="245" w:lineRule="auto"/>
        <w:ind w:left="101" w:hanging="43"/>
      </w:pPr>
      <w:r>
        <w:rPr>
          <w:rFonts w:ascii="Arial" w:hAnsi="Arial"/>
          <w:b w:val="0"/>
          <w:color w:val="20242A"/>
          <w:sz w:val="18"/>
        </w:rPr>
        <w:t>• Overnight ODI/T90 metrics may summarize continuous oximetry when qualified, but Vitals must not diagnose obstructive sleep apnea from oximetry alone.[6][7]</w:t>
      </w:r>
      <w:r>
        <w:rPr>
          <w:rFonts w:ascii="Arial" w:hAnsi="Arial"/>
          <w:color w:val="20242A"/>
          <w:sz w:val="18"/>
        </w:rPr>
        <w:t xml:space="preserve"> [12]</w:t>
      </w:r>
    </w:p>
    <w:p>
      <w:pPr>
        <w:spacing w:before="220" w:after="100"/>
        <w:keepNext/>
        <w:pBdr>
          <w:bottom w:val="single" w:sz="16" w:space="2" w:color="18AAB5"/>
        </w:pBdr>
      </w:pPr>
      <w:r>
        <w:rPr>
          <w:rFonts w:ascii="Arial" w:hAnsi="Arial"/>
          <w:b/>
          <w:color w:val="17365D"/>
          <w:sz w:val="32"/>
        </w:rPr>
        <w:t>3. Priority Summary</w:t>
      </w:r>
    </w:p>
    <w:p>
      <w:pPr>
        <w:spacing w:before="0" w:after="100" w:line="252" w:lineRule="auto"/>
      </w:pPr>
      <w:r>
        <w:rPr>
          <w:rFonts w:ascii="Arial" w:hAnsi="Arial"/>
          <w:b w:val="0"/>
          <w:i w:val="0"/>
          <w:color w:val="20242A"/>
          <w:sz w:val="19"/>
        </w:rPr>
        <w:t>P0 analysis sets form the launch package for spot/resting readings. P1 adds a guided activity-response workflow. P2 is deferred until Vitals receives dense continuous or overnight oximetry with known sampling and quality metadata.</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1080"/>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Priority</w:t>
            </w:r>
          </w:p>
        </w:tc>
        <w:tc>
          <w:tcPr>
            <w:tcW w:type="dxa" w:w="367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Analysis set</w:t>
            </w:r>
          </w:p>
        </w:tc>
        <w:tc>
          <w:tcPr>
            <w:tcW w:type="dxa" w:w="2088"/>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Spot / manual</w:t>
            </w:r>
          </w:p>
        </w:tc>
        <w:tc>
          <w:tcPr>
            <w:tcW w:type="dxa" w:w="3154"/>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Dense / structured source</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Latest SpO2 + context</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Resting central tendency / range</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Personal baseline deviation</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Resting trend: OLS + LOESS</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Logged readings below target</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Confirmed low-observation events</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Between-reading dispersion</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Time-of-day patterns</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Symptom association</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Supplemental oxygen stratification</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P0</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Cross-vital same-event context</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P1</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Activity oxygen response / recovery</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Guided</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P2</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T90 / time below target</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No</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P2</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ODI3 / ODI4</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No</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Overnight only</w:t>
            </w:r>
          </w:p>
        </w:tc>
      </w:tr>
      <w:tr>
        <w:trPr>
          <w:cantSplit/>
        </w:trPr>
        <w:tc>
          <w:tcPr>
            <w:tcW w:type="dxa" w:w="10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shd w:fill="EAF3E6"/>
          </w:tcPr>
          <w:p>
            <w:r>
              <w:rPr>
                <w:rFonts w:ascii="Arial" w:hAnsi="Arial"/>
                <w:b w:val="0"/>
                <w:color w:val="20242A"/>
                <w:sz w:val="15"/>
              </w:rPr>
              <w:t>P2</w:t>
            </w:r>
          </w:p>
        </w:tc>
        <w:tc>
          <w:tcPr>
            <w:tcW w:type="dxa" w:w="367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Desaturation burden</w:t>
            </w:r>
          </w:p>
        </w:tc>
        <w:tc>
          <w:tcPr>
            <w:tcW w:type="dxa" w:w="208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No</w:t>
            </w:r>
          </w:p>
        </w:tc>
        <w:tc>
          <w:tcPr>
            <w:tcW w:type="dxa" w:w="315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Yes</w:t>
            </w:r>
          </w:p>
        </w:tc>
      </w:tr>
    </w:tbl>
    <w:p>
      <w:pPr>
        <w:spacing w:after="40"/>
      </w:pPr>
    </w:p>
    <w:p>
      <w:pPr>
        <w:spacing w:before="220" w:after="100"/>
        <w:keepNext/>
        <w:pBdr>
          <w:bottom w:val="single" w:sz="16" w:space="2" w:color="18AAB5"/>
        </w:pBdr>
      </w:pPr>
      <w:r>
        <w:rPr>
          <w:rFonts w:ascii="Arial" w:hAnsi="Arial"/>
          <w:b/>
          <w:color w:val="17365D"/>
          <w:sz w:val="32"/>
        </w:rPr>
        <w:t>4. Required SpO2 Data Model</w:t>
      </w:r>
    </w:p>
    <w:p>
      <w:pPr>
        <w:spacing w:before="0" w:after="100" w:line="252" w:lineRule="auto"/>
      </w:pPr>
      <w:r>
        <w:rPr>
          <w:rFonts w:ascii="Arial" w:hAnsi="Arial"/>
          <w:b w:val="0"/>
          <w:i w:val="0"/>
          <w:color w:val="20242A"/>
          <w:sz w:val="19"/>
        </w:rPr>
        <w:t>The analysis engine should normalize every observation into a metric-specific record while preserving the original source. Existing records can migrate with context = unknown; unknown-context values remain visible in History but are excluded from analyses that require comparable resting conditions.</w:t>
      </w:r>
    </w:p>
    <w:tbl>
      <w:tblPr>
        <w:tblW w:type="auto" w:w="0"/>
        <w:jc w:val="center"/>
        <w:tblLayout w:type="fixed"/>
        <w:tblLook w:firstColumn="1" w:firstRow="1" w:lastColumn="0" w:lastRow="0" w:noHBand="0" w:noVBand="1" w:val="04A0"/>
      </w:tblPr>
      <w:tblGrid>
        <w:gridCol w:w="2498"/>
        <w:gridCol w:w="2498"/>
        <w:gridCol w:w="2498"/>
        <w:gridCol w:w="2498"/>
      </w:tblGrid>
      <w:tr>
        <w:trPr>
          <w:cantSplit/>
          <w:tblHeader w:val="true"/>
        </w:trPr>
        <w:tc>
          <w:tcPr>
            <w:tcW w:type="dxa" w:w="223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Field</w:t>
            </w:r>
          </w:p>
        </w:tc>
        <w:tc>
          <w:tcPr>
            <w:tcW w:type="dxa" w:w="3024"/>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Type / example</w:t>
            </w:r>
          </w:p>
        </w:tc>
        <w:tc>
          <w:tcPr>
            <w:tcW w:type="dxa" w:w="115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Required</w:t>
            </w:r>
          </w:p>
        </w:tc>
        <w:tc>
          <w:tcPr>
            <w:tcW w:type="dxa" w:w="3586"/>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Purpose</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spo2_percent</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decimal/integer; 96</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Yes</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Primary oxygen-saturation estimate, stored in percent units.</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occurred_at_utc</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timestamp</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Yes</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Canonical ordering/windowing.</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local_offset_minutes</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integer</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Yes</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Correct local time-of-day bucketing.</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measurement_context</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resting / during_activity / recovery / asleep / unknown</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Recommended</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Defines eligibility for resting vs activity/continuous analysis.</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posture</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seated / standing / supine / unknown</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Optional</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Supports structured exertional/orthostatic context.</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source_type</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manual / pulse_oximeter / BP_monitor / wearable / imported</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Yes</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Auditability and source-specific quality rules.</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device_id / model</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string</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Optional</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Device provenance and future validation rules.</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signal_quality</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good / questionable / unknown</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Optional</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Exclude known poor-quality samples where available.</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supplemental_oxygen</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boolean / unknown</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Recommended</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Separates room-air from oxygen-supported observations.</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oxygen_delivery</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nasal_cannula / mask / pulse_device / other</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Optional</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Therapy context.</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oxygen_flow_lpm</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decimal</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Optional</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Prescribed/observed flow when relevant.</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symptom_tags</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dyspnea / fatigue / dizziness / confusion / chest_discomfort / other</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Optional</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Temporal association.</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measurement_event_id</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UUID</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Recommended</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Exact linkage to HR, BP, temperature, notes.</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repeat_of_reading_id</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UUID</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Optional</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Links confirmation repeats to an initial low observation.</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is_invalidated</w:t>
            </w:r>
          </w:p>
        </w:tc>
        <w:tc>
          <w:tcPr>
            <w:tcW w:type="dxa" w:w="302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boolean</w:t>
            </w:r>
          </w:p>
        </w:tc>
        <w:tc>
          <w:tcPr>
            <w:tcW w:type="dxa" w:w="115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Yes</w:t>
            </w:r>
          </w:p>
        </w:tc>
        <w:tc>
          <w:tcPr>
            <w:tcW w:type="dxa" w:w="358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Retain audit history without contaminating analysis.</w:t>
            </w:r>
          </w:p>
        </w:tc>
      </w:tr>
    </w:tbl>
    <w:p>
      <w:pPr>
        <w:spacing w:after="40"/>
      </w:pPr>
    </w:p>
    <w:p>
      <w:pPr>
        <w:spacing w:before="140" w:after="100"/>
        <w:keepNext/>
      </w:pPr>
      <w:r>
        <w:rPr>
          <w:rFonts w:ascii="Arial" w:hAnsi="Arial"/>
          <w:b/>
          <w:color w:val="087C8C"/>
          <w:sz w:val="25"/>
        </w:rPr>
        <w:t>4.1 Comparable resting set</w:t>
      </w:r>
    </w:p>
    <w:p>
      <w:pPr>
        <w:spacing w:before="0" w:after="100" w:line="252" w:lineRule="auto"/>
      </w:pPr>
      <w:r>
        <w:rPr>
          <w:rFonts w:ascii="Arial" w:hAnsi="Arial"/>
          <w:b w:val="0"/>
          <w:i w:val="0"/>
          <w:color w:val="20242A"/>
          <w:sz w:val="19"/>
        </w:rPr>
        <w:t>Default P0 resting analyses use observations where measurement_context = resting and is_invalidated = false. If oxygen status is known, analysis should either stratify by supplemental_oxygen or apply an explicit filter selected by the user/clinician. Do not pool room-air and oxygen-supported readings into a single baseline without labeling the mix.</w:t>
      </w:r>
    </w:p>
    <w:p>
      <w:pPr>
        <w:spacing w:before="140" w:after="100"/>
        <w:keepNext/>
      </w:pPr>
      <w:r>
        <w:rPr>
          <w:rFonts w:ascii="Arial" w:hAnsi="Arial"/>
          <w:b/>
          <w:color w:val="087C8C"/>
          <w:sz w:val="25"/>
        </w:rPr>
        <w:t>4.2 Measurement-event linkage</w:t>
      </w:r>
    </w:p>
    <w:p>
      <w:pPr>
        <w:spacing w:before="0" w:after="100" w:line="252" w:lineRule="auto"/>
      </w:pPr>
      <w:r>
        <w:rPr>
          <w:rFonts w:ascii="Arial" w:hAnsi="Arial"/>
          <w:b w:val="0"/>
          <w:i w:val="0"/>
          <w:color w:val="20242A"/>
          <w:sz w:val="19"/>
        </w:rPr>
        <w:t>A daily Vitals entry should generate or reuse one measurement_event_id for BP, heart rate, SpO2, and temperature. Cross-vital analysis should prefer exact event linkage over timestamp matching. If a fallback is necessary, use a strict configurable window (recommended &lt;=5 minutes).</w:t>
      </w:r>
    </w:p>
    <w:p>
      <w:pPr>
        <w:spacing w:before="220" w:after="100"/>
        <w:keepNext/>
        <w:pBdr>
          <w:bottom w:val="single" w:sz="16" w:space="2" w:color="18AAB5"/>
        </w:pBdr>
      </w:pPr>
      <w:r>
        <w:rPr>
          <w:rFonts w:ascii="Arial" w:hAnsi="Arial"/>
          <w:b/>
          <w:color w:val="17365D"/>
          <w:sz w:val="32"/>
        </w:rPr>
        <w:t>5. Mathematical Conventions</w:t>
      </w:r>
    </w:p>
    <w:p>
      <w:pPr>
        <w:spacing w:before="0" w:after="100" w:line="252" w:lineRule="auto"/>
      </w:pPr>
      <w:r>
        <w:rPr>
          <w:rFonts w:ascii="Arial" w:hAnsi="Arial"/>
          <w:b w:val="0"/>
          <w:i w:val="0"/>
          <w:color w:val="20242A"/>
          <w:sz w:val="19"/>
        </w:rPr>
        <w:t>Unless otherwise stated, y_i is SpO2 in percentage points and x_i is elapsed time in days from the start of the selected analysis window. Calculations use double precision internally. Display values are rounded only at the presentation layer.</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304"/>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6"/>
              </w:rPr>
              <w:t>Convention</w:t>
            </w:r>
          </w:p>
        </w:tc>
        <w:tc>
          <w:tcPr>
            <w:tcW w:type="dxa" w:w="7690"/>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6"/>
              </w:rPr>
              <w:t>Rule</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Windowing</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Use [start, end] inclusive by timestamp. UI may offer 7-, 14-, 30-, and 60-day windows.</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Current value</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Latest non-invalidated observation by occurred_at_utc within the selected context/filter.</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Display rounding</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SpO2: nearest whole percent on compact UI; mean/median and deltas: 0.1 percentage point in clinician view; slopes: 0.1 percentage point per 30 days.</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Duplicate handling</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Do not automatically average independent measurements. Repeat confirmations remain separate observations and are linked through repeat_of_reading_id.</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Distinct-day count</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Count unique local calendar dates represented by eligible observations.</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Threshold semantics</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Use strict comparisons unless target profile states otherwise. Record both configured threshold and comparator in result metadata.</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Missing context</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Unknown-context readings may appear in raw history but are not eligible for resting target/trend analysis by default.</w:t>
            </w:r>
          </w:p>
        </w:tc>
      </w:tr>
      <w:tr>
        <w:trPr>
          <w:cantSplit/>
        </w:trPr>
        <w:tc>
          <w:tcPr>
            <w:tcW w:type="dxa" w:w="230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Quality exclusion</w:t>
            </w:r>
          </w:p>
        </w:tc>
        <w:tc>
          <w:tcPr>
            <w:tcW w:type="dxa" w:w="769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Known invalidated or device-marked poor-quality samples are excluded from analysis but remain auditable.</w:t>
            </w:r>
          </w:p>
        </w:tc>
      </w:tr>
    </w:tbl>
    <w:p>
      <w:pPr>
        <w:spacing w:after="40"/>
      </w:pPr>
    </w:p>
    <w:p>
      <w:pPr>
        <w:spacing w:before="220" w:after="100"/>
        <w:keepNext/>
        <w:pBdr>
          <w:bottom w:val="single" w:sz="16" w:space="2" w:color="18AAB5"/>
        </w:pBdr>
      </w:pPr>
      <w:r>
        <w:rPr>
          <w:rFonts w:ascii="Arial" w:hAnsi="Arial"/>
          <w:b/>
          <w:color w:val="17365D"/>
          <w:sz w:val="32"/>
        </w:rPr>
        <w:t>6. P0 Analysis Sets - Spot / Resting Measurements</w:t>
      </w:r>
    </w:p>
    <w:p>
      <w:pPr>
        <w:spacing w:before="0" w:after="100" w:line="252" w:lineRule="auto"/>
      </w:pPr>
      <w:r>
        <w:rPr>
          <w:rFonts w:ascii="Arial" w:hAnsi="Arial"/>
          <w:b w:val="0"/>
          <w:i w:val="0"/>
          <w:color w:val="20242A"/>
          <w:sz w:val="19"/>
        </w:rPr>
        <w:t>The following sets should ship first. Proposed minimum sample gates are engineering defaults for product stability and are not diagnostic criteria.</w:t>
      </w:r>
    </w:p>
    <w:p>
      <w:pPr>
        <w:spacing w:before="140" w:after="100"/>
        <w:keepNext/>
      </w:pPr>
      <w:r>
        <w:rPr>
          <w:rFonts w:ascii="Arial" w:hAnsi="Arial"/>
          <w:b/>
          <w:color w:val="087C8C"/>
          <w:sz w:val="25"/>
        </w:rPr>
        <w:t>6.1. Snapshot and Measurement Context</w:t>
      </w:r>
    </w:p>
    <w:p>
      <w:pPr>
        <w:spacing w:before="0" w:after="80" w:line="252" w:lineRule="auto"/>
      </w:pPr>
      <w:r>
        <w:rPr>
          <w:rFonts w:ascii="Arial" w:hAnsi="Arial"/>
          <w:b/>
          <w:i w:val="0"/>
          <w:color w:val="087C8C"/>
          <w:sz w:val="16"/>
        </w:rPr>
        <w:t>P0 - Ship first   Spot + dense sources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Provide the latest SpO2 observation with enough context to interpret whether it was resting, exertional, on room air, or on supplemental oxygen.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Latest valid observation; timestamp; context; oxygen status/flow; symptoms; source; linked measurement event.</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latest = argmax_t(reading_i) over valid observations. No statistical transformation is applied to the latest value.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One valid observation.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SpO2 %, timestamp, context, oxygen support/flow, source, symptoms, linked HR/BP/temperature.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"Latest resting SpO2: 95% on room air, measured today at 7:14 AM."</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Do not label a single value as hypoxemia or normal without individualized context.</w:t>
            </w:r>
          </w:p>
        </w:tc>
      </w:tr>
    </w:tbl>
    <w:p>
      <w:pPr>
        <w:spacing w:after="40"/>
      </w:pPr>
    </w:p>
    <w:p>
      <w:pPr>
        <w:spacing w:before="140" w:after="100"/>
        <w:keepNext/>
      </w:pPr>
      <w:r>
        <w:rPr>
          <w:rFonts w:ascii="Arial" w:hAnsi="Arial"/>
          <w:b/>
          <w:color w:val="087C8C"/>
          <w:sz w:val="25"/>
        </w:rPr>
        <w:t>6.2. Resting Central Tendency and Range</w:t>
      </w:r>
    </w:p>
    <w:p>
      <w:pPr>
        <w:spacing w:before="0" w:after="80" w:line="252" w:lineRule="auto"/>
      </w:pPr>
      <w:r>
        <w:rPr>
          <w:rFonts w:ascii="Arial" w:hAnsi="Arial"/>
          <w:b/>
          <w:i w:val="0"/>
          <w:color w:val="087C8C"/>
          <w:sz w:val="16"/>
        </w:rPr>
        <w:t>P0 - Ship first   Comparable resting readings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Summarize the patient's observed resting oxygen-saturation level while preserving distribution and extrema.</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comparable resting SpO2 values y_1...y_n.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Arithmetic mean: y_bar = (1/n) * Σ y_i. Median: sort(y); odd n -&gt; middle; even n -&gt; average of two middle values. Minimum=min(y); Maximum=max(y); Range=max-min.</w:t>
            </w:r>
            <w:r>
              <w:rPr>
                <w:rFonts w:ascii="Arial" w:hAnsi="Arial"/>
                <w:color w:val="20242A"/>
                <w:sz w:val="17"/>
              </w:rPr>
              <w:t xml:space="preserve"> [11]</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Descriptive summary: n &gt;= 3 across &gt;= 3 distinct local dates.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n, distinct days, mean, median, minimum, maximum, range for 7/14/30/60-day windows.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"30-day resting median: 95%; observed range: 91-98%."</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For spot oximetry, median is recommended as the lead central-tendency statistic because it is more robust to isolated sensor artifacts.</w:t>
            </w:r>
          </w:p>
        </w:tc>
      </w:tr>
    </w:tbl>
    <w:p>
      <w:pPr>
        <w:spacing w:after="40"/>
      </w:pPr>
    </w:p>
    <w:p>
      <w:pPr>
        <w:spacing w:before="140" w:after="100"/>
        <w:keepNext/>
      </w:pPr>
      <w:r>
        <w:rPr>
          <w:rFonts w:ascii="Arial" w:hAnsi="Arial"/>
          <w:b/>
          <w:color w:val="087C8C"/>
          <w:sz w:val="25"/>
        </w:rPr>
        <w:t>6.3. Between-Reading Dispersion</w:t>
      </w:r>
    </w:p>
    <w:p>
      <w:pPr>
        <w:spacing w:before="0" w:after="80" w:line="252" w:lineRule="auto"/>
      </w:pPr>
      <w:r>
        <w:rPr>
          <w:rFonts w:ascii="Arial" w:hAnsi="Arial"/>
          <w:b/>
          <w:i w:val="0"/>
          <w:color w:val="087C8C"/>
          <w:sz w:val="16"/>
        </w:rPr>
        <w:t>P0 - Ship first   Comparable resting readings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Quantify how spread out repeated resting observations are without implying continuous physiologic variability.</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resting SpO2 values.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Sample SD: s = sqrt[Σ(y_i - y_bar)^2 / (n-1)]. IQR = Q3 - Q1 using linear percentile interpolation: h=(n-1)p; Q(p)=y[floor(h)] + (h-floor(h))*(y[ceil(h)]-y[floor(h)]).</w:t>
            </w:r>
            <w:r>
              <w:rPr>
                <w:rFonts w:ascii="Arial" w:hAnsi="Arial"/>
                <w:color w:val="20242A"/>
                <w:sz w:val="17"/>
              </w:rPr>
              <w:t xml:space="preserve"> [11]</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n &gt;= 5 for SD/IQR display.</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Sample SD, IQR, range, plus comparison with the prior equal-length period.</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"Resting readings were more variable this month than in the preceding month."</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Do not call this respiratory variability burden or infer intermittent hypoxemia from sparse spot readings.</w:t>
            </w:r>
          </w:p>
        </w:tc>
      </w:tr>
    </w:tbl>
    <w:p>
      <w:pPr>
        <w:spacing w:after="40"/>
      </w:pPr>
    </w:p>
    <w:p>
      <w:pPr>
        <w:spacing w:before="140" w:after="100"/>
        <w:keepNext/>
      </w:pPr>
      <w:r>
        <w:rPr>
          <w:rFonts w:ascii="Arial" w:hAnsi="Arial"/>
          <w:b/>
          <w:color w:val="087C8C"/>
          <w:sz w:val="25"/>
        </w:rPr>
        <w:t>6.4. Resting Trend: Ordinary Least Squares</w:t>
      </w:r>
    </w:p>
    <w:p>
      <w:pPr>
        <w:spacing w:before="0" w:after="80" w:line="252" w:lineRule="auto"/>
      </w:pPr>
      <w:r>
        <w:rPr>
          <w:rFonts w:ascii="Arial" w:hAnsi="Arial"/>
          <w:b/>
          <w:i w:val="0"/>
          <w:color w:val="087C8C"/>
          <w:sz w:val="16"/>
        </w:rPr>
        <w:t>P0 - Ship first   Comparable resting readings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Measure direction and magnitude of longitudinal change using a reproducible linear model.</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resting observations (x_i days, y_i SpO2 %).</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Slope b1 = Σ[(x_i-x_bar)(y_i-y_bar)] / Σ[(x_i-x_bar)^2]. Intercept b0 = y_bar - b1*x_bar. Predicted y_hat_i=b0+b1*x_i. R^2 = 1 - Σ(y_i-y_hat_i)^2 / Σ(y_i-y_bar)^2. For inferential output: SE_b1 = sqrt[(SSE/(n-2))/Σ(x_i-x_bar)^2]; t=b1/SE_b1; two-sided p=2*(1-F_t(|t|;df=n-2)).</w:t>
            </w:r>
            <w:r>
              <w:rPr>
                <w:rFonts w:ascii="Arial" w:hAnsi="Arial"/>
                <w:color w:val="20242A"/>
                <w:sz w:val="17"/>
              </w:rPr>
              <w:t xml:space="preserve"> [9]</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Directional slope: n &gt;= 5 across &gt;=5 days and span &gt;=7 days. Display p-value only when n &gt;= 8 and span &gt;=14 days.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Slope in percentage points/day internally; display modeled change per 30 days, R^2, optional p-value/CI in clinician view.</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"Resting SpO2 has shown a gradual downward trend during the selected period."</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Avoid false precision. A modeled change smaller than typical device uncertainty should be visually de-emphasized even if mathematically nonzero.</w:t>
            </w:r>
          </w:p>
        </w:tc>
      </w:tr>
    </w:tbl>
    <w:p>
      <w:pPr>
        <w:spacing w:after="40"/>
      </w:pPr>
    </w:p>
    <w:p>
      <w:pPr>
        <w:spacing w:before="140" w:after="100"/>
        <w:keepNext/>
      </w:pPr>
      <w:r>
        <w:rPr>
          <w:rFonts w:ascii="Arial" w:hAnsi="Arial"/>
          <w:b/>
          <w:color w:val="087C8C"/>
          <w:sz w:val="25"/>
        </w:rPr>
        <w:t>6.5. LOESS Smoothed Trend</w:t>
      </w:r>
    </w:p>
    <w:p>
      <w:pPr>
        <w:spacing w:before="0" w:after="80" w:line="252" w:lineRule="auto"/>
      </w:pPr>
      <w:r>
        <w:rPr>
          <w:rFonts w:ascii="Arial" w:hAnsi="Arial"/>
          <w:b/>
          <w:i w:val="0"/>
          <w:color w:val="087C8C"/>
          <w:sz w:val="16"/>
        </w:rPr>
        <w:t>P0 - Ship first   Visualization only</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Provide a smooth visual trajectory without forcing a straight-line relationship while retaining every raw observation.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resting observations (x_i,y_i).</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Local linear LOESS with span q=0.60. At evaluation x0 select k=max(5,ceil(q*n)) nearest points. Let d=max |x_i-x0| among neighbors. u_i=|x_i-x0|/d. Tricube weight w_i=(1-u_i^3)^3 for u_i&lt;1, else 0. Fit weighted local line y=a+b(x-x0); smoothed value=a. If d=0 or fit is singular, omit smoothing at x0.</w:t>
            </w:r>
            <w:r>
              <w:rPr>
                <w:rFonts w:ascii="Arial" w:hAnsi="Arial"/>
                <w:color w:val="20242A"/>
                <w:sz w:val="17"/>
              </w:rPr>
              <w:t xml:space="preserve"> [10]</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n &gt;= 7 eligible observations and &gt;=7 days of span.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Smoothed series for chart overlay; raw points always visible.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Visual trend only; no independent diagnostic statement from LOESS.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Use the same shared LOESS implementation as BP/heart-rate analysis so client/PDF plots cannot drift.</w:t>
            </w:r>
          </w:p>
        </w:tc>
      </w:tr>
    </w:tbl>
    <w:p>
      <w:pPr>
        <w:spacing w:after="40"/>
      </w:pPr>
    </w:p>
    <w:p>
      <w:pPr>
        <w:spacing w:before="140" w:after="100"/>
        <w:keepNext/>
      </w:pPr>
      <w:r>
        <w:rPr>
          <w:rFonts w:ascii="Arial" w:hAnsi="Arial"/>
          <w:b/>
          <w:color w:val="087C8C"/>
          <w:sz w:val="25"/>
        </w:rPr>
        <w:t>6.6. Personal Baseline Deviation</w:t>
      </w:r>
    </w:p>
    <w:p>
      <w:pPr>
        <w:spacing w:before="0" w:after="80" w:line="252" w:lineRule="auto"/>
      </w:pPr>
      <w:r>
        <w:rPr>
          <w:rFonts w:ascii="Arial" w:hAnsi="Arial"/>
          <w:b/>
          <w:i w:val="0"/>
          <w:color w:val="087C8C"/>
          <w:sz w:val="16"/>
        </w:rPr>
        <w:t>P0 - Ship first   Comparable resting readings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Highlight meaningful change relative to the patient's established resting baseline, even before a configured absolute threshold is crossed.</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Baseline comparable resting set and recent comparable resting set with matching oxygen-support state.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Default recent R = last 7 days. Baseline B = immediately preceding 30 days (days -37 through -8). M_B=median(B); M_R=median(R). Delta_pp = M_R - M_B. Relative change (%) = 100*Delta_pp/M_B. Optional standardized deviation z=(M_R-M_B)/s_B when baseline SD is stable.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Baseline &gt;=7 readings across &gt;=7 days; recent &gt;=3 readings across &gt;=3 days.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Baseline median, recent median, absolute change in percentage points, relative change, optional standardized deviation.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"Recent resting saturation is 3.5 percentage points below the preceding baseline."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Do not automatically map a 3-point or other change to an urgent condition. Clinical escalation thresholds require separate medical review.</w:t>
            </w:r>
          </w:p>
        </w:tc>
      </w:tr>
    </w:tbl>
    <w:p>
      <w:pPr>
        <w:spacing w:after="40"/>
      </w:pPr>
    </w:p>
    <w:p>
      <w:pPr>
        <w:spacing w:before="140" w:after="100"/>
        <w:keepNext/>
      </w:pPr>
      <w:r>
        <w:rPr>
          <w:rFonts w:ascii="Arial" w:hAnsi="Arial"/>
          <w:b/>
          <w:color w:val="087C8C"/>
          <w:sz w:val="25"/>
        </w:rPr>
        <w:t>6.7. Logged Readings Below Target</w:t>
      </w:r>
    </w:p>
    <w:p>
      <w:pPr>
        <w:spacing w:before="0" w:after="80" w:line="252" w:lineRule="auto"/>
      </w:pPr>
      <w:r>
        <w:rPr>
          <w:rFonts w:ascii="Arial" w:hAnsi="Arial"/>
          <w:b/>
          <w:i w:val="0"/>
          <w:color w:val="087C8C"/>
          <w:sz w:val="16"/>
        </w:rPr>
        <w:t>P0 - Ship first   Comparable resting readings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Count observed resting readings outside the configured patient target without converting sparse observations into time-based burden.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comparable resting observations; target profile lower bound L (and optional upper U); timestamps.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N_below = Σ I(y_i &lt; L). P_below = 100*N_below/n. If upper bound exists: N_above=ΣI(y_i&gt;U); P_above=100*N_above/n.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Counts: n &gt;=1. Percentages: n &gt;=5 eligible readings. Target profile required for target-labeled output.</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Below-target count, percentage of logged readings, extrema, dates/times, context/symptom links.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"6 of 42 logged resting readings (14.3%) were below the configured target."</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Never label P_below as "time below target." If no individualized target exists, display descriptive values rather than silently choosing a diagnostic threshold.</w:t>
            </w:r>
          </w:p>
        </w:tc>
      </w:tr>
    </w:tbl>
    <w:p>
      <w:pPr>
        <w:spacing w:after="40"/>
      </w:pPr>
    </w:p>
    <w:p>
      <w:pPr>
        <w:spacing w:before="140" w:after="100"/>
        <w:keepNext/>
      </w:pPr>
      <w:r>
        <w:rPr>
          <w:rFonts w:ascii="Arial" w:hAnsi="Arial"/>
          <w:b/>
          <w:color w:val="087C8C"/>
          <w:sz w:val="25"/>
        </w:rPr>
        <w:t>6.8. Confirmed Low-Observation Events</w:t>
      </w:r>
    </w:p>
    <w:p>
      <w:pPr>
        <w:spacing w:before="0" w:after="80" w:line="252" w:lineRule="auto"/>
      </w:pPr>
      <w:r>
        <w:rPr>
          <w:rFonts w:ascii="Arial" w:hAnsi="Arial"/>
          <w:b/>
          <w:i w:val="0"/>
          <w:color w:val="087C8C"/>
          <w:sz w:val="16"/>
        </w:rPr>
        <w:t>P0 - Ship first   Spot + repeat confirmation</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Distinguish repeat-confirmed low observations from isolated low values that may represent artifact or transient measurement conditions.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Low predicate from target profile or review threshold; repeat linkage or timestamps; quality flags.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Initial low candidate c occurs when y_i &lt; L. A confirmation repeat r qualifies when 0 &lt; t_r - t_c &lt;= W_confirm and y_r &lt; L, with W_confirm default 10 minutes. Event value may store min(y_c,y_r), median of qualifying repeats, and duration from first to last repeat. An isolated low followed by y_r &gt;= L is "not repeat-confirmed" rather than automatically invalid.</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One candidate is sufficient to display an isolated observation. Confirmed event requires &gt;=2 qualifying values within W_confirm.</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Candidate count, confirmed event count, event readings/timestamps, repeat interval, source/quality/context.</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"Two repeat-confirmed low oxygen-saturation observations occurred this month."</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Confirmation improves confidence but does not establish a diagnosis. Preserve the original and repeat readings separately for physician review.</w:t>
            </w:r>
          </w:p>
        </w:tc>
      </w:tr>
    </w:tbl>
    <w:p>
      <w:pPr>
        <w:spacing w:after="40"/>
      </w:pPr>
    </w:p>
    <w:p>
      <w:pPr>
        <w:spacing w:before="140" w:after="100"/>
        <w:keepNext/>
      </w:pPr>
      <w:r>
        <w:rPr>
          <w:rFonts w:ascii="Arial" w:hAnsi="Arial"/>
          <w:b/>
          <w:color w:val="087C8C"/>
          <w:sz w:val="25"/>
        </w:rPr>
        <w:t>6.9. Time-of-Day Pattern Analysis</w:t>
      </w:r>
    </w:p>
    <w:p>
      <w:pPr>
        <w:spacing w:before="0" w:after="80" w:line="252" w:lineRule="auto"/>
      </w:pPr>
      <w:r>
        <w:rPr>
          <w:rFonts w:ascii="Arial" w:hAnsi="Arial"/>
          <w:b/>
          <w:i w:val="0"/>
          <w:color w:val="087C8C"/>
          <w:sz w:val="16"/>
        </w:rPr>
        <w:t>P0 - Ship first   Comparable resting readings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Reveal repeatable morning/afternoon/evening/overnight differences that may help physicians interpret symptoms, medications, oxygen use, or disease patterns.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resting readings with reliable local time and comparable oxygen-support state.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Default local buckets: Morning 05:00-11:59; Afternoon 12:00-16:59; Evening 17:00-21:59; Overnight 22:00-04:59. For bucket b: mean_b=(1/n_b)Σy_i; median_b=median(y_i); Delta_b = median_b - median_overall.</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Per bucket &gt;=3 readings across &gt;=3 distinct days. Pattern summary requires &gt;=2 qualified buckets.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Bucket n, mean, median, range, delta from overall median, highest/lowest qualified period.</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"Evening resting readings averaged 2.1 percentage points lower than morning readings."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Overnight spot readings are not equivalent to continuous sleep oximetry and must not be analyzed as ODI/T90.</w:t>
            </w:r>
          </w:p>
        </w:tc>
      </w:tr>
    </w:tbl>
    <w:p>
      <w:pPr>
        <w:spacing w:after="40"/>
      </w:pPr>
    </w:p>
    <w:p>
      <w:pPr>
        <w:spacing w:before="140" w:after="100"/>
        <w:keepNext/>
      </w:pPr>
      <w:r>
        <w:rPr>
          <w:rFonts w:ascii="Arial" w:hAnsi="Arial"/>
          <w:b/>
          <w:color w:val="087C8C"/>
          <w:sz w:val="25"/>
        </w:rPr>
        <w:t>6.10. Symptom Association</w:t>
      </w:r>
    </w:p>
    <w:p>
      <w:pPr>
        <w:spacing w:before="0" w:after="80" w:line="252" w:lineRule="auto"/>
      </w:pPr>
      <w:r>
        <w:rPr>
          <w:rFonts w:ascii="Arial" w:hAnsi="Arial"/>
          <w:b/>
          <w:i w:val="0"/>
          <w:color w:val="087C8C"/>
          <w:sz w:val="16"/>
        </w:rPr>
        <w:t>P0 - Ship first   Spot + symptom events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Help physicians review whether dyspnea, fatigue, dizziness, confusion, or chest discomfort occurred near unusual SpO2 observations.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SpO2 observations, symptom tags/events, timestamps, target profile.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Direct association when symptom tags exist on same measurement event. Otherwise nearest observation j = argmin |t_spo2,j - t_symptom| subject to |delta t| &lt;= W_symptom, default W_symptom=30 minutes. For symptom s: A_s = number of symptom events with an associated reading; B_s = number with associated below-target reading; P_s=100*B_s/A_s.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Individual event association: one event. Aggregate percentage: &gt;=3 associated symptom events of same type.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Event list, SpO2, delta-time, context, oxygen support, linked HR/BP/temp, aggregate counts by symptom.</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"3 of 5 recorded shortness-of-breath episodes occurred near below-target SpO2 readings."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Use "occurred near" / "associated with" language only. Do not say low oxygen caused the symptom.</w:t>
            </w:r>
          </w:p>
        </w:tc>
      </w:tr>
    </w:tbl>
    <w:p>
      <w:pPr>
        <w:spacing w:after="40"/>
      </w:pPr>
    </w:p>
    <w:p>
      <w:pPr>
        <w:spacing w:before="140" w:after="100"/>
        <w:keepNext/>
      </w:pPr>
      <w:r>
        <w:rPr>
          <w:rFonts w:ascii="Arial" w:hAnsi="Arial"/>
          <w:b/>
          <w:color w:val="087C8C"/>
          <w:sz w:val="25"/>
        </w:rPr>
        <w:t>6.11. Supplemental Oxygen Stratification</w:t>
      </w:r>
    </w:p>
    <w:p>
      <w:pPr>
        <w:spacing w:before="0" w:after="80" w:line="252" w:lineRule="auto"/>
      </w:pPr>
      <w:r>
        <w:rPr>
          <w:rFonts w:ascii="Arial" w:hAnsi="Arial"/>
          <w:b/>
          <w:i w:val="0"/>
          <w:color w:val="087C8C"/>
          <w:sz w:val="16"/>
        </w:rPr>
        <w:t>P0 - Ship first   Oxygen-therapy context</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Separate room-air observations from readings obtained on prescribed supplemental oxygen and summarize each context independently.</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resting observations with supplemental_oxygen state; optional delivery mode and flow rate.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For each stratum s in {room_air, supplemental_oxygen}: compute n_s, mean_s, median_s, min_s, max_s, target exceptions. If both strata qualify, Delta_med = median_oxygen - median_room_air. If flow-rate bins are used, group by exact prescribed setting or clinically meaningful configured bins.</w:t>
            </w:r>
            <w:r>
              <w:rPr>
                <w:rFonts w:ascii="Arial" w:hAnsi="Arial"/>
                <w:color w:val="20242A"/>
                <w:sz w:val="17"/>
              </w:rPr>
              <w:t xml:space="preserve"> [8]</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Per stratum descriptive display: n&gt;=3 across &gt;=3 days. Numeric between-stratum comparison: each stratum &gt;=5 readings across &gt;=5 days.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Room-air summary, oxygen-supported summary, flow/device context, descriptive delta.</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"Resting median on room air: 89%; on prescribed 2 L/min nasal cannula: 94%."</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Do not claim oxygen caused the observed difference; the contexts may be selected non-randomly and represent different clinical states.</w:t>
            </w:r>
          </w:p>
        </w:tc>
      </w:tr>
    </w:tbl>
    <w:p>
      <w:pPr>
        <w:spacing w:after="40"/>
      </w:pPr>
    </w:p>
    <w:p>
      <w:pPr>
        <w:spacing w:before="140" w:after="100"/>
        <w:keepNext/>
      </w:pPr>
      <w:r>
        <w:rPr>
          <w:rFonts w:ascii="Arial" w:hAnsi="Arial"/>
          <w:b/>
          <w:color w:val="087C8C"/>
          <w:sz w:val="25"/>
        </w:rPr>
        <w:t>6.12. Cross-Vital Same-Event Context</w:t>
      </w:r>
    </w:p>
    <w:p>
      <w:pPr>
        <w:spacing w:before="0" w:after="80" w:line="252" w:lineRule="auto"/>
      </w:pPr>
      <w:r>
        <w:rPr>
          <w:rFonts w:ascii="Arial" w:hAnsi="Arial"/>
          <w:b/>
          <w:i w:val="0"/>
          <w:color w:val="087C8C"/>
          <w:sz w:val="16"/>
        </w:rPr>
        <w:t>P0 - Ship first   SpO2 + other Vitals measurements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Place unusual SpO2 observations beside heart rate, BP, temperature, and symptoms measured at the same time.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measurement_event_id or strict timestamp alignment; SpO2 condition S; other-vital condition O.</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Primary co-occurrence count: C_SO = Σ I(S_i AND O_i) over aligned events. Conditional proportion P(O|S)=100*C_SO/N_Spaired. Pearson correlation for paired continuous values when appropriate: r = Σ[(x_i-x_bar)(y_i-y_bar)] / sqrt[Σ(x_i-x_bar)^2 * Σ(y_i-y_bar)^2].</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Co-occurrence: &gt;=1 linked event. Percentage: &gt;=5 SpO2-condition events with paired vital. Correlation: &gt;=10 paired events and &gt;=5 distinct days.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Event table with SpO2 + HR + BP + temperature; co-occurrence counts; optional correlation in clinician detail.</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"Four of five confirmed low-SpO2 observations occurred with heart rates above the patient's resting baseline."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Correlation/co-occurrence is observational. Avoid causal wording such as fever caused desaturation.</w:t>
            </w:r>
          </w:p>
        </w:tc>
      </w:tr>
    </w:tbl>
    <w:p>
      <w:pPr>
        <w:spacing w:after="40"/>
      </w:pPr>
    </w:p>
    <w:p>
      <w:pPr>
        <w:spacing w:before="140" w:after="100"/>
        <w:keepNext/>
      </w:pPr>
      <w:r>
        <w:rPr>
          <w:rFonts w:ascii="Arial" w:hAnsi="Arial"/>
          <w:b/>
          <w:color w:val="087C8C"/>
          <w:sz w:val="25"/>
        </w:rPr>
        <w:t>6.13. Data Support and Density</w:t>
      </w:r>
    </w:p>
    <w:p>
      <w:pPr>
        <w:spacing w:before="0" w:after="80" w:line="252" w:lineRule="auto"/>
      </w:pPr>
      <w:r>
        <w:rPr>
          <w:rFonts w:ascii="Arial" w:hAnsi="Arial"/>
          <w:b/>
          <w:i w:val="0"/>
          <w:color w:val="087C8C"/>
          <w:sz w:val="16"/>
        </w:rPr>
        <w:t>P0 - Ship first   All spot datasets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Make data sufficiency explicit and prevent sparse observations from generating authoritative-looking claims.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Eligible reading count n, unique local dates d, observed span S, selected window length W.</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Distinct-day coverage D=100*d/W_days. Observed span S=max(x)-min(x). Context completeness C=100*(readings with required context)/n. Optional repeat-confirmation rate R=100*(confirmed low candidates)/(all low candidates).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Support states: Snapshot n&gt;=1; Descriptive n&gt;=3 across&gt;=3 days; Trend n&gt;=5 across&gt;=5 days and S&gt;=7; LOESS n&gt;=7; Pattern bucket &gt;=3 across&gt;=3 days.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Support state, n, distinct days, span, coverage, context completeness, unavailable analyses + reason codes.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"Trend analysis is building; 4 comparable resting days are available."</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The analysis result should carry gates/reason codes so UI and PDF omit unsupported metrics rather than displaying zeros.</w:t>
            </w:r>
          </w:p>
        </w:tc>
      </w:tr>
    </w:tbl>
    <w:p>
      <w:pPr>
        <w:spacing w:after="40"/>
      </w:pPr>
    </w:p>
    <w:p>
      <w:pPr>
        <w:spacing w:before="220" w:after="100"/>
        <w:keepNext/>
        <w:pBdr>
          <w:bottom w:val="single" w:sz="16" w:space="2" w:color="18AAB5"/>
        </w:pBdr>
      </w:pPr>
      <w:r>
        <w:rPr>
          <w:rFonts w:ascii="Arial" w:hAnsi="Arial"/>
          <w:b/>
          <w:color w:val="17365D"/>
          <w:sz w:val="32"/>
        </w:rPr>
        <w:t>7. P1 Structured Analysis - Activity Oxygen Response</w:t>
      </w:r>
    </w:p>
    <w:p>
      <w:pPr>
        <w:spacing w:before="0" w:after="100" w:line="252" w:lineRule="auto"/>
      </w:pPr>
      <w:r>
        <w:rPr>
          <w:rFonts w:ascii="Arial" w:hAnsi="Arial"/>
          <w:b w:val="0"/>
          <w:i w:val="0"/>
          <w:color w:val="20242A"/>
          <w:sz w:val="19"/>
        </w:rPr>
        <w:t>Activity-related oxygen desaturation can be clinically useful, but Vitals should collect it through a guided protocol rather than infer it from arbitrary spot readings. The first implementation should be branded as an Activity Oxygen Response, not a formal six-minute walk test unless the complete standardized protocol is implemented.</w:t>
      </w:r>
    </w:p>
    <w:tbl>
      <w:tblPr>
        <w:tblW w:type="auto" w:w="0"/>
        <w:jc w:val="center"/>
        <w:tblLayout w:type="fixed"/>
        <w:tblLook w:firstColumn="1" w:firstRow="1" w:lastColumn="0" w:lastRow="0" w:noHBand="0" w:noVBand="1" w:val="04A0"/>
      </w:tblPr>
      <w:tblGrid>
        <w:gridCol w:w="9994"/>
      </w:tblGrid>
      <w:tr>
        <w:trPr>
          <w:cantSplit/>
        </w:trPr>
        <w:tc>
          <w:tcPr>
            <w:tcW w:type="dxa" w:w="9994"/>
            <w:shd w:fill="EAF2F7"/>
            <w:tcMar>
              <w:top w:w="100" w:type="dxa"/>
              <w:start w:w="120" w:type="dxa"/>
              <w:bottom w:w="100" w:type="dxa"/>
              <w:end w:w="120" w:type="dxa"/>
            </w:tcMar>
            <w:tcBorders>
              <w:top w:val="nil"/>
              <w:left w:val="single" w:sz="18" w:color="18AAB5"/>
              <w:bottom w:val="nil"/>
              <w:right w:val="nil"/>
            </w:tcBorders>
          </w:tcPr>
          <w:p>
            <w:pPr>
              <w:spacing w:after="60"/>
            </w:pPr>
            <w:r>
              <w:rPr>
                <w:rFonts w:ascii="Arial" w:hAnsi="Arial"/>
                <w:b/>
                <w:color w:val="17365D"/>
                <w:sz w:val="20"/>
              </w:rPr>
              <w:t>Scope boundary</w:t>
            </w:r>
          </w:p>
          <w:p>
            <w:pPr>
              <w:spacing w:after="0" w:line="245" w:lineRule="auto"/>
            </w:pPr>
            <w:r>
              <w:rPr>
                <w:rFonts w:ascii="Arial" w:hAnsi="Arial"/>
                <w:b w:val="0"/>
                <w:color w:val="20242A"/>
                <w:sz w:val="18"/>
              </w:rPr>
              <w:t>Vitals may calculate and display observed rest-to-activity changes and recovery. It should not determine oxygen prescriptions or diagnose exertional hypoxemia. Formal oxygen qualification and standardized walk testing remain clinician-directed.</w:t>
            </w:r>
          </w:p>
        </w:tc>
      </w:tr>
    </w:tbl>
    <w:p>
      <w:pPr>
        <w:spacing w:before="140" w:after="100"/>
        <w:keepNext/>
      </w:pPr>
      <w:r>
        <w:rPr>
          <w:rFonts w:ascii="Arial" w:hAnsi="Arial"/>
          <w:b/>
          <w:color w:val="087C8C"/>
          <w:sz w:val="25"/>
        </w:rPr>
        <w:t>7.1. Activity Desaturation and Recovery</w:t>
      </w:r>
    </w:p>
    <w:p>
      <w:pPr>
        <w:spacing w:before="0" w:after="80" w:line="252" w:lineRule="auto"/>
      </w:pPr>
      <w:r>
        <w:rPr>
          <w:rFonts w:ascii="Arial" w:hAnsi="Arial"/>
          <w:b/>
          <w:i w:val="0"/>
          <w:color w:val="087C8C"/>
          <w:sz w:val="16"/>
        </w:rPr>
        <w:t>P1 - Structured / gated   Guided rest-activity-recovery sequence</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Purpose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Provide physicians objective oxygen-saturation change from a standardized resting baseline through a defined activity interval and timed recovery.</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Required inputs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Pre-activity rested SpO2; activity readings or nadir; exact timestamps; 1-minute and 3-minute recovery readings; HR; symptoms; oxygen support/flow; protocol metadata.</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Calculation / formulas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Rest baseline R0 = median of stable pre-activity readings (or final stable value if protocol specifies). Nadir N = min(SpO2 during activity window). Desaturation Delta_desat = N - R0 (negative when saturation falls). Magnitude M_desat=R0-N. Recovery_1 = SpO2_1min - N. Recovery_3 = SpO2_3min - N. Residual_1 = SpO2_1min - R0; Residual_3 = SpO2_3min - R0. If time-to-recovery threshold epsilon is configured: T_recovery = first t after activity where SpO2(t) &gt;= R0-epsilon for required stability duration.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Activation gate</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Complete baseline plus at least one activity value. Recovery values require timestamp within protocol tolerance (recommended +/-20 seconds at 1 min, +/-30 seconds at 3 min).</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Analysis output</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Baseline, nadir, absolute drop, recovery values, residual from baseline, HR/symptoms, timing-quality flags.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Physician-facing interpretation</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"SpO2 decreased 7 percentage points during the guided activity and returned to within 1 point of baseline by 3 minutes."</w:t>
            </w:r>
          </w:p>
        </w:tc>
      </w:tr>
      <w:tr>
        <w:trPr>
          <w:cantSplit/>
        </w:trPr>
        <w:tc>
          <w:tcPr>
            <w:tcW w:type="dxa" w:w="2232"/>
            <w:shd w:fill="F4F6F8"/>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color w:val="17365D"/>
                <w:sz w:val="16"/>
              </w:rPr>
              <w:t>Safety / engineering notes</w:t>
            </w:r>
          </w:p>
        </w:tc>
        <w:tc>
          <w:tcPr>
            <w:tcW w:type="dxa" w:w="7762"/>
            <w:tcMar>
              <w:top w:w="70" w:type="dxa"/>
              <w:start w:w="80" w:type="dxa"/>
              <w:bottom w:w="70" w:type="dxa"/>
              <w:end w:w="80" w:type="dxa"/>
            </w:tcMar>
            <w:vAlign w:val="top"/>
            <w:tcBorders>
              <w:top w:val="single" w:sz="4" w:color="D6DEE8"/>
              <w:left w:val="single" w:sz="4" w:color="D6DEE8"/>
              <w:bottom w:val="single" w:sz="4" w:color="D6DEE8"/>
              <w:right w:val="single" w:sz="4" w:color="D6DEE8"/>
            </w:tcBorders>
          </w:tcPr>
          <w:p>
            <w:pPr>
              <w:spacing w:after="0" w:line="240" w:lineRule="auto"/>
            </w:pPr>
            <w:r>
              <w:rPr>
                <w:rFonts w:ascii="Arial" w:hAnsi="Arial"/>
                <w:b w:val="0"/>
                <w:color w:val="20242A"/>
                <w:sz w:val="16"/>
              </w:rPr>
              <w:t>Do not label the workflow a 6MWT unless distance, duration, instructions, stopping rules, and other protocol requirements are actually implemented and reviewed.</w:t>
            </w:r>
          </w:p>
        </w:tc>
      </w:tr>
    </w:tbl>
    <w:p>
      <w:pPr>
        <w:spacing w:after="40"/>
      </w:pPr>
    </w:p>
    <w:p>
      <w:pPr>
        <w:spacing w:before="220" w:after="100"/>
        <w:keepNext/>
        <w:pBdr>
          <w:bottom w:val="single" w:sz="16" w:space="2" w:color="18AAB5"/>
        </w:pBdr>
      </w:pPr>
      <w:r>
        <w:rPr>
          <w:rFonts w:ascii="Arial" w:hAnsi="Arial"/>
          <w:b/>
          <w:color w:val="17365D"/>
          <w:sz w:val="32"/>
        </w:rPr>
        <w:t>8. P2 / Deferred Continuous and Overnight Oximetry</w:t>
      </w:r>
    </w:p>
    <w:p>
      <w:pPr>
        <w:spacing w:before="0" w:after="100" w:line="252" w:lineRule="auto"/>
      </w:pPr>
      <w:r>
        <w:rPr>
          <w:rFonts w:ascii="Arial" w:hAnsi="Arial"/>
          <w:b w:val="0"/>
          <w:i w:val="0"/>
          <w:color w:val="20242A"/>
          <w:sz w:val="19"/>
        </w:rPr>
        <w:t>The following analyses should be represented in capability contracts now but not activated from ordinary spot readings. Dense-data analyses require a qualified source, known sampling/time coverage, artifact handling, and continuity metadata.</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23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Deferred analysis</w:t>
            </w:r>
          </w:p>
        </w:tc>
        <w:tc>
          <w:tcPr>
            <w:tcW w:type="dxa" w:w="223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Required source</w:t>
            </w:r>
          </w:p>
        </w:tc>
        <w:tc>
          <w:tcPr>
            <w:tcW w:type="dxa" w:w="5530"/>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Mathematical / engineering note</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Mean continuous SpO2</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Dense valid samples</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Mean = (Σ w_i*y_i)/(Σ w_i), using interval-duration weights w_i when sampling is irregular.</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Continuous nadir</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Dense valid samples</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Nadir = min(y_i) after quality/artifact filtering; also report timestamp and source quality.</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Time below target</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Dense/continuous</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T_below(%) = 100 * valid_duration(y&lt;L) / total_valid_duration. Duration can be seconds/minutes plus percentage.</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T90 / CT90</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Overnight/continuous</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T90(%) = 100 * duration(SpO2&lt;90%) / valid_recording_duration. CT90 = cumulative minutes below 90%.</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ODI3</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Qualified overnight</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ODI3 = N(desaturation events &gt;=3 percentage points from local baseline) / valid_recording_hours.</w:t>
            </w:r>
            <w:r>
              <w:rPr>
                <w:rFonts w:ascii="Arial" w:hAnsi="Arial"/>
                <w:color w:val="20242A"/>
                <w:sz w:val="17"/>
              </w:rPr>
              <w:t xml:space="preserve"> [6][7]</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ODI4</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Qualified overnight</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ODI4 = N(desaturation events &gt;=4 percentage points from local baseline) / valid_recording_hours.</w:t>
            </w:r>
            <w:r>
              <w:rPr>
                <w:rFonts w:ascii="Arial" w:hAnsi="Arial"/>
                <w:color w:val="20242A"/>
                <w:sz w:val="17"/>
              </w:rPr>
              <w:t xml:space="preserve"> [6][7]</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Episode duration</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Dense/continuous</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For episode e, duration_e = t_end - t_start. Report count, median duration, longest duration, nadir.</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Vitals-defined desaturation burden</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Dense/continuous</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B_L = integral max(0, L - SpO2(t)) dt. Normalize as B_L / valid_hours; units = percentage-point*minutes per hour. Label as Vitals-defined unless/until a clinically standardized burden metric is adopted.</w:t>
            </w:r>
          </w:p>
        </w:tc>
      </w:tr>
      <w:tr>
        <w:trPr>
          <w:cantSplit/>
        </w:trPr>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Nocturnal pattern</w:t>
            </w:r>
          </w:p>
        </w:tc>
        <w:tc>
          <w:tcPr>
            <w:tcW w:type="dxa" w:w="223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Overnight</w:t>
            </w:r>
          </w:p>
        </w:tc>
        <w:tc>
          <w:tcPr>
            <w:tcW w:type="dxa" w:w="553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Summarize recurrent vs sustained patterns descriptively; no OSA diagnosis.</w:t>
            </w:r>
            <w:r>
              <w:rPr>
                <w:rFonts w:ascii="Arial" w:hAnsi="Arial"/>
                <w:color w:val="20242A"/>
                <w:sz w:val="17"/>
              </w:rPr>
              <w:t xml:space="preserve"> [12]</w:t>
            </w:r>
          </w:p>
        </w:tc>
      </w:tr>
    </w:tbl>
    <w:p>
      <w:pPr>
        <w:spacing w:after="40"/>
      </w:pPr>
    </w:p>
    <w:p>
      <w:pPr>
        <w:spacing w:before="0" w:after="100" w:line="252" w:lineRule="auto"/>
      </w:pPr>
      <w:r>
        <w:rPr>
          <w:rFonts w:ascii="Arial" w:hAnsi="Arial"/>
          <w:b w:val="0"/>
          <w:i w:val="0"/>
          <w:color w:val="20242A"/>
          <w:sz w:val="17"/>
        </w:rPr>
        <w:t>ODI is commonly defined as the number of oxygen desaturation events per hour using a 3% or 4% fall from local baseline; published implementations differ in averaging, event-duration, baseline, and artifact rules. Vitals must version its exact algorithm if ODI is introduced.[6][7]</w:t>
      </w:r>
    </w:p>
    <w:p>
      <w:pPr>
        <w:spacing w:before="220" w:after="100"/>
        <w:keepNext/>
        <w:pBdr>
          <w:bottom w:val="single" w:sz="16" w:space="2" w:color="18AAB5"/>
        </w:pBdr>
      </w:pPr>
      <w:r>
        <w:rPr>
          <w:rFonts w:ascii="Arial" w:hAnsi="Arial"/>
          <w:b/>
          <w:color w:val="17365D"/>
          <w:sz w:val="32"/>
        </w:rPr>
        <w:t>9. Measurement Quality and Confirmation Rules</w:t>
      </w:r>
    </w:p>
    <w:p>
      <w:pPr>
        <w:spacing w:before="0" w:after="100" w:line="252" w:lineRule="auto"/>
      </w:pPr>
      <w:r>
        <w:rPr>
          <w:rFonts w:ascii="Arial" w:hAnsi="Arial"/>
          <w:b w:val="0"/>
          <w:i w:val="0"/>
          <w:color w:val="20242A"/>
          <w:sz w:val="19"/>
        </w:rPr>
        <w:t>SpO2 requires stronger quality handling than most other Vitals spot measurements because the number is an optical estimate and can be affected by perfusion, motion, temperature, skin pigmentation, nail polish, tobacco use, and device quality.[2][3]</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3096"/>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6"/>
              </w:rPr>
              <w:t>Condition</w:t>
            </w:r>
          </w:p>
        </w:tc>
        <w:tc>
          <w:tcPr>
            <w:tcW w:type="dxa" w:w="6898"/>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6"/>
              </w:rPr>
              <w:t>Engineering behavior</w:t>
            </w:r>
          </w:p>
        </w:tc>
      </w:tr>
      <w:tr>
        <w:trPr>
          <w:cantSplit/>
        </w:trPr>
        <w:tc>
          <w:tcPr>
            <w:tcW w:type="dxa" w:w="309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Known device poor-quality flag</w:t>
            </w:r>
          </w:p>
        </w:tc>
        <w:tc>
          <w:tcPr>
            <w:tcW w:type="dxa" w:w="689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Exclude from analytical sets; retain in History with quality label.</w:t>
            </w:r>
          </w:p>
        </w:tc>
      </w:tr>
      <w:tr>
        <w:trPr>
          <w:cantSplit/>
        </w:trPr>
        <w:tc>
          <w:tcPr>
            <w:tcW w:type="dxa" w:w="309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Unexpected low reading</w:t>
            </w:r>
          </w:p>
        </w:tc>
        <w:tc>
          <w:tcPr>
            <w:tcW w:type="dxa" w:w="689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Prompt for stabilization/repeat when clinically appropriate product wording is approved; link the repeat rather than overwriting the first value.</w:t>
            </w:r>
          </w:p>
        </w:tc>
      </w:tr>
      <w:tr>
        <w:trPr>
          <w:cantSplit/>
        </w:trPr>
        <w:tc>
          <w:tcPr>
            <w:tcW w:type="dxa" w:w="309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Cold/poor-perfusion note</w:t>
            </w:r>
          </w:p>
        </w:tc>
        <w:tc>
          <w:tcPr>
            <w:tcW w:type="dxa" w:w="689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Store as user/device quality context when available; do not algorithmically "correct" the SpO2 value.</w:t>
            </w:r>
          </w:p>
        </w:tc>
      </w:tr>
      <w:tr>
        <w:trPr>
          <w:cantSplit/>
        </w:trPr>
        <w:tc>
          <w:tcPr>
            <w:tcW w:type="dxa" w:w="309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Device class/source</w:t>
            </w:r>
          </w:p>
        </w:tc>
        <w:tc>
          <w:tcPr>
            <w:tcW w:type="dxa" w:w="689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Preserve medical-device vs wellness/source metadata when known; avoid presenting source quality as equivalent if not validated.</w:t>
            </w:r>
          </w:p>
        </w:tc>
      </w:tr>
      <w:tr>
        <w:trPr>
          <w:cantSplit/>
        </w:trPr>
        <w:tc>
          <w:tcPr>
            <w:tcW w:type="dxa" w:w="309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Skin-pigmentation limitation</w:t>
            </w:r>
          </w:p>
        </w:tc>
        <w:tc>
          <w:tcPr>
            <w:tcW w:type="dxa" w:w="689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Use a general measurement-limitation disclosure derived from FDA guidance; do not infer skin tone from the user.</w:t>
            </w:r>
            <w:r>
              <w:rPr>
                <w:rFonts w:ascii="Arial" w:hAnsi="Arial"/>
                <w:color w:val="20242A"/>
                <w:sz w:val="17"/>
              </w:rPr>
              <w:t xml:space="preserve"> [2][3]</w:t>
            </w:r>
          </w:p>
        </w:tc>
      </w:tr>
      <w:tr>
        <w:trPr>
          <w:cantSplit/>
        </w:trPr>
        <w:tc>
          <w:tcPr>
            <w:tcW w:type="dxa" w:w="3096"/>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Manual transcription</w:t>
            </w:r>
          </w:p>
        </w:tc>
        <w:tc>
          <w:tcPr>
            <w:tcW w:type="dxa" w:w="689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Allow correction with audit trail; corrected/invalidated value excluded from analytics.</w:t>
            </w:r>
          </w:p>
        </w:tc>
      </w:tr>
    </w:tbl>
    <w:p>
      <w:pPr>
        <w:spacing w:after="40"/>
      </w:pPr>
    </w:p>
    <w:p>
      <w:pPr>
        <w:spacing w:before="220" w:after="100"/>
        <w:keepNext/>
        <w:pBdr>
          <w:bottom w:val="single" w:sz="16" w:space="2" w:color="18AAB5"/>
        </w:pBdr>
      </w:pPr>
      <w:r>
        <w:rPr>
          <w:rFonts w:ascii="Arial" w:hAnsi="Arial"/>
          <w:b/>
          <w:color w:val="17365D"/>
          <w:sz w:val="32"/>
        </w:rPr>
        <w:t>10. Result Contract and Service Architecture</w:t>
      </w:r>
    </w:p>
    <w:p>
      <w:pPr>
        <w:spacing w:before="0" w:after="100" w:line="252" w:lineRule="auto"/>
      </w:pPr>
      <w:r>
        <w:rPr>
          <w:rFonts w:ascii="Arial" w:hAnsi="Arial"/>
          <w:b w:val="0"/>
          <w:i w:val="0"/>
          <w:color w:val="20242A"/>
          <w:sz w:val="19"/>
        </w:rPr>
        <w:t>SpO2 analysis should be implemented as a metric-specific strategy over the shared Vitals statistical toolkit. The strategy owns oxygen-specific grouping, target eligibility, source quality, confirmation, and therapy context; shared services own deterministic mathematics.</w:t>
      </w:r>
    </w:p>
    <w:p>
      <w:pPr>
        <w:spacing w:after="40" w:line="245" w:lineRule="auto"/>
        <w:ind w:left="101" w:hanging="43"/>
      </w:pPr>
      <w:r>
        <w:rPr>
          <w:rFonts w:ascii="Arial" w:hAnsi="Arial"/>
          <w:b w:val="0"/>
          <w:color w:val="20242A"/>
          <w:sz w:val="18"/>
        </w:rPr>
        <w:t>• I SpO2AnalysisStrategy filters comparable resting observations and applies target/quality/oxygen-context rules.</w:t>
      </w:r>
    </w:p>
    <w:p>
      <w:pPr>
        <w:spacing w:after="40" w:line="245" w:lineRule="auto"/>
        <w:ind w:left="101" w:hanging="43"/>
      </w:pPr>
      <w:r>
        <w:rPr>
          <w:rFonts w:ascii="Arial" w:hAnsi="Arial"/>
          <w:b w:val="0"/>
          <w:color w:val="20242A"/>
          <w:sz w:val="18"/>
        </w:rPr>
        <w:t>• IStatisticsService provides mean, median, quantiles, sample SD, OLS, Student-t p-value, LOESS, and correlation.</w:t>
      </w:r>
    </w:p>
    <w:p>
      <w:pPr>
        <w:spacing w:after="40" w:line="245" w:lineRule="auto"/>
        <w:ind w:left="101" w:hanging="43"/>
      </w:pPr>
      <w:r>
        <w:rPr>
          <w:rFonts w:ascii="Arial" w:hAnsi="Arial"/>
          <w:b w:val="0"/>
          <w:color w:val="20242A"/>
          <w:sz w:val="18"/>
        </w:rPr>
        <w:t>• ITargetProfileService resolves clinician/patient saturation targets and effective dates without rewriting historical raw measurements.</w:t>
      </w:r>
    </w:p>
    <w:p>
      <w:pPr>
        <w:spacing w:after="40" w:line="245" w:lineRule="auto"/>
        <w:ind w:left="101" w:hanging="43"/>
      </w:pPr>
      <w:r>
        <w:rPr>
          <w:rFonts w:ascii="Arial" w:hAnsi="Arial"/>
          <w:b w:val="0"/>
          <w:color w:val="20242A"/>
          <w:sz w:val="18"/>
        </w:rPr>
        <w:t>• IMeasurementQualityService applies invalidation/source-quality rules and groups repeat-confirmation sequences.</w:t>
      </w:r>
    </w:p>
    <w:p>
      <w:pPr>
        <w:spacing w:after="40" w:line="245" w:lineRule="auto"/>
        <w:ind w:left="101" w:hanging="43"/>
      </w:pPr>
      <w:r>
        <w:rPr>
          <w:rFonts w:ascii="Arial" w:hAnsi="Arial"/>
          <w:b w:val="0"/>
          <w:color w:val="20242A"/>
          <w:sz w:val="18"/>
        </w:rPr>
        <w:t>• ISymptomAssociationService resolves same-event or nearest-timestamp relationships without diagnostic logic.</w:t>
      </w:r>
    </w:p>
    <w:p>
      <w:pPr>
        <w:spacing w:after="40" w:line="245" w:lineRule="auto"/>
        <w:ind w:left="101" w:hanging="43"/>
      </w:pPr>
      <w:r>
        <w:rPr>
          <w:rFonts w:ascii="Arial" w:hAnsi="Arial"/>
          <w:b w:val="0"/>
          <w:color w:val="20242A"/>
          <w:sz w:val="18"/>
        </w:rPr>
        <w:t>• ICrossVitalContextService aligns measurement_event_id first, then a strict timestamp fallback.</w:t>
      </w:r>
    </w:p>
    <w:p>
      <w:pPr>
        <w:spacing w:after="40" w:line="245" w:lineRule="auto"/>
        <w:ind w:left="101" w:hanging="43"/>
      </w:pPr>
      <w:r>
        <w:rPr>
          <w:rFonts w:ascii="Arial" w:hAnsi="Arial"/>
          <w:b w:val="0"/>
          <w:color w:val="20242A"/>
          <w:sz w:val="18"/>
        </w:rPr>
        <w:t>• IContinuousOximetryService remains dormant until dense source qualification is supported.</w:t>
      </w:r>
    </w:p>
    <w:p>
      <w:pPr>
        <w:spacing w:after="40" w:line="245" w:lineRule="auto"/>
        <w:ind w:left="101" w:hanging="43"/>
      </w:pPr>
      <w:r>
        <w:rPr>
          <w:rFonts w:ascii="Arial" w:hAnsi="Arial"/>
          <w:b w:val="0"/>
          <w:color w:val="20242A"/>
          <w:sz w:val="18"/>
        </w:rPr>
        <w:t>• UI and PDF consume the same result DTO so displayed numbers cannot drift.</w:t>
      </w:r>
    </w:p>
    <w:tbl>
      <w:tblPr>
        <w:tblW w:type="auto" w:w="0"/>
        <w:jc w:val="center"/>
        <w:tblLook w:firstColumn="1" w:firstRow="1" w:lastColumn="0" w:lastRow="0" w:noHBand="0" w:noVBand="1" w:val="04A0"/>
      </w:tblPr>
      <w:tblGrid>
        <w:gridCol w:w="9994"/>
      </w:tblGrid>
      <w:tr>
        <w:trPr>
          <w:cantSplit/>
        </w:trPr>
        <w:tc>
          <w:tcPr>
            <w:tcW w:type="dxa" w:w="9994"/>
            <w:shd w:fill="F7F8FA"/>
            <w:tcMar>
              <w:top w:w="90" w:type="dxa"/>
              <w:start w:w="100" w:type="dxa"/>
              <w:bottom w:w="90" w:type="dxa"/>
              <w:end w:w="100" w:type="dxa"/>
            </w:tcMar>
            <w:tcBorders>
              <w:top w:val="single" w:sz="4" w:color="D6DEE8"/>
              <w:left w:val="single" w:sz="4" w:color="D6DEE8"/>
              <w:bottom w:val="single" w:sz="4" w:color="D6DEE8"/>
              <w:right w:val="single" w:sz="4" w:color="D6DEE8"/>
            </w:tcBorders>
          </w:tcPr>
          <w:p>
            <w:pPr>
              <w:spacing w:after="0"/>
            </w:pPr>
            <w:r>
              <w:rPr>
                <w:rFonts w:ascii="Arial" w:hAnsi="Arial"/>
                <w:b/>
                <w:color w:val="17365D"/>
                <w:sz w:val="17"/>
              </w:rPr>
              <w:t>Proposed result DTO</w:t>
              <w:br/>
            </w:r>
            <w:r>
              <w:rPr>
                <w:rFonts w:ascii="Liberation Mono" w:hAnsi="Liberation Mono"/>
                <w:b w:val="0"/>
                <w:color w:val="20242A"/>
                <w:sz w:val="16"/>
              </w:rPr>
              <w:t>SpO2AnalysisResult</w:t>
              <w:br/>
              <w:t xml:space="preserve">  period</w:t>
              <w:br/>
              <w:t xml:space="preserve">  source_summary</w:t>
              <w:br/>
              <w:t xml:space="preserve">  latest</w:t>
              <w:br/>
              <w:t xml:space="preserve">  resting_summary { n, days, mean, median, min, max, sd, iqr }</w:t>
              <w:br/>
              <w:t xml:space="preserve">  baseline_comparison { baseline_median, recent_median, delta_pp }</w:t>
              <w:br/>
              <w:t xml:space="preserve">  trend { slope_pp_per_day, change_30d, r2, p_value?, loess[] }</w:t>
              <w:br/>
              <w:t xml:space="preserve">  target_exceptions { lower_target, below_count, below_pct }</w:t>
              <w:br/>
              <w:t xml:space="preserve">  low_events[] { candidate, confirmed, readings[], symptoms }</w:t>
              <w:br/>
              <w:t xml:space="preserve">  time_of_day[]</w:t>
              <w:br/>
              <w:t xml:space="preserve">  oxygen_strata[]</w:t>
              <w:br/>
              <w:t xml:space="preserve">  symptom_associations[]</w:t>
              <w:br/>
              <w:t xml:space="preserve">  cross_vital_context[]</w:t>
              <w:br/>
              <w:t xml:space="preserve">  activity_response?</w:t>
              <w:br/>
              <w:t xml:space="preserve">  continuous_summary? { coverage, mean, nadir, t90, odi3, odi4, burden }</w:t>
              <w:br/>
              <w:t xml:space="preserve">  support { gates, reason_codes }</w:t>
            </w:r>
          </w:p>
        </w:tc>
      </w:tr>
    </w:tbl>
    <w:p>
      <w:pPr>
        <w:spacing w:before="220" w:after="100"/>
        <w:keepNext/>
        <w:pBdr>
          <w:bottom w:val="single" w:sz="16" w:space="2" w:color="18AAB5"/>
        </w:pBdr>
      </w:pPr>
      <w:r>
        <w:rPr>
          <w:rFonts w:ascii="Arial" w:hAnsi="Arial"/>
          <w:b/>
          <w:color w:val="17365D"/>
          <w:sz w:val="32"/>
        </w:rPr>
        <w:t>11. Recommended UI and Physician PDF Composition</w:t>
      </w:r>
    </w:p>
    <w:p>
      <w:pPr>
        <w:spacing w:before="140" w:after="100"/>
        <w:keepNext/>
      </w:pPr>
      <w:r>
        <w:rPr>
          <w:rFonts w:ascii="Arial" w:hAnsi="Arial"/>
          <w:b/>
          <w:color w:val="087C8C"/>
          <w:sz w:val="25"/>
        </w:rPr>
        <w:t>11.1 Dashboard card</w:t>
      </w:r>
    </w:p>
    <w:tbl>
      <w:tblPr>
        <w:tblW w:type="auto" w:w="0"/>
        <w:jc w:val="center"/>
        <w:tblLook w:firstColumn="1" w:firstRow="1" w:lastColumn="0" w:lastRow="0" w:noHBand="0" w:noVBand="1" w:val="04A0"/>
      </w:tblPr>
      <w:tblGrid>
        <w:gridCol w:w="9994"/>
      </w:tblGrid>
      <w:tr>
        <w:trPr>
          <w:cantSplit/>
        </w:trPr>
        <w:tc>
          <w:tcPr>
            <w:tcW w:type="dxa" w:w="9994"/>
            <w:shd w:fill="F7F8FA"/>
            <w:tcMar>
              <w:top w:w="90" w:type="dxa"/>
              <w:start w:w="100" w:type="dxa"/>
              <w:bottom w:w="90" w:type="dxa"/>
              <w:end w:w="100" w:type="dxa"/>
            </w:tcMar>
            <w:tcBorders>
              <w:top w:val="single" w:sz="4" w:color="D6DEE8"/>
              <w:left w:val="single" w:sz="4" w:color="D6DEE8"/>
              <w:bottom w:val="single" w:sz="4" w:color="D6DEE8"/>
              <w:right w:val="single" w:sz="4" w:color="D6DEE8"/>
            </w:tcBorders>
          </w:tcPr>
          <w:p>
            <w:pPr>
              <w:spacing w:after="0"/>
            </w:pPr>
            <w:r>
              <w:rPr>
                <w:rFonts w:ascii="Liberation Mono" w:hAnsi="Liberation Mono"/>
                <w:b w:val="0"/>
                <w:color w:val="20242A"/>
                <w:sz w:val="16"/>
              </w:rPr>
              <w:t>SpO2</w:t>
              <w:br/>
              <w:t>Latest: 95% - Resting - Room air - Today 7:14 AM</w:t>
              <w:br/>
              <w:t>30-day resting median: 96%</w:t>
              <w:br/>
              <w:t>Recent baseline change: -1.5 percentage points</w:t>
              <w:br/>
              <w:t>[Details]</w:t>
            </w:r>
          </w:p>
        </w:tc>
      </w:tr>
    </w:tbl>
    <w:p>
      <w:pPr>
        <w:spacing w:before="0" w:after="100" w:line="252" w:lineRule="auto"/>
      </w:pPr>
      <w:r>
        <w:rPr>
          <w:rFonts w:ascii="Arial" w:hAnsi="Arial"/>
          <w:b w:val="0"/>
          <w:i w:val="0"/>
          <w:color w:val="20242A"/>
          <w:sz w:val="19"/>
        </w:rPr>
        <w:t>The Dashboard should show only a compact subset: latest value/context, one longitudinal summary, and one meaningful trend/baseline cue. Low-event counts, oxygen therapy, symptoms, and cross-vital context belong in Details unless an approved safety workflow says otherwise.</w:t>
      </w:r>
    </w:p>
    <w:p>
      <w:pPr>
        <w:spacing w:before="140" w:after="100"/>
        <w:keepNext/>
      </w:pPr>
      <w:r>
        <w:rPr>
          <w:rFonts w:ascii="Arial" w:hAnsi="Arial"/>
          <w:b/>
          <w:color w:val="087C8C"/>
          <w:sz w:val="25"/>
        </w:rPr>
        <w:t>11.2 SpO2 Details</w:t>
      </w:r>
    </w:p>
    <w:p>
      <w:pPr>
        <w:spacing w:after="40" w:line="245" w:lineRule="auto"/>
        <w:ind w:left="101" w:hanging="43"/>
      </w:pPr>
      <w:r>
        <w:rPr>
          <w:rFonts w:ascii="Arial" w:hAnsi="Arial"/>
          <w:b w:val="0"/>
          <w:color w:val="20242A"/>
          <w:sz w:val="18"/>
        </w:rPr>
        <w:t>• Latest resting SpO2 + context, oxygen support, source, timestamp.</w:t>
      </w:r>
    </w:p>
    <w:p>
      <w:pPr>
        <w:spacing w:after="40" w:line="245" w:lineRule="auto"/>
        <w:ind w:left="101" w:hanging="43"/>
      </w:pPr>
      <w:r>
        <w:rPr>
          <w:rFonts w:ascii="Arial" w:hAnsi="Arial"/>
          <w:b w:val="0"/>
          <w:color w:val="20242A"/>
          <w:sz w:val="18"/>
        </w:rPr>
        <w:t>• 7/14/30/60-day median/mean and observed range.</w:t>
      </w:r>
    </w:p>
    <w:p>
      <w:pPr>
        <w:spacing w:after="40" w:line="245" w:lineRule="auto"/>
        <w:ind w:left="101" w:hanging="43"/>
      </w:pPr>
      <w:r>
        <w:rPr>
          <w:rFonts w:ascii="Arial" w:hAnsi="Arial"/>
          <w:b w:val="0"/>
          <w:color w:val="20242A"/>
          <w:sz w:val="18"/>
        </w:rPr>
        <w:t>• Raw resting points + LOESS overlay; OLS direction/magnitude in details.</w:t>
      </w:r>
    </w:p>
    <w:p>
      <w:pPr>
        <w:spacing w:after="40" w:line="245" w:lineRule="auto"/>
        <w:ind w:left="101" w:hanging="43"/>
      </w:pPr>
      <w:r>
        <w:rPr>
          <w:rFonts w:ascii="Arial" w:hAnsi="Arial"/>
          <w:b w:val="0"/>
          <w:color w:val="20242A"/>
          <w:sz w:val="18"/>
        </w:rPr>
        <w:t>• Personal-baseline shift.</w:t>
      </w:r>
    </w:p>
    <w:p>
      <w:pPr>
        <w:spacing w:after="40" w:line="245" w:lineRule="auto"/>
        <w:ind w:left="101" w:hanging="43"/>
      </w:pPr>
      <w:r>
        <w:rPr>
          <w:rFonts w:ascii="Arial" w:hAnsi="Arial"/>
          <w:b w:val="0"/>
          <w:color w:val="20242A"/>
          <w:sz w:val="18"/>
        </w:rPr>
        <w:t>• Below-target logged-reading count/percentage using configured target.</w:t>
      </w:r>
    </w:p>
    <w:p>
      <w:pPr>
        <w:spacing w:after="40" w:line="245" w:lineRule="auto"/>
        <w:ind w:left="101" w:hanging="43"/>
      </w:pPr>
      <w:r>
        <w:rPr>
          <w:rFonts w:ascii="Arial" w:hAnsi="Arial"/>
          <w:b w:val="0"/>
          <w:color w:val="20242A"/>
          <w:sz w:val="18"/>
        </w:rPr>
        <w:t>• Repeat-confirmed low-observation events with dates, symptoms, and linked vitals.</w:t>
      </w:r>
    </w:p>
    <w:p>
      <w:pPr>
        <w:spacing w:after="40" w:line="245" w:lineRule="auto"/>
        <w:ind w:left="101" w:hanging="43"/>
      </w:pPr>
      <w:r>
        <w:rPr>
          <w:rFonts w:ascii="Arial" w:hAnsi="Arial"/>
          <w:b w:val="0"/>
          <w:color w:val="20242A"/>
          <w:sz w:val="18"/>
        </w:rPr>
        <w:t>• Room-air vs supplemental-oxygen summaries when both are sufficiently sampled.</w:t>
      </w:r>
    </w:p>
    <w:p>
      <w:pPr>
        <w:spacing w:after="40" w:line="245" w:lineRule="auto"/>
        <w:ind w:left="101" w:hanging="43"/>
      </w:pPr>
      <w:r>
        <w:rPr>
          <w:rFonts w:ascii="Arial" w:hAnsi="Arial"/>
          <w:b w:val="0"/>
          <w:color w:val="20242A"/>
          <w:sz w:val="18"/>
        </w:rPr>
        <w:t>• Time-of-day patterns only when support gates are met.</w:t>
      </w:r>
    </w:p>
    <w:p>
      <w:pPr>
        <w:spacing w:after="40" w:line="245" w:lineRule="auto"/>
        <w:ind w:left="101" w:hanging="43"/>
      </w:pPr>
      <w:r>
        <w:rPr>
          <w:rFonts w:ascii="Arial" w:hAnsi="Arial"/>
          <w:b w:val="0"/>
          <w:color w:val="20242A"/>
          <w:sz w:val="18"/>
        </w:rPr>
        <w:t>• Activity-response module only after a guided protocol exists.</w:t>
      </w:r>
    </w:p>
    <w:p>
      <w:pPr>
        <w:spacing w:after="40" w:line="245" w:lineRule="auto"/>
        <w:ind w:left="101" w:hanging="43"/>
      </w:pPr>
      <w:r>
        <w:rPr>
          <w:rFonts w:ascii="Arial" w:hAnsi="Arial"/>
          <w:b w:val="0"/>
          <w:color w:val="20242A"/>
          <w:sz w:val="18"/>
        </w:rPr>
        <w:t>• Continuous/overnight section only for qualified dense sources.</w:t>
      </w:r>
    </w:p>
    <w:p>
      <w:pPr>
        <w:spacing w:before="140" w:after="100"/>
        <w:keepNext/>
      </w:pPr>
      <w:r>
        <w:rPr>
          <w:rFonts w:ascii="Arial" w:hAnsi="Arial"/>
          <w:b/>
          <w:color w:val="087C8C"/>
          <w:sz w:val="25"/>
        </w:rPr>
        <w:t>11.3 Physician PDF</w:t>
      </w:r>
    </w:p>
    <w:tbl>
      <w:tblPr>
        <w:tblW w:type="auto" w:w="0"/>
        <w:jc w:val="center"/>
        <w:tblLook w:firstColumn="1" w:firstRow="1" w:lastColumn="0" w:lastRow="0" w:noHBand="0" w:noVBand="1" w:val="04A0"/>
      </w:tblPr>
      <w:tblGrid>
        <w:gridCol w:w="9994"/>
      </w:tblGrid>
      <w:tr>
        <w:trPr>
          <w:cantSplit/>
        </w:trPr>
        <w:tc>
          <w:tcPr>
            <w:tcW w:type="dxa" w:w="9994"/>
            <w:shd w:fill="F7F8FA"/>
            <w:tcMar>
              <w:top w:w="90" w:type="dxa"/>
              <w:start w:w="100" w:type="dxa"/>
              <w:bottom w:w="90" w:type="dxa"/>
              <w:end w:w="100" w:type="dxa"/>
            </w:tcMar>
            <w:tcBorders>
              <w:top w:val="single" w:sz="4" w:color="D6DEE8"/>
              <w:left w:val="single" w:sz="4" w:color="D6DEE8"/>
              <w:bottom w:val="single" w:sz="4" w:color="D6DEE8"/>
              <w:right w:val="single" w:sz="4" w:color="D6DEE8"/>
            </w:tcBorders>
          </w:tcPr>
          <w:p>
            <w:pPr>
              <w:spacing w:after="0"/>
            </w:pPr>
            <w:r>
              <w:rPr>
                <w:rFonts w:ascii="Liberation Mono" w:hAnsi="Liberation Mono"/>
                <w:b w:val="0"/>
                <w:color w:val="20242A"/>
                <w:sz w:val="16"/>
              </w:rPr>
              <w:t>SpO2 - 30 DAY SUMMARY</w:t>
              <w:br/>
              <w:t>Resting median:                 95%</w:t>
              <w:br/>
              <w:t>Resting mean:                 94.8%</w:t>
              <w:br/>
              <w:t>Observed range:               89-98%</w:t>
              <w:br/>
              <w:t>Configured target:            &gt;=92%</w:t>
              <w:br/>
              <w:t>Logged resting readings below target: 5 / 36 (13.9%)</w:t>
              <w:br/>
              <w:t>Repeat-confirmed low events:  2</w:t>
              <w:br/>
              <w:t>Recent vs preceding baseline: -2.0 percentage points</w:t>
              <w:br/>
              <w:br/>
              <w:t>CONTEXT</w:t>
              <w:br/>
              <w:t>Room-air median:              93%</w:t>
              <w:br/>
              <w:t>On prescribed oxygen median:  96% (2 L/min nasal cannula)</w:t>
              <w:br/>
              <w:br/>
              <w:t>ASSOCIATIONS</w:t>
              <w:br/>
              <w:t>2 confirmed low events occurred near shortness-of-breath reports.</w:t>
              <w:br/>
              <w:t>3 low events occurred with heart rate above the patient's resting baseline.</w:t>
              <w:br/>
              <w:br/>
              <w:t>Measurement note: Pulse oximetry estimates oxygen saturation and may be affected by device and measurement conditions.</w:t>
            </w:r>
          </w:p>
        </w:tc>
      </w:tr>
    </w:tbl>
    <w:p>
      <w:pPr>
        <w:spacing w:before="220" w:after="100"/>
        <w:keepNext/>
        <w:pBdr>
          <w:bottom w:val="single" w:sz="16" w:space="2" w:color="18AAB5"/>
        </w:pBdr>
      </w:pPr>
      <w:r>
        <w:rPr>
          <w:rFonts w:ascii="Arial" w:hAnsi="Arial"/>
          <w:b/>
          <w:color w:val="17365D"/>
          <w:sz w:val="32"/>
        </w:rPr>
        <w:t>12. Language and Safety Rules</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4997"/>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6"/>
              </w:rPr>
              <w:t>Preferred wording</w:t>
            </w:r>
          </w:p>
        </w:tc>
        <w:tc>
          <w:tcPr>
            <w:tcW w:type="dxa" w:w="4997"/>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6"/>
              </w:rPr>
              <w:t>Do not say</w:t>
            </w:r>
          </w:p>
        </w:tc>
      </w:tr>
      <w:tr>
        <w:trPr>
          <w:cantSplit/>
        </w:trPr>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"Five logged resting readings were below the configured target."</w:t>
            </w:r>
          </w:p>
        </w:tc>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"You are hypoxemic."</w:t>
            </w:r>
          </w:p>
        </w:tc>
      </w:tr>
      <w:tr>
        <w:trPr>
          <w:cantSplit/>
        </w:trPr>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"Recent resting saturation is 3 percentage points below the preceding baseline."</w:t>
            </w:r>
          </w:p>
        </w:tc>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"Your lung function is worsening."</w:t>
            </w:r>
          </w:p>
        </w:tc>
      </w:tr>
      <w:tr>
        <w:trPr>
          <w:cantSplit/>
        </w:trPr>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"Two low observations were confirmed by repeat measurement."</w:t>
            </w:r>
          </w:p>
        </w:tc>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"You had two respiratory events."</w:t>
            </w:r>
          </w:p>
        </w:tc>
      </w:tr>
      <w:tr>
        <w:trPr>
          <w:cantSplit/>
        </w:trPr>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"Three shortness-of-breath reports occurred near lower SpO2 readings."</w:t>
            </w:r>
          </w:p>
        </w:tc>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"Low oxygen caused your shortness of breath."</w:t>
            </w:r>
          </w:p>
        </w:tc>
      </w:tr>
      <w:tr>
        <w:trPr>
          <w:cantSplit/>
        </w:trPr>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"Median SpO2 was higher while using prescribed oxygen."</w:t>
            </w:r>
          </w:p>
        </w:tc>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"Oxygen treatment fixed the problem."</w:t>
            </w:r>
          </w:p>
        </w:tc>
      </w:tr>
      <w:tr>
        <w:trPr>
          <w:cantSplit/>
        </w:trPr>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"Recurrent overnight desaturations were observed."</w:t>
            </w:r>
          </w:p>
        </w:tc>
        <w:tc>
          <w:tcPr>
            <w:tcW w:type="dxa" w:w="4997"/>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6"/>
              </w:rPr>
              <w:t>"You have sleep apnea."</w:t>
            </w:r>
          </w:p>
        </w:tc>
      </w:tr>
    </w:tbl>
    <w:p>
      <w:pPr>
        <w:spacing w:after="40"/>
      </w:pPr>
    </w:p>
    <w:p>
      <w:pPr>
        <w:spacing w:before="0" w:after="100" w:line="252" w:lineRule="auto"/>
      </w:pPr>
      <w:r>
        <w:rPr>
          <w:rFonts w:ascii="Arial" w:hAnsi="Arial"/>
          <w:b w:val="0"/>
          <w:i w:val="0"/>
          <w:color w:val="20242A"/>
          <w:sz w:val="17"/>
        </w:rPr>
        <w:t>Escalation/urgent-care messaging is intentionally outside this engineering specification because it becomes a clinical triage feature. Any future SpO2 safety alerts require separate medical, regulatory, legal, and human-factors review.</w:t>
      </w:r>
    </w:p>
    <w:p>
      <w:pPr>
        <w:spacing w:before="220" w:after="100"/>
        <w:keepNext/>
        <w:pBdr>
          <w:bottom w:val="single" w:sz="16" w:space="2" w:color="18AAB5"/>
        </w:pBdr>
      </w:pPr>
      <w:r>
        <w:rPr>
          <w:rFonts w:ascii="Arial" w:hAnsi="Arial"/>
          <w:b/>
          <w:color w:val="17365D"/>
          <w:sz w:val="32"/>
        </w:rPr>
        <w:t>13. Deterministic Test Vectors</w:t>
      </w:r>
    </w:p>
    <w:p>
      <w:pPr>
        <w:spacing w:before="0" w:after="100" w:line="252" w:lineRule="auto"/>
      </w:pPr>
      <w:r>
        <w:rPr>
          <w:rFonts w:ascii="Arial" w:hAnsi="Arial"/>
          <w:b w:val="0"/>
          <w:i w:val="0"/>
          <w:color w:val="20242A"/>
          <w:sz w:val="19"/>
        </w:rPr>
        <w:t>Backend and any client-side mirror implementation should pass the same reference vectors. Values below are intentionally simple so failures are obvious.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800"/>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Vector</w:t>
            </w:r>
          </w:p>
        </w:tc>
        <w:tc>
          <w:tcPr>
            <w:tcW w:type="dxa" w:w="3485"/>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Input</w:t>
            </w:r>
          </w:p>
        </w:tc>
        <w:tc>
          <w:tcPr>
            <w:tcW w:type="dxa" w:w="4709"/>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Expected output</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 - central tendency / OLS</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Days x=[0,1,2,3,4]; SpO2 y=[98,97,96,95,94]</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mean=96; median=96; min=94; max=98; range=4; sample SD=sqrt(2.5)=1.5811; slope=-1.0 pp/day; intercept=98; R^2=1.0; modeled 30-day change=-30 pp (synthetic test only).</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B - target counts</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Target L=92; resting SpO2 [96,94,91,89,95,90]</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n=6; below target=3; P_below=50.0%; min=89; max=96.</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C - personal baseline</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Baseline [96,97,96,95,97]; recent [93,94,93]</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baseline median=96; recent median=93; Delta_pp=-3; relative change=-3.125%.</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 - repeat confirmation</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L=92; 09:14=89, 09:17=90; repeat link present</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one confirmed low-observation event; event min=89; event median=89.5; repeat interval=3 min.</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E - non-confirmed low</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L=92; 09:14=89, 09:17=96</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one candidate; zero repeat-confirmed low events; retain both readings.</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F - oxygen strata</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Room air [89,90,91,90,89]; O2 [94,95,94,96,95]</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room median=90; O2 median=95; Delta_med=+5 pp; no causal interpretation.</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G - activity response</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Rest=96; nadir=88; 1-min=92; 3-min=95</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Delta_desat=-8 pp; magnitude=8 pp; Recovery_1=+4 pp; Recovery_3=+7 pp; residual_3=-1 pp.</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H - T90</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Valid recording=600 min; below 90%=30 min</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T90=5.0%; CT90=30 min.</w:t>
            </w:r>
          </w:p>
        </w:tc>
      </w:tr>
      <w:tr>
        <w:trPr>
          <w:cantSplit/>
        </w:trPr>
        <w:tc>
          <w:tcPr>
            <w:tcW w:type="dxa" w:w="180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I - ODI3</w:t>
            </w:r>
          </w:p>
        </w:tc>
        <w:tc>
          <w:tcPr>
            <w:tcW w:type="dxa" w:w="3485"/>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12 qualifying &gt;=3-point desaturations; valid recording=6.0 h</w:t>
            </w:r>
          </w:p>
        </w:tc>
        <w:tc>
          <w:tcPr>
            <w:tcW w:type="dxa" w:w="4709"/>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ODI3=2.0 events/hour.</w:t>
            </w:r>
          </w:p>
        </w:tc>
      </w:tr>
    </w:tbl>
    <w:p>
      <w:pPr>
        <w:spacing w:after="40"/>
      </w:pPr>
    </w:p>
    <w:p>
      <w:pPr>
        <w:spacing w:before="220" w:after="100"/>
        <w:keepNext/>
        <w:pBdr>
          <w:bottom w:val="single" w:sz="16" w:space="2" w:color="18AAB5"/>
        </w:pBdr>
      </w:pPr>
      <w:r>
        <w:rPr>
          <w:rFonts w:ascii="Arial" w:hAnsi="Arial"/>
          <w:b/>
          <w:color w:val="17365D"/>
          <w:sz w:val="32"/>
        </w:rPr>
        <w:t>14. Verification Requirements</w:t>
      </w:r>
    </w:p>
    <w:p>
      <w:pPr>
        <w:spacing w:after="40" w:line="245" w:lineRule="auto"/>
        <w:ind w:left="101" w:hanging="43"/>
      </w:pPr>
      <w:r>
        <w:rPr>
          <w:rFonts w:ascii="Arial" w:hAnsi="Arial"/>
          <w:b w:val="0"/>
          <w:color w:val="20242A"/>
          <w:sz w:val="18"/>
        </w:rPr>
        <w:t>• Unit-test every formula, target comparator, confirmation rule, and eligibility gate independently.</w:t>
      </w:r>
    </w:p>
    <w:p>
      <w:pPr>
        <w:spacing w:after="40" w:line="245" w:lineRule="auto"/>
        <w:ind w:left="101" w:hanging="43"/>
      </w:pPr>
      <w:r>
        <w:rPr>
          <w:rFonts w:ascii="Arial" w:hAnsi="Arial"/>
          <w:b w:val="0"/>
          <w:color w:val="20242A"/>
          <w:sz w:val="18"/>
        </w:rPr>
        <w:t>• Run date/time tests around midnight, daylight-saving transitions, and time-zone changes; time-of-day buckets use the reading's original local offset.</w:t>
      </w:r>
    </w:p>
    <w:p>
      <w:pPr>
        <w:spacing w:after="40" w:line="245" w:lineRule="auto"/>
        <w:ind w:left="101" w:hanging="43"/>
      </w:pPr>
      <w:r>
        <w:rPr>
          <w:rFonts w:ascii="Arial" w:hAnsi="Arial"/>
          <w:b w:val="0"/>
          <w:color w:val="20242A"/>
          <w:sz w:val="18"/>
        </w:rPr>
        <w:t>• Verify invalidated/poor-quality readings are excluded from calculations but remain auditable in History.</w:t>
      </w:r>
    </w:p>
    <w:p>
      <w:pPr>
        <w:spacing w:after="40" w:line="245" w:lineRule="auto"/>
        <w:ind w:left="101" w:hanging="43"/>
      </w:pPr>
      <w:r>
        <w:rPr>
          <w:rFonts w:ascii="Arial" w:hAnsi="Arial"/>
          <w:b w:val="0"/>
          <w:color w:val="20242A"/>
          <w:sz w:val="18"/>
        </w:rPr>
        <w:t>• Verify unknown-context readings never enter resting trend, resting target, or baseline calculations by default.</w:t>
      </w:r>
    </w:p>
    <w:p>
      <w:pPr>
        <w:spacing w:after="40" w:line="245" w:lineRule="auto"/>
        <w:ind w:left="101" w:hanging="43"/>
      </w:pPr>
      <w:r>
        <w:rPr>
          <w:rFonts w:ascii="Arial" w:hAnsi="Arial"/>
          <w:b w:val="0"/>
          <w:color w:val="20242A"/>
          <w:sz w:val="18"/>
        </w:rPr>
        <w:t>• Verify room-air and oxygen-supported readings are not silently pooled into baseline/trend results.</w:t>
      </w:r>
    </w:p>
    <w:p>
      <w:pPr>
        <w:spacing w:after="40" w:line="245" w:lineRule="auto"/>
        <w:ind w:left="101" w:hanging="43"/>
      </w:pPr>
      <w:r>
        <w:rPr>
          <w:rFonts w:ascii="Arial" w:hAnsi="Arial"/>
          <w:b w:val="0"/>
          <w:color w:val="20242A"/>
          <w:sz w:val="18"/>
        </w:rPr>
        <w:t>• Verify custom clinician/patient target thresholds replace reference/display defaults without changing stored raw observations.</w:t>
      </w:r>
    </w:p>
    <w:p>
      <w:pPr>
        <w:spacing w:after="40" w:line="245" w:lineRule="auto"/>
        <w:ind w:left="101" w:hanging="43"/>
      </w:pPr>
      <w:r>
        <w:rPr>
          <w:rFonts w:ascii="Arial" w:hAnsi="Arial"/>
          <w:b w:val="0"/>
          <w:color w:val="20242A"/>
          <w:sz w:val="18"/>
        </w:rPr>
        <w:t>• Verify repeat-confirmation grouping is stable with duplicate imports and out-of-order timestamps.</w:t>
      </w:r>
    </w:p>
    <w:p>
      <w:pPr>
        <w:spacing w:after="40" w:line="245" w:lineRule="auto"/>
        <w:ind w:left="101" w:hanging="43"/>
      </w:pPr>
      <w:r>
        <w:rPr>
          <w:rFonts w:ascii="Arial" w:hAnsi="Arial"/>
          <w:b w:val="0"/>
          <w:color w:val="20242A"/>
          <w:sz w:val="18"/>
        </w:rPr>
        <w:t>• Verify OLS against a trusted numerical library and compare slope, R^2, slope SE, t statistic, and p-value within tight tolerance.</w:t>
      </w:r>
    </w:p>
    <w:p>
      <w:pPr>
        <w:spacing w:after="40" w:line="245" w:lineRule="auto"/>
        <w:ind w:left="101" w:hanging="43"/>
      </w:pPr>
      <w:r>
        <w:rPr>
          <w:rFonts w:ascii="Arial" w:hAnsi="Arial"/>
          <w:b w:val="0"/>
          <w:color w:val="20242A"/>
          <w:sz w:val="18"/>
        </w:rPr>
        <w:t>• Verify LOESS weighting/neighbor selection against a reference implementation using the same span and local-linear degree.</w:t>
      </w:r>
    </w:p>
    <w:p>
      <w:pPr>
        <w:spacing w:after="40" w:line="245" w:lineRule="auto"/>
        <w:ind w:left="101" w:hanging="43"/>
      </w:pPr>
      <w:r>
        <w:rPr>
          <w:rFonts w:ascii="Arial" w:hAnsi="Arial"/>
          <w:b w:val="0"/>
          <w:color w:val="20242A"/>
          <w:sz w:val="18"/>
        </w:rPr>
        <w:t>• Verify same-event cross-vital linkage takes precedence over timestamp matching.</w:t>
      </w:r>
    </w:p>
    <w:p>
      <w:pPr>
        <w:spacing w:after="40" w:line="245" w:lineRule="auto"/>
        <w:ind w:left="101" w:hanging="43"/>
      </w:pPr>
      <w:r>
        <w:rPr>
          <w:rFonts w:ascii="Arial" w:hAnsi="Arial"/>
          <w:b w:val="0"/>
          <w:color w:val="20242A"/>
          <w:sz w:val="18"/>
        </w:rPr>
        <w:t>• For continuous data, verify valid-duration weighting, gap handling, artifact exclusion, and event-definition versioning.</w:t>
      </w:r>
    </w:p>
    <w:p>
      <w:pPr>
        <w:spacing w:after="40" w:line="245" w:lineRule="auto"/>
        <w:ind w:left="101" w:hanging="43"/>
      </w:pPr>
      <w:r>
        <w:rPr>
          <w:rFonts w:ascii="Arial" w:hAnsi="Arial"/>
          <w:b w:val="0"/>
          <w:color w:val="20242A"/>
          <w:sz w:val="18"/>
        </w:rPr>
        <w:t>• Verify UI and PDF consume the same analysis DTO and produce the same values after rounding.</w:t>
      </w:r>
    </w:p>
    <w:p>
      <w:pPr>
        <w:spacing w:before="220" w:after="100"/>
        <w:keepNext/>
        <w:pBdr>
          <w:bottom w:val="single" w:sz="16" w:space="2" w:color="18AAB5"/>
        </w:pBdr>
      </w:pPr>
      <w:r>
        <w:rPr>
          <w:rFonts w:ascii="Arial" w:hAnsi="Arial"/>
          <w:b/>
          <w:color w:val="17365D"/>
          <w:sz w:val="32"/>
        </w:rPr>
        <w:t>15. Recommended Implementation Order</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79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Step</w:t>
            </w:r>
          </w:p>
        </w:tc>
        <w:tc>
          <w:tcPr>
            <w:tcW w:type="dxa" w:w="3384"/>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Engineering work</w:t>
            </w:r>
          </w:p>
        </w:tc>
        <w:tc>
          <w:tcPr>
            <w:tcW w:type="dxa" w:w="5818"/>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5"/>
              </w:rPr>
              <w:t>Outcome</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1</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Extend SpO2 observation model</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Add context, source, oxygen therapy, symptoms, quality, repeat linkage, event linkage.</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2</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Extract/reuse shared statistics library</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Deterministic mean/median/quantiles/SD/OLS/t/LOESS/correlation.</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3</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Build resting summary + data support</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Snapshot, 7/14/30/60 summaries, range, SD/IQR, support gates.</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4</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Build target profile + baseline comparison</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Configurable thresholds, baseline/recent medians, safe language.</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5</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Build low-observation confirmation</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Candidate/repeat grouping, quality prompts, event audit trail.</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6</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Build trend + time-of-day patterns</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OLS, LOESS, pattern buckets.</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7</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Build symptom / cross-vital context</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Same-event association with HR/BP/temp and symptom events.</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8</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Build supplemental-oxygen stratification</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Room air vs oxygen context, flow/device presentation.</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9</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Wire Dashboard / History / Details</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Dynamic vital configuration; no hardcoded static vital cards.</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10</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Wire physician PDF</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Same DTO and rounding rules as mobile UI.</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11</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Add guided activity response</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Structured rest/activity/recovery sequence.</w:t>
            </w:r>
          </w:p>
        </w:tc>
      </w:tr>
      <w:tr>
        <w:trPr>
          <w:cantSplit/>
        </w:trPr>
        <w:tc>
          <w:tcPr>
            <w:tcW w:type="dxa" w:w="79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12</w:t>
            </w:r>
          </w:p>
        </w:tc>
        <w:tc>
          <w:tcPr>
            <w:tcW w:type="dxa" w:w="3384"/>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Reserve continuous interfaces</w:t>
            </w:r>
          </w:p>
        </w:tc>
        <w:tc>
          <w:tcPr>
            <w:tcW w:type="dxa" w:w="5818"/>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5"/>
              </w:rPr>
              <w:t>Coverage, T90, ODI, burden DTOs hidden until qualified source exists.</w:t>
            </w:r>
          </w:p>
        </w:tc>
      </w:tr>
    </w:tbl>
    <w:p>
      <w:pPr>
        <w:spacing w:after="40"/>
      </w:pPr>
    </w:p>
    <w:p>
      <w:pPr>
        <w:spacing w:before="220" w:after="100"/>
        <w:keepNext/>
        <w:pBdr>
          <w:bottom w:val="single" w:sz="16" w:space="2" w:color="18AAB5"/>
        </w:pBdr>
      </w:pPr>
      <w:r>
        <w:rPr>
          <w:rFonts w:ascii="Arial" w:hAnsi="Arial"/>
          <w:b/>
          <w:color w:val="17365D"/>
          <w:sz w:val="32"/>
        </w:rPr>
        <w:t>16. Engineering Decisions to Lock</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331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Decision</w:t>
            </w:r>
          </w:p>
        </w:tc>
        <w:tc>
          <w:tcPr>
            <w:tcW w:type="dxa" w:w="4680"/>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Recommended value</w:t>
            </w:r>
          </w:p>
        </w:tc>
        <w:tc>
          <w:tcPr>
            <w:tcW w:type="dxa" w:w="2002"/>
            <w:vAlign w:val="center"/>
            <w:tcMar>
              <w:top w:w="75" w:type="dxa"/>
              <w:start w:w="75" w:type="dxa"/>
              <w:bottom w:w="75" w:type="dxa"/>
              <w:end w:w="75" w:type="dxa"/>
            </w:tcMar>
            <w:shd w:fill="1E3358"/>
            <w:tcBorders>
              <w:top w:val="single" w:sz="4" w:color="D6DEE8"/>
              <w:left w:val="single" w:sz="4" w:color="D6DEE8"/>
              <w:bottom w:val="single" w:sz="4" w:color="D6DEE8"/>
              <w:right w:val="single" w:sz="4" w:color="D6DEE8"/>
            </w:tcBorders>
          </w:tcPr>
          <w:p>
            <w:r>
              <w:rPr>
                <w:rFonts w:ascii="Arial" w:hAnsi="Arial"/>
                <w:b/>
                <w:color w:val="FFFFFF"/>
                <w:sz w:val="14"/>
              </w:rPr>
              <w:t>Status</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Lead central tendency</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Median (mean also reported)</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Resting context required for trend/targets</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Yes</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Room air vs supplemental oxygen</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Stratify by default</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Universal low threshold</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No diagnostic default</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Target profile ownership</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Patient/clinician configurable with effective dates</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Confirmation window</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10 minutes default</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Clinical/product review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Symptom association window</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30 minutes default</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Clinical/product review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LOESS span</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0.60 local-linear</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Shared-statistics default</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Trend significance gate</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n&gt;=8 and &gt;=14 days</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Engineering default; review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Baseline definition</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Recent 7d vs preceding 30d</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Engineering default; review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Activity workflow label</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Activity Oxygen Response</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Formal 6MWT support</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Deferred unless standardized protocol implemented</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T90 / ODI activation</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Continuous/overnight qualified data only</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ODI event algorithm</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Versioned; exact baseline/duration/artifact rules required</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Before P2</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OSA diagnosis from oximetry</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Prohibited</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Adopt now</w:t>
            </w:r>
          </w:p>
        </w:tc>
      </w:tr>
      <w:tr>
        <w:trPr>
          <w:cantSplit/>
        </w:trPr>
        <w:tc>
          <w:tcPr>
            <w:tcW w:type="dxa" w:w="331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Vitals-defined desaturation burden</w:t>
            </w:r>
          </w:p>
        </w:tc>
        <w:tc>
          <w:tcPr>
            <w:tcW w:type="dxa" w:w="4680"/>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Research/deferred; label clearly</w:t>
            </w:r>
          </w:p>
        </w:tc>
        <w:tc>
          <w:tcPr>
            <w:tcW w:type="dxa" w:w="2002"/>
            <w:vAlign w:val="center"/>
            <w:tcMar>
              <w:top w:w="75" w:type="dxa"/>
              <w:start w:w="75" w:type="dxa"/>
              <w:bottom w:w="75" w:type="dxa"/>
              <w:end w:w="75" w:type="dxa"/>
            </w:tcMar>
            <w:tcBorders>
              <w:top w:val="single" w:sz="4" w:color="D6DEE8"/>
              <w:left w:val="single" w:sz="4" w:color="D6DEE8"/>
              <w:bottom w:val="single" w:sz="4" w:color="D6DEE8"/>
              <w:right w:val="single" w:sz="4" w:color="D6DEE8"/>
            </w:tcBorders>
          </w:tcPr>
          <w:p>
            <w:r>
              <w:rPr>
                <w:rFonts w:ascii="Arial" w:hAnsi="Arial"/>
                <w:b w:val="0"/>
                <w:color w:val="20242A"/>
                <w:sz w:val="14"/>
              </w:rPr>
              <w:t>P2 review</w:t>
            </w:r>
          </w:p>
        </w:tc>
      </w:tr>
    </w:tbl>
    <w:p>
      <w:pPr>
        <w:spacing w:after="40"/>
      </w:pPr>
    </w:p>
    <w:tbl>
      <w:tblPr>
        <w:tblW w:type="auto" w:w="0"/>
        <w:jc w:val="center"/>
        <w:tblLayout w:type="fixed"/>
        <w:tblLook w:firstColumn="1" w:firstRow="1" w:lastColumn="0" w:lastRow="0" w:noHBand="0" w:noVBand="1" w:val="04A0"/>
      </w:tblPr>
      <w:tblGrid>
        <w:gridCol w:w="9994"/>
      </w:tblGrid>
      <w:tr>
        <w:trPr>
          <w:cantSplit/>
        </w:trPr>
        <w:tc>
          <w:tcPr>
            <w:tcW w:type="dxa" w:w="9994"/>
            <w:shd w:fill="EAF2F7"/>
            <w:tcMar>
              <w:top w:w="100" w:type="dxa"/>
              <w:start w:w="120" w:type="dxa"/>
              <w:bottom w:w="100" w:type="dxa"/>
              <w:end w:w="120" w:type="dxa"/>
            </w:tcMar>
            <w:tcBorders>
              <w:top w:val="nil"/>
              <w:left w:val="single" w:sz="18" w:color="18AAB5"/>
              <w:bottom w:val="nil"/>
              <w:right w:val="nil"/>
            </w:tcBorders>
          </w:tcPr>
          <w:p>
            <w:pPr>
              <w:spacing w:after="60"/>
            </w:pPr>
            <w:r>
              <w:rPr>
                <w:rFonts w:ascii="Arial" w:hAnsi="Arial"/>
                <w:b/>
                <w:color w:val="17365D"/>
                <w:sz w:val="20"/>
              </w:rPr>
              <w:t>Clinical review checkpoint</w:t>
            </w:r>
          </w:p>
          <w:p>
            <w:pPr>
              <w:spacing w:after="0" w:line="245" w:lineRule="auto"/>
            </w:pPr>
            <w:r>
              <w:rPr>
                <w:rFonts w:ascii="Arial" w:hAnsi="Arial"/>
                <w:b w:val="0"/>
                <w:color w:val="20242A"/>
                <w:sz w:val="18"/>
              </w:rPr>
              <w:t>Before production release, confirm target-profile language, repeat-measurement wording, activity-response presentation, oxygen-therapy fields, and any user-facing safety prompts with appropriate clinical review. Continuous/overnight metrics require a separate algorithm-validation checkpoint.</w:t>
            </w:r>
          </w:p>
        </w:tc>
      </w:tr>
    </w:tbl>
    <w:p>
      <w:pPr>
        <w:spacing w:before="160" w:after="100"/>
        <w:keepNext/>
        <w:pBdr>
          <w:bottom w:val="single" w:sz="12" w:space="3" w:color="0AA5B5"/>
        </w:pBdr>
      </w:pPr>
      <w:r>
        <w:rPr>
          <w:rFonts w:ascii="Arial" w:hAnsi="Arial"/>
          <w:b/>
          <w:color w:val="1D3357"/>
          <w:sz w:val="33"/>
        </w:rPr>
        <w:t>17. Clinical Evidence vs. Vitals Engineering Decisions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Item</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Classification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shd w:fill="1D3357"/>
          </w:tcPr>
          <w:p>
            <w:pPr>
              <w:spacing w:after="0"/>
            </w:pPr>
            <w:r>
              <w:rPr>
                <w:rFonts w:ascii="Arial" w:hAnsi="Arial"/>
                <w:b/>
                <w:color w:val="FFFFFF"/>
                <w:sz w:val="16"/>
              </w:rPr>
              <w:t>Rule</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Pulse-ox measurement limitations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Clinical/device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SpO2 is an estimate; accuracy can vary with perfusion, pigmentation, temperature, tobacco use, nail polish, motion, and device performance. [2][3]</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94-98% / 88-92% target examples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acute-care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BTS ranges are contextual acute-care guidance, not universal home-monitoring defaults. [4]</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Supplemental-oxygen context</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Preserve therapy/device/flow context; do not pool room-air and oxygen-supported values without labeling. [8]</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ODI3 / ODI4 concepts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Sleep-medicine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Continuous overnight metric only; exact baseline/duration/artifact algorithm must be versioned. [6][7]</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OSA diagnostic boundary</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Clinical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Overnight oximetry metrics may describe desaturation patterns but must not be used by Vitals alone to diagnose OSA. [12]</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Mean / SD / OLS / LOESS mathematics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Statistical reference</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Shared deterministic implementations follow NIST methods. [9][10][11]</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Repeat-confirmation window</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10-minute default supports quality review; not a diagnostic threshold.</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Baseline/recent windows and sample gates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Product stability rules; configurable/versioned.</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Symptom association and cross-vital windows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Temporal association only; not causal inference.</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Activity-response timing tolerances</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engineering decision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Guided product protocol; do not label as formal 6MWT without implementing its standardized protocol.</w:t>
            </w:r>
          </w:p>
        </w:tc>
      </w:tr>
      <w:tr>
        <w:trPr>
          <w:cantSplit/>
        </w:trPr>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Vitals-defined desaturation burden</w:t>
            </w:r>
          </w:p>
        </w:tc>
        <w:tc>
          <w:tcPr>
            <w:tcW w:type="dxa" w:w="2520"/>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Vitals research/engineering definition</w:t>
            </w:r>
          </w:p>
        </w:tc>
        <w:tc>
          <w:tcPr>
            <w:tcW w:type="dxa" w:w="4925"/>
            <w:tcMar>
              <w:top w:w="60" w:type="dxa"/>
              <w:start w:w="65" w:type="dxa"/>
              <w:bottom w:w="60" w:type="dxa"/>
              <w:end w:w="65" w:type="dxa"/>
            </w:tcMar>
            <w:vAlign w:val="top"/>
            <w:tcBorders>
              <w:top w:val="single" w:sz="4" w:color="CBD5DF"/>
              <w:bottom w:val="single" w:sz="4" w:color="CBD5DF"/>
              <w:left w:val="single" w:sz="4" w:color="CBD5DF"/>
              <w:right w:val="single" w:sz="4" w:color="CBD5DF"/>
            </w:tcBorders>
          </w:tcPr>
          <w:p>
            <w:pPr>
              <w:spacing w:after="0"/>
            </w:pPr>
            <w:r>
              <w:rPr>
                <w:rFonts w:ascii="Arial" w:hAnsi="Arial"/>
                <w:color w:val="20242A"/>
                <w:sz w:val="16"/>
              </w:rPr>
              <w:t>Deferred; label explicitly as Vitals-defined unless a standardized clinical metric is adopted.</w:t>
            </w:r>
          </w:p>
        </w:tc>
      </w:tr>
    </w:tbl>
    <w:p>
      <w:pPr>
        <w:spacing w:before="160" w:after="100"/>
        <w:keepNext/>
        <w:pBdr>
          <w:bottom w:val="single" w:sz="12" w:space="3" w:color="0AA5B5"/>
        </w:pBdr>
      </w:pPr>
      <w:r>
        <w:rPr>
          <w:rFonts w:ascii="Arial" w:hAnsi="Arial"/>
          <w:b/>
          <w:color w:val="1D3357"/>
          <w:sz w:val="33"/>
        </w:rPr>
        <w:t>18. References</w:t>
      </w:r>
    </w:p>
    <w:p>
      <w:pPr>
        <w:spacing w:before="0" w:after="80" w:line="240" w:lineRule="auto"/>
        <w:ind w:left="360" w:hanging="360"/>
      </w:pPr>
      <w:r>
        <w:rPr>
          <w:rFonts w:ascii="Arial" w:hAnsi="Arial"/>
          <w:b/>
          <w:color w:val="1D3357"/>
          <w:sz w:val="16"/>
        </w:rPr>
        <w:t xml:space="preserve">[1] </w:t>
      </w:r>
      <w:r>
        <w:rPr>
          <w:rFonts w:ascii="Arial" w:hAnsi="Arial"/>
          <w:color w:val="20242A"/>
          <w:sz w:val="16"/>
        </w:rPr>
        <w:t>Vitals Development Project. Mobile Application Development Roadmap - .NET MAUI | iOS &amp; Android | September 2026 Launch Target. Internal project document, Sep 2026 v2.</w:t>
      </w:r>
    </w:p>
    <w:p>
      <w:pPr>
        <w:spacing w:before="0" w:after="80" w:line="240" w:lineRule="auto"/>
        <w:ind w:left="360" w:hanging="360"/>
      </w:pPr>
      <w:r>
        <w:rPr>
          <w:rFonts w:ascii="Arial" w:hAnsi="Arial"/>
          <w:b/>
          <w:color w:val="1D3357"/>
          <w:sz w:val="16"/>
        </w:rPr>
        <w:t xml:space="preserve">[2] </w:t>
      </w:r>
      <w:r>
        <w:rPr>
          <w:rFonts w:ascii="Arial" w:hAnsi="Arial"/>
          <w:color w:val="20242A"/>
          <w:sz w:val="16"/>
        </w:rPr>
        <w:t>U.S. Food and Drug Administration. Pulse Oximeter Basics. https://www.fda.gov/consumers/consumer-updates/pulse-oximeter-basics</w:t>
      </w:r>
    </w:p>
    <w:p>
      <w:pPr>
        <w:spacing w:before="0" w:after="80" w:line="240" w:lineRule="auto"/>
        <w:ind w:left="360" w:hanging="360"/>
      </w:pPr>
      <w:r>
        <w:rPr>
          <w:rFonts w:ascii="Arial" w:hAnsi="Arial"/>
          <w:b/>
          <w:color w:val="1D3357"/>
          <w:sz w:val="16"/>
        </w:rPr>
        <w:t xml:space="preserve">[3] </w:t>
      </w:r>
      <w:r>
        <w:rPr>
          <w:rFonts w:ascii="Arial" w:hAnsi="Arial"/>
          <w:color w:val="20242A"/>
          <w:sz w:val="16"/>
        </w:rPr>
        <w:t>U.S. Food and Drug Administration. Pulse Oximeters for Medical Purposes - Non-Clinical and Clinical Performance Testing, Labeling, and Premarket Submission Recommendations. Draft Guidance for Industry and FDA Staff. Issued Jan 7, 2025; Docket FDA-2023-N-4976. Draft - not for implementation. https://www.fda.gov/regulatory-information/search-fda-guidance-documents/pulse-oximeters-medical-purposes-non-clinical-and-clinical-performance-testing-labeling-and</w:t>
      </w:r>
    </w:p>
    <w:p>
      <w:pPr>
        <w:spacing w:before="0" w:after="80" w:line="240" w:lineRule="auto"/>
        <w:ind w:left="360" w:hanging="360"/>
      </w:pPr>
      <w:r>
        <w:rPr>
          <w:rFonts w:ascii="Arial" w:hAnsi="Arial"/>
          <w:b/>
          <w:color w:val="1D3357"/>
          <w:sz w:val="16"/>
        </w:rPr>
        <w:t xml:space="preserve">[4] </w:t>
      </w:r>
      <w:r>
        <w:rPr>
          <w:rFonts w:ascii="Arial" w:hAnsi="Arial"/>
          <w:color w:val="20242A"/>
          <w:sz w:val="16"/>
        </w:rPr>
        <w:t>O'Driscoll BR, Howard LS, Earis J, Mak V. BTS guideline for oxygen use in adults in healthcare and emergency settings. Thorax. 2017;72(Suppl 1):ii1-ii90. doi:10.1136/thoraxjnl-2016-209729. BTS December 2019 update retains target-range guidance. https://www.brit-thoracic.org.uk/clinical-resources/guidelines/emergency-oxygen/</w:t>
      </w:r>
    </w:p>
    <w:p>
      <w:pPr>
        <w:spacing w:before="0" w:after="80" w:line="240" w:lineRule="auto"/>
        <w:ind w:left="360" w:hanging="360"/>
      </w:pPr>
      <w:r>
        <w:rPr>
          <w:rFonts w:ascii="Arial" w:hAnsi="Arial"/>
          <w:b/>
          <w:color w:val="1D3357"/>
          <w:sz w:val="16"/>
        </w:rPr>
        <w:t xml:space="preserve">[5] </w:t>
      </w:r>
      <w:r>
        <w:rPr>
          <w:rFonts w:ascii="Arial" w:hAnsi="Arial"/>
          <w:color w:val="20242A"/>
          <w:sz w:val="16"/>
        </w:rPr>
        <w:t>American Thoracic Society. Oxygen Therapy - Patient Resource. https://site.thoracic.org/advocacy-patients/patient-resources/oxygen-therapy</w:t>
      </w:r>
    </w:p>
    <w:p>
      <w:pPr>
        <w:spacing w:before="0" w:after="80" w:line="240" w:lineRule="auto"/>
        <w:ind w:left="360" w:hanging="360"/>
      </w:pPr>
      <w:r>
        <w:rPr>
          <w:rFonts w:ascii="Arial" w:hAnsi="Arial"/>
          <w:b/>
          <w:color w:val="1D3357"/>
          <w:sz w:val="16"/>
        </w:rPr>
        <w:t xml:space="preserve">[6] </w:t>
      </w:r>
      <w:r>
        <w:rPr>
          <w:rFonts w:ascii="Arial" w:hAnsi="Arial"/>
          <w:color w:val="20242A"/>
          <w:sz w:val="16"/>
        </w:rPr>
        <w:t>International Consensus Statement on Obstructive Sleep Apnea. PMCID: PMC10359192. https://pmc.ncbi.nlm.nih.gov/articles/PMC10359192/</w:t>
      </w:r>
    </w:p>
    <w:p>
      <w:pPr>
        <w:spacing w:before="0" w:after="80" w:line="240" w:lineRule="auto"/>
        <w:ind w:left="360" w:hanging="360"/>
      </w:pPr>
      <w:r>
        <w:rPr>
          <w:rFonts w:ascii="Arial" w:hAnsi="Arial"/>
          <w:b/>
          <w:color w:val="1D3357"/>
          <w:sz w:val="16"/>
        </w:rPr>
        <w:t xml:space="preserve">[7] </w:t>
      </w:r>
      <w:r>
        <w:rPr>
          <w:rFonts w:ascii="Arial" w:hAnsi="Arial"/>
          <w:color w:val="20242A"/>
          <w:sz w:val="16"/>
        </w:rPr>
        <w:t>Berry RB, Budhiraja R, Gottlieb DJ, et al. Rules for Scoring Respiratory Events in Sleep: Update of the 2007 AASM Manual for the Scoring of Sleep and Associated Events. J Clin Sleep Med. 2012;8(5):597-619. doi:10.5664/jcsm.2172. PMCID:PMC3459210. https://pmc.ncbi.nlm.nih.gov/articles/PMC3459210/</w:t>
      </w:r>
    </w:p>
    <w:p>
      <w:pPr>
        <w:spacing w:before="0" w:after="80" w:line="240" w:lineRule="auto"/>
        <w:ind w:left="360" w:hanging="360"/>
      </w:pPr>
      <w:r>
        <w:rPr>
          <w:rFonts w:ascii="Arial" w:hAnsi="Arial"/>
          <w:b/>
          <w:color w:val="1D3357"/>
          <w:sz w:val="16"/>
        </w:rPr>
        <w:t xml:space="preserve">[8] </w:t>
      </w:r>
      <w:r>
        <w:rPr>
          <w:rFonts w:ascii="Arial" w:hAnsi="Arial"/>
          <w:color w:val="20242A"/>
          <w:sz w:val="16"/>
        </w:rPr>
        <w:t>Jacobs SS, Krishnan JA, Lederer DJ, et al. Home Oxygen Therapy for Adults with Chronic Lung Disease: An Official American Thoracic Society Clinical Practice Guideline. Am J Respir Crit Care Med. 2020;202(10):e121-e141. doi:10.1164/rccm.202009-3608ST. PMCID:PMC7667898. https://pmc.ncbi.nlm.nih.gov/articles/PMC7667898/</w:t>
      </w:r>
    </w:p>
    <w:p>
      <w:pPr>
        <w:spacing w:before="0" w:after="80" w:line="240" w:lineRule="auto"/>
        <w:ind w:left="360" w:hanging="360"/>
      </w:pPr>
      <w:r>
        <w:rPr>
          <w:rFonts w:ascii="Arial" w:hAnsi="Arial"/>
          <w:b/>
          <w:color w:val="1D3357"/>
          <w:sz w:val="16"/>
        </w:rPr>
        <w:t xml:space="preserve">[9] </w:t>
      </w:r>
      <w:r>
        <w:rPr>
          <w:rFonts w:ascii="Arial" w:hAnsi="Arial"/>
          <w:color w:val="20242A"/>
          <w:sz w:val="16"/>
        </w:rPr>
        <w:t>NIST/SEMATECH e-Handbook of Statistical Methods. Linear Least Squares Regression / Least Squares. https://www.itl.nist.gov/div898/handbook/pmd/section1/pmd141.htm ; https://www.itl.nist.gov/div898/handbook/pmd/section4/pmd431.htm</w:t>
      </w:r>
    </w:p>
    <w:p>
      <w:pPr>
        <w:spacing w:after="80"/>
        <w:ind w:left="360" w:hanging="360"/>
      </w:pPr>
      <w:r>
        <w:rPr>
          <w:rFonts w:ascii="Arial" w:hAnsi="Arial"/>
          <w:b/>
          <w:color w:val="1D3357"/>
          <w:sz w:val="16"/>
        </w:rPr>
        <w:t xml:space="preserve">[10] </w:t>
      </w:r>
      <w:r>
        <w:rPr>
          <w:rFonts w:ascii="Arial" w:hAnsi="Arial"/>
          <w:color w:val="20242A"/>
          <w:sz w:val="16"/>
        </w:rPr>
        <w:t>NIST/SEMATECH e-Handbook of Statistical Methods. 4.1.4.4 LOESS (aka LOWESS). https://www.itl.nist.gov/div898/handbook/pmd/section1/pmd144.htm</w:t>
      </w:r>
    </w:p>
    <w:p>
      <w:pPr>
        <w:spacing w:after="80"/>
        <w:ind w:left="360" w:hanging="360"/>
      </w:pPr>
      <w:r>
        <w:rPr>
          <w:rFonts w:ascii="Arial" w:hAnsi="Arial"/>
          <w:b/>
          <w:color w:val="1D3357"/>
          <w:sz w:val="16"/>
        </w:rPr>
        <w:t xml:space="preserve">[11] </w:t>
      </w:r>
      <w:r>
        <w:rPr>
          <w:rFonts w:ascii="Arial" w:hAnsi="Arial"/>
          <w:color w:val="20242A"/>
          <w:sz w:val="16"/>
        </w:rPr>
        <w:t>NIST/SEMATECH e-Handbook of Statistical Methods. 1.3.5.6 Measures of Scale. https://www.itl.nist.gov/div898/handbook/eda/section3/eda356.htm</w:t>
      </w:r>
    </w:p>
    <w:p>
      <w:pPr>
        <w:spacing w:after="80"/>
        <w:ind w:left="360" w:hanging="360"/>
      </w:pPr>
      <w:r>
        <w:rPr>
          <w:rFonts w:ascii="Arial" w:hAnsi="Arial"/>
          <w:b/>
          <w:color w:val="1D3357"/>
          <w:sz w:val="16"/>
        </w:rPr>
        <w:t xml:space="preserve">[12] </w:t>
      </w:r>
      <w:r>
        <w:rPr>
          <w:rFonts w:ascii="Arial" w:hAnsi="Arial"/>
          <w:color w:val="20242A"/>
          <w:sz w:val="16"/>
        </w:rPr>
        <w:t>Kapur VK, Auckley DH, Chowdhuri S, et al. Clinical Practice Guideline for Diagnostic Testing for Adult Obstructive Sleep Apnea: An American Academy of Sleep Medicine Clinical Practice Guideline. J Clin Sleep Med. 2017;13(3):479-504. doi:10.5664/jcsm.6506. PMCID:PMC5337595. https://pmc.ncbi.nlm.nih.gov/articles/PMC5337595/</w:t>
      </w:r>
    </w:p>
    <w:p>
      <w:pPr>
        <w:spacing w:after="0"/>
      </w:pPr>
      <w:r>
        <w:rPr>
          <w:rFonts w:ascii="Arial" w:hAnsi="Arial"/>
          <w:i/>
          <w:color w:val="687386"/>
          <w:sz w:val="16"/>
        </w:rPr>
        <w:t>Reference maintenance: re-check FDA pulse-ox guidance and BTS oxygen guidance before release. The January 2025 FDA pulse-ox document is draft guidance; replace or annotate it if final guidance is issued. Version any future ODI/T90 algorithm so historical results remain reproducible.</w:t>
      </w:r>
    </w:p>
    <w:sectPr w:rsidR="00FC693F" w:rsidRPr="0006063C" w:rsidSect="00034616">
      <w:headerReference w:type="default" r:id="rId9"/>
      <w:footerReference w:type="default" r:id="rId10"/>
      <w:pgSz w:w="12240" w:h="15840"/>
      <w:pgMar w:top="1037" w:right="1123" w:bottom="979" w:left="1123" w:header="60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4" w:color="D7DDE5"/>
      </w:pBdr>
    </w:pPr>
  </w:p>
  <w:tbl>
    <w:tblPr>
      <w:tblW w:type="auto" w:w="0"/>
      <w:jc w:val="center"/>
      <w:tblLayout w:type="fixed"/>
      <w:tblLook w:firstColumn="1" w:firstRow="1" w:lastColumn="0" w:lastRow="0" w:noHBand="0" w:noVBand="1" w:val="04A0"/>
    </w:tblPr>
    <w:tblGrid>
      <w:gridCol w:w="3331"/>
      <w:gridCol w:w="3331"/>
      <w:gridCol w:w="3331"/>
    </w:tblGrid>
    <w:tr>
      <w:tc>
        <w:tcPr>
          <w:tcW w:type="dxa" w:w="3326"/>
          <w:tcMar>
            <w:top w:w="0" w:type="dxa"/>
            <w:start w:w="0" w:type="dxa"/>
            <w:bottom w:w="0" w:type="dxa"/>
            <w:end w:w="0" w:type="dxa"/>
          </w:tcMar>
        </w:tcPr>
        <w:p>
          <w:pPr>
            <w:spacing w:before="40" w:after="0"/>
            <w:jc w:val="left"/>
          </w:pPr>
          <w:r/>
          <w:r>
            <w:rPr>
              <w:rFonts w:ascii="Arial" w:hAnsi="Arial"/>
              <w:b w:val="0"/>
              <w:color w:val="667085"/>
              <w:sz w:val="14"/>
            </w:rPr>
            <w:t>Confidential - Working Draft</w:t>
          </w:r>
        </w:p>
      </w:tc>
      <w:tc>
        <w:tcPr>
          <w:tcW w:type="dxa" w:w="3326"/>
          <w:tcMar>
            <w:top w:w="0" w:type="dxa"/>
            <w:start w:w="0" w:type="dxa"/>
            <w:bottom w:w="0" w:type="dxa"/>
            <w:end w:w="0" w:type="dxa"/>
          </w:tcMar>
        </w:tcPr>
        <w:p>
          <w:pPr>
            <w:spacing w:before="40" w:after="0"/>
            <w:jc w:val="center"/>
          </w:pPr>
          <w:r/>
          <w:r>
            <w:rPr>
              <w:rFonts w:ascii="Arial" w:hAnsi="Arial"/>
              <w:b w:val="0"/>
              <w:color w:val="667085"/>
              <w:sz w:val="14"/>
            </w:rPr>
            <w:t>September 2026</w:t>
          </w:r>
        </w:p>
      </w:tc>
      <w:tc>
        <w:tcPr>
          <w:tcW w:type="dxa" w:w="3341"/>
          <w:tcMar>
            <w:top w:w="0" w:type="dxa"/>
            <w:start w:w="0" w:type="dxa"/>
            <w:bottom w:w="0" w:type="dxa"/>
            <w:end w:w="0" w:type="dxa"/>
          </w:tcMar>
        </w:tcPr>
        <w:p>
          <w:pPr>
            <w:spacing w:before="40" w:after="0"/>
            <w:jc w:val="right"/>
          </w:pPr>
          <w:r/>
          <w:r>
            <w:rPr>
              <w:rFonts w:ascii="Arial" w:hAnsi="Arial"/>
              <w:b w:val="0"/>
              <w:color w:val="667085"/>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667085"/>
        <w:sz w:val="15"/>
      </w:rPr>
      <w:t>Vitals Development Project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024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SpO2 Analysis Engine Engineering Specification</dc:title>
  <dc:subject>High-priority SpO2 analysis sets, formulas, evidence traceability, citations, and implementation guidance</dc:subject>
  <dc:creator>Vitals Development Project</dc:creator>
  <cp:keywords>Vitals, SpO2, pulse oximetry, clinical analysis, engineering specification</cp:keywords>
  <dc:description>Working engineering specification</dc:description>
  <cp:lastModifiedBy/>
  <cp:revision>1</cp:revision>
  <dcterms:created xsi:type="dcterms:W3CDTF">2013-12-23T23:15:00Z</dcterms:created>
  <dcterms:modified xsi:type="dcterms:W3CDTF">2013-12-23T23:15:00Z</dcterms:modified>
  <cp:category/>
</cp:coreProperties>
</file>