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2148840" cy="97915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979157"/>
                    </a:xfrm>
                    <a:prstGeom prst="rect"/>
                  </pic:spPr>
                </pic:pic>
              </a:graphicData>
            </a:graphic>
          </wp:inline>
        </w:drawing>
      </w:r>
    </w:p>
    <w:p>
      <w:pPr>
        <w:spacing w:before="200" w:after="40"/>
        <w:jc w:val="center"/>
      </w:pPr>
      <w:r>
        <w:rPr>
          <w:rFonts w:ascii="Arial" w:hAnsi="Arial"/>
          <w:b/>
          <w:color w:val="1D3357"/>
          <w:sz w:val="52"/>
        </w:rPr>
        <w:t>Weight &amp; BMI Analysis Engine</w:t>
      </w:r>
    </w:p>
    <w:p>
      <w:pPr>
        <w:spacing w:after="60"/>
        <w:jc w:val="center"/>
      </w:pPr>
      <w:r>
        <w:rPr>
          <w:rFonts w:ascii="Arial" w:hAnsi="Arial"/>
          <w:b/>
          <w:color w:val="007A89"/>
          <w:sz w:val="29"/>
        </w:rPr>
        <w:t>Engineering Specification - High-Priority Analysis Sets &amp; Mathematical Definitions</w:t>
      </w:r>
    </w:p>
    <w:p>
      <w:pPr>
        <w:spacing w:after="280"/>
        <w:jc w:val="center"/>
      </w:pPr>
      <w:r>
        <w:rPr>
          <w:rFonts w:ascii="Arial" w:hAnsi="Arial"/>
          <w:i/>
          <w:color w:val="687386"/>
          <w:sz w:val="21"/>
        </w:rPr>
        <w:t>.NET MAUI | FastAPI | Height-Enabled | Adult/Pediatric-Aware Architecture</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7"/>
              </w:rPr>
              <w:t>Document</w:t>
            </w:r>
          </w:p>
        </w:tc>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7"/>
              </w:rPr>
              <w:t>Version</w:t>
            </w:r>
          </w:p>
        </w:tc>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7"/>
              </w:rPr>
              <w:t>Date</w:t>
            </w:r>
          </w:p>
        </w:tc>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7"/>
              </w:rPr>
              <w:t>Status</w:t>
            </w:r>
          </w:p>
        </w:tc>
      </w:tr>
      <w:tr>
        <w:trPr>
          <w:cantSplit/>
        </w:trPr>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7"/>
              </w:rPr>
              <w:t>Engineering Specification</w:t>
            </w:r>
          </w:p>
        </w:tc>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7"/>
              </w:rPr>
              <w:t>0.1 Draft</w:t>
            </w:r>
          </w:p>
        </w:tc>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7"/>
              </w:rPr>
              <w:t>September 13, 2026</w:t>
            </w:r>
          </w:p>
        </w:tc>
        <w:tc>
          <w:tcPr>
            <w:tcW w:type="dxa" w:w="2520"/>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7"/>
              </w:rPr>
              <w:t>For implementation review</w:t>
            </w:r>
          </w:p>
        </w:tc>
      </w:tr>
    </w:tbl>
    <w:tbl>
      <w:tblPr>
        <w:tblW w:type="auto" w:w="0"/>
        <w:jc w:val="center"/>
        <w:tblLayout w:type="fixed"/>
        <w:tblLook w:firstColumn="1" w:firstRow="1" w:lastColumn="0" w:lastRow="0" w:noHBand="0" w:noVBand="1" w:val="04A0"/>
      </w:tblPr>
      <w:tblGrid>
        <w:gridCol w:w="9965"/>
      </w:tblGrid>
      <w:tr>
        <w:tc>
          <w:tcPr>
            <w:tcW w:type="dxa" w:w="9994"/>
            <w:shd w:fill="EDF4F7"/>
            <w:tcBorders>
              <w:top w:val="nil"/>
              <w:left w:val="single" w:sz="22" w:color="0AA5B5"/>
              <w:bottom w:val="nil"/>
              <w:right w:val="nil"/>
            </w:tcBorders>
            <w:tcMar>
              <w:top w:w="80" w:type="dxa"/>
              <w:start w:w="110" w:type="dxa"/>
              <w:bottom w:w="80" w:type="dxa"/>
              <w:end w:w="100" w:type="dxa"/>
            </w:tcMar>
          </w:tcPr>
          <w:p>
            <w:pPr>
              <w:spacing w:after="40"/>
            </w:pPr>
            <w:r>
              <w:rPr>
                <w:rFonts w:ascii="Arial" w:hAnsi="Arial"/>
                <w:b/>
                <w:color w:val="1D3357"/>
                <w:sz w:val="20"/>
              </w:rPr>
              <w:t>Core engineering decision</w:t>
            </w:r>
          </w:p>
          <w:p>
            <w:pPr>
              <w:spacing w:after="0"/>
            </w:pPr>
            <w:r>
              <w:rPr>
                <w:rFonts w:ascii="Arial" w:hAnsi="Arial"/>
                <w:color w:val="20242A"/>
                <w:sz w:val="18"/>
              </w:rPr>
              <w:t>Weight analysis will use the shared Vitals statistics/visualization infrastructure, but height-aware and age-aware interpretation will be metric-specific. Weight trends, absolute and percentage change, personal baseline deviation, BMI, and context-linked changes are high-value. Adult BMI categories must never be silently applied to pediatric patients, and rapid-change thresholds must remain condition- or clinician-specific rather than universal.</w:t>
            </w:r>
          </w:p>
        </w:tc>
      </w:tr>
    </w:tbl>
    <w:p>
      <w:pPr>
        <w:spacing w:after="0"/>
      </w:pPr>
      <w:r>
        <w:rPr>
          <w:rFonts w:ascii="Arial" w:hAnsi="Arial"/>
          <w:i w:val="0"/>
          <w:color w:val="20242A"/>
          <w:sz w:val="19"/>
        </w:rPr>
        <w:t>This specification adds height to patient setup when weight tracking is enabled and defines how weight and height feed the Weight Details view, physician-grade PDF, and future analysis API. It complements the Vitals Phase 4 clinical visualization design and the Phase 6 onboarding flow. [1]</w:t>
      </w:r>
    </w:p>
    <w:p>
      <w:r>
        <w:br w:type="page"/>
      </w:r>
    </w:p>
    <w:p>
      <w:pPr>
        <w:spacing w:before="160" w:after="100"/>
        <w:keepNext/>
        <w:pBdr>
          <w:bottom w:val="single" w:sz="12" w:space="3" w:color="0AA5B5"/>
        </w:pBdr>
      </w:pPr>
      <w:r>
        <w:rPr>
          <w:rFonts w:ascii="Arial" w:hAnsi="Arial"/>
          <w:b/>
          <w:color w:val="1D3357"/>
          <w:sz w:val="33"/>
        </w:rPr>
        <w:t>1. Purpose and Scope</w:t>
      </w:r>
    </w:p>
    <w:p>
      <w:pPr>
        <w:spacing w:after="100"/>
      </w:pPr>
      <w:r>
        <w:rPr>
          <w:rFonts w:ascii="Arial" w:hAnsi="Arial"/>
          <w:i w:val="0"/>
          <w:color w:val="20242A"/>
          <w:sz w:val="19"/>
        </w:rPr>
        <w:t>This document defines the high-priority weight analysis sets for Vitals, the mathematical formulas used to calculate each value, the required height/onboarding changes, the data-quality gates, and the presentation guardrails for the mobile Details view and physician-grade PDF.</w:t>
      </w:r>
    </w:p>
    <w:p>
      <w:pPr>
        <w:spacing w:after="100"/>
      </w:pPr>
      <w:r>
        <w:rPr>
          <w:rFonts w:ascii="Arial" w:hAnsi="Arial"/>
          <w:i w:val="0"/>
          <w:color w:val="20242A"/>
          <w:sz w:val="19"/>
        </w:rPr>
        <w:t>The P0 implementation assumes manually entered or connected-scale spot weights. Height enables BMI and age-appropriate growth analysis; dense device streams are not required. The analysis engine should remain useful even when BMI is unavailable or inappropriate.</w:t>
      </w:r>
    </w:p>
    <w:tbl>
      <w:tblPr>
        <w:tblW w:type="auto" w:w="0"/>
        <w:jc w:val="center"/>
        <w:tblLayout w:type="fixed"/>
        <w:tblLook w:firstColumn="1" w:firstRow="1" w:lastColumn="0" w:lastRow="0" w:noHBand="0" w:noVBand="1" w:val="04A0"/>
      </w:tblPr>
      <w:tblGrid>
        <w:gridCol w:w="9965"/>
      </w:tblGrid>
      <w:tr>
        <w:tc>
          <w:tcPr>
            <w:tcW w:type="dxa" w:w="9994"/>
            <w:shd w:fill="EDF4F7"/>
            <w:tcBorders>
              <w:top w:val="nil"/>
              <w:left w:val="single" w:sz="22" w:color="0AA5B5"/>
              <w:bottom w:val="nil"/>
              <w:right w:val="nil"/>
            </w:tcBorders>
            <w:tcMar>
              <w:top w:w="80" w:type="dxa"/>
              <w:start w:w="110" w:type="dxa"/>
              <w:bottom w:w="80" w:type="dxa"/>
              <w:end w:w="100" w:type="dxa"/>
            </w:tcMar>
          </w:tcPr>
          <w:p>
            <w:pPr>
              <w:spacing w:after="40"/>
            </w:pPr>
            <w:r>
              <w:rPr>
                <w:rFonts w:ascii="Arial" w:hAnsi="Arial"/>
                <w:b/>
                <w:color w:val="1D3357"/>
                <w:sz w:val="20"/>
              </w:rPr>
              <w:t>BMI is a screening measure, not a diagnosis</w:t>
            </w:r>
          </w:p>
          <w:p>
            <w:pPr>
              <w:spacing w:after="0"/>
            </w:pPr>
            <w:r>
              <w:rPr>
                <w:rFonts w:ascii="Arial" w:hAnsi="Arial"/>
                <w:color w:val="20242A"/>
                <w:sz w:val="18"/>
              </w:rPr>
              <w:t>CDC describes BMI as a screening measure that should be considered with other health factors. Vitals may calculate and trend BMI, but it must not infer body-fat percentage, diagnose obesity-related disease, or claim that a BMI change by itself proves improvement or deterioration in health. [2][3]</w:t>
            </w:r>
          </w:p>
        </w:tc>
      </w:tr>
    </w:tbl>
    <w:p>
      <w:pPr>
        <w:spacing w:before="160" w:after="100"/>
        <w:keepNext/>
        <w:pBdr>
          <w:bottom w:val="single" w:sz="12" w:space="3" w:color="0AA5B5"/>
        </w:pBdr>
      </w:pPr>
      <w:r>
        <w:rPr>
          <w:rFonts w:ascii="Arial" w:hAnsi="Arial"/>
          <w:b/>
          <w:color w:val="1D3357"/>
          <w:sz w:val="33"/>
        </w:rPr>
        <w:t>2. Evidence Traceability and Engineering Guardrails</w:t>
      </w:r>
    </w:p>
    <w:tbl>
      <w:tblPr>
        <w:tblW w:type="auto" w:w="0"/>
        <w:jc w:val="center"/>
        <w:tblLayout w:type="fixed"/>
        <w:tblLook w:firstColumn="1" w:firstRow="1" w:lastColumn="0" w:lastRow="0" w:noHBand="0" w:noVBand="1" w:val="04A0"/>
      </w:tblPr>
      <w:tblGrid>
        <w:gridCol w:w="9965"/>
      </w:tblGrid>
      <w:tr>
        <w:tc>
          <w:tcPr>
            <w:tcW w:type="dxa" w:w="9994"/>
            <w:shd w:fill="EAF3E6"/>
            <w:tcBorders>
              <w:top w:val="nil"/>
              <w:left w:val="single" w:sz="22" w:color="6A9D4C"/>
              <w:bottom w:val="nil"/>
              <w:right w:val="nil"/>
            </w:tcBorders>
            <w:tcMar>
              <w:top w:w="80" w:type="dxa"/>
              <w:start w:w="110" w:type="dxa"/>
              <w:bottom w:w="80" w:type="dxa"/>
              <w:end w:w="100" w:type="dxa"/>
            </w:tcMar>
          </w:tcPr>
          <w:p>
            <w:pPr>
              <w:spacing w:after="40"/>
            </w:pPr>
            <w:r>
              <w:rPr>
                <w:rFonts w:ascii="Arial" w:hAnsi="Arial"/>
                <w:b/>
                <w:color w:val="1D3357"/>
                <w:sz w:val="20"/>
              </w:rPr>
              <w:t>Citation convention</w:t>
            </w:r>
          </w:p>
          <w:p>
            <w:pPr>
              <w:spacing w:after="0"/>
            </w:pPr>
            <w:r>
              <w:rPr>
                <w:rFonts w:ascii="Arial" w:hAnsi="Arial"/>
                <w:color w:val="20242A"/>
                <w:sz w:val="18"/>
              </w:rPr>
              <w:t>Bracketed citations such as [2] refer to the numbered References block in Section 16. Clinical thresholds, population reference categories, and externally validated formulas carry adjacent citations. Sample-count gates, display thresholds, baseline-window choices, and UI rules that are not externally sourced are explicitly identified as Vitals engineering decisions.</w:t>
            </w:r>
          </w:p>
        </w:tc>
      </w:tr>
    </w:tbl>
    <w:p>
      <w:pPr>
        <w:spacing w:after="40"/>
        <w:ind w:left="86" w:hanging="14"/>
      </w:pPr>
      <w:r>
        <w:rPr>
          <w:rFonts w:ascii="Arial" w:hAnsi="Arial"/>
          <w:b/>
          <w:color w:val="0AA5B5"/>
          <w:sz w:val="19"/>
        </w:rPr>
        <w:t xml:space="preserve">• </w:t>
      </w:r>
      <w:r>
        <w:rPr>
          <w:rFonts w:ascii="Arial" w:hAnsi="Arial"/>
          <w:color w:val="20242A"/>
          <w:sz w:val="19"/>
        </w:rPr>
        <w:t>Separate observation from interpretation. Vitals may say "weight increased 5.2 lb over 7 days"; it should not infer fluid overload, nutritional deficiency, or medication causality from weight alone.</w:t>
      </w:r>
    </w:p>
    <w:p>
      <w:pPr>
        <w:spacing w:after="40"/>
        <w:ind w:left="86" w:hanging="14"/>
      </w:pPr>
      <w:r>
        <w:rPr>
          <w:rFonts w:ascii="Arial" w:hAnsi="Arial"/>
          <w:b/>
          <w:color w:val="0AA5B5"/>
          <w:sz w:val="19"/>
        </w:rPr>
        <w:t xml:space="preserve">• </w:t>
      </w:r>
      <w:r>
        <w:rPr>
          <w:rFonts w:ascii="Arial" w:hAnsi="Arial"/>
          <w:color w:val="20242A"/>
          <w:sz w:val="19"/>
        </w:rPr>
        <w:t>Use patient-specific and condition-specific rules where available. Heart-failure rapid-weight references must not become universal alerts for every patient. [7]</w:t>
      </w:r>
    </w:p>
    <w:p>
      <w:pPr>
        <w:spacing w:after="40"/>
        <w:ind w:left="86" w:hanging="14"/>
      </w:pPr>
      <w:r>
        <w:rPr>
          <w:rFonts w:ascii="Arial" w:hAnsi="Arial"/>
          <w:b/>
          <w:color w:val="0AA5B5"/>
          <w:sz w:val="19"/>
        </w:rPr>
        <w:t xml:space="preserve">• </w:t>
      </w:r>
      <w:r>
        <w:rPr>
          <w:rFonts w:ascii="Arial" w:hAnsi="Arial"/>
          <w:color w:val="20242A"/>
          <w:sz w:val="19"/>
        </w:rPr>
        <w:t>Adult BMI categories apply at age 20 and older; children and teens require age- and sex-specific BMI-for-age interpretation. [2][3]</w:t>
      </w:r>
    </w:p>
    <w:p>
      <w:pPr>
        <w:spacing w:after="40"/>
        <w:ind w:left="86" w:hanging="14"/>
      </w:pPr>
      <w:r>
        <w:rPr>
          <w:rFonts w:ascii="Arial" w:hAnsi="Arial"/>
          <w:b/>
          <w:color w:val="0AA5B5"/>
          <w:sz w:val="19"/>
        </w:rPr>
        <w:t xml:space="preserve">• </w:t>
      </w:r>
      <w:r>
        <w:rPr>
          <w:rFonts w:ascii="Arial" w:hAnsi="Arial"/>
          <w:color w:val="20242A"/>
          <w:sz w:val="19"/>
        </w:rPr>
        <w:t>For children younger than 2 years, BMI-for-age is not recommended; WHO weight-for-length/length-for-age methods are the appropriate pediatric growth framework if Vitals later supports that depth. [6]</w:t>
      </w:r>
    </w:p>
    <w:p>
      <w:pPr>
        <w:spacing w:after="40"/>
        <w:ind w:left="86" w:hanging="14"/>
      </w:pPr>
      <w:r>
        <w:rPr>
          <w:rFonts w:ascii="Arial" w:hAnsi="Arial"/>
          <w:b/>
          <w:color w:val="0AA5B5"/>
          <w:sz w:val="19"/>
        </w:rPr>
        <w:t xml:space="preserve">• </w:t>
      </w:r>
      <w:r>
        <w:rPr>
          <w:rFonts w:ascii="Arial" w:hAnsi="Arial"/>
          <w:color w:val="20242A"/>
          <w:sz w:val="19"/>
        </w:rPr>
        <w:t>Medication and cross-vital relationships are temporal associations, not causal findings.</w:t>
      </w:r>
    </w:p>
    <w:p>
      <w:pPr>
        <w:spacing w:after="40"/>
        <w:ind w:left="86" w:hanging="14"/>
      </w:pPr>
      <w:r>
        <w:rPr>
          <w:rFonts w:ascii="Arial" w:hAnsi="Arial"/>
          <w:b/>
          <w:color w:val="0AA5B5"/>
          <w:sz w:val="19"/>
        </w:rPr>
        <w:t xml:space="preserve">• </w:t>
      </w:r>
      <w:r>
        <w:rPr>
          <w:rFonts w:ascii="Arial" w:hAnsi="Arial"/>
          <w:color w:val="20242A"/>
          <w:sz w:val="19"/>
        </w:rPr>
        <w:t>Display precision must not exceed practical measurement precision. Weight may be stored at source precision; derived BMI should display one decimal place by default.</w:t>
      </w:r>
    </w:p>
    <w:p>
      <w:pPr>
        <w:spacing w:after="40"/>
        <w:ind w:left="86" w:hanging="14"/>
      </w:pPr>
      <w:r>
        <w:rPr>
          <w:rFonts w:ascii="Arial" w:hAnsi="Arial"/>
          <w:b/>
          <w:color w:val="0AA5B5"/>
          <w:sz w:val="19"/>
        </w:rPr>
        <w:t xml:space="preserve">• </w:t>
      </w:r>
      <w:r>
        <w:rPr>
          <w:rFonts w:ascii="Arial" w:hAnsi="Arial"/>
          <w:color w:val="20242A"/>
          <w:sz w:val="19"/>
        </w:rPr>
        <w:t>Preserve raw source values and units, but normalize weight to kilograms and height to centimeters internally for analysis.</w:t>
      </w:r>
    </w:p>
    <w:p>
      <w:pPr>
        <w:spacing w:before="160" w:after="100"/>
        <w:keepNext/>
        <w:pBdr>
          <w:bottom w:val="single" w:sz="12" w:space="3" w:color="0AA5B5"/>
        </w:pBdr>
      </w:pPr>
      <w:r>
        <w:rPr>
          <w:rFonts w:ascii="Arial" w:hAnsi="Arial"/>
          <w:b/>
          <w:color w:val="1D3357"/>
          <w:sz w:val="33"/>
        </w:rPr>
        <w:t>3. Onboarding and Patient-Profile Changes</w:t>
      </w:r>
    </w:p>
    <w:p>
      <w:pPr>
        <w:spacing w:after="100"/>
      </w:pPr>
      <w:r>
        <w:rPr>
          <w:rFonts w:ascii="Arial" w:hAnsi="Arial"/>
          <w:i w:val="0"/>
          <w:color w:val="20242A"/>
          <w:sz w:val="19"/>
        </w:rPr>
        <w:t>The current Phase 6 Patient Setup flow collects name, date of birth, and gender while the app already supports weight as an optional tracked vital. This specification adds height so that weight can be interpreted relative to body size. [1]</w:t>
      </w:r>
    </w:p>
    <w:p>
      <w:pPr>
        <w:spacing w:before="120" w:after="100"/>
        <w:keepNext/>
      </w:pPr>
      <w:r>
        <w:rPr>
          <w:rFonts w:ascii="Arial" w:hAnsi="Arial"/>
          <w:b/>
          <w:color w:val="1D3357"/>
          <w:sz w:val="25"/>
        </w:rPr>
        <w:t>3.1. Required onboarding behavior</w:t>
      </w:r>
    </w:p>
    <w:p>
      <w:pPr>
        <w:spacing w:after="40"/>
        <w:ind w:left="86" w:hanging="14"/>
      </w:pPr>
      <w:r>
        <w:rPr>
          <w:rFonts w:ascii="Arial" w:hAnsi="Arial"/>
          <w:b/>
          <w:color w:val="0AA5B5"/>
          <w:sz w:val="19"/>
        </w:rPr>
        <w:t xml:space="preserve">• </w:t>
      </w:r>
      <w:r>
        <w:rPr>
          <w:rFonts w:ascii="Arial" w:hAnsi="Arial"/>
          <w:color w:val="20242A"/>
          <w:sz w:val="19"/>
        </w:rPr>
        <w:t>When Weight is enabled during onboarding or later in Vital Preferences, prompt for current height if no usable height exists.</w:t>
      </w:r>
    </w:p>
    <w:p>
      <w:pPr>
        <w:spacing w:after="40"/>
        <w:ind w:left="86" w:hanging="14"/>
      </w:pPr>
      <w:r>
        <w:rPr>
          <w:rFonts w:ascii="Arial" w:hAnsi="Arial"/>
          <w:b/>
          <w:color w:val="0AA5B5"/>
          <w:sz w:val="19"/>
        </w:rPr>
        <w:t xml:space="preserve">• </w:t>
      </w:r>
      <w:r>
        <w:rPr>
          <w:rFonts w:ascii="Arial" w:hAnsi="Arial"/>
          <w:color w:val="20242A"/>
          <w:sz w:val="19"/>
        </w:rPr>
        <w:t>Support U.S. customary entry (feet + inches) and metric entry (centimeters). Normalize to centimeters in the backend.</w:t>
      </w:r>
    </w:p>
    <w:p>
      <w:pPr>
        <w:spacing w:after="40"/>
        <w:ind w:left="86" w:hanging="14"/>
      </w:pPr>
      <w:r>
        <w:rPr>
          <w:rFonts w:ascii="Arial" w:hAnsi="Arial"/>
          <w:b/>
          <w:color w:val="0AA5B5"/>
          <w:sz w:val="19"/>
        </w:rPr>
        <w:t xml:space="preserve">• </w:t>
      </w:r>
      <w:r>
        <w:rPr>
          <w:rFonts w:ascii="Arial" w:hAnsi="Arial"/>
          <w:color w:val="20242A"/>
          <w:sz w:val="19"/>
        </w:rPr>
        <w:t>Store height with a measured/effective date rather than as an undated scalar. For adults, the default date may be "today"; for pediatric patients, date is required for accurate longitudinal interpretation.</w:t>
      </w:r>
    </w:p>
    <w:p>
      <w:pPr>
        <w:spacing w:after="40"/>
        <w:ind w:left="86" w:hanging="14"/>
      </w:pPr>
      <w:r>
        <w:rPr>
          <w:rFonts w:ascii="Arial" w:hAnsi="Arial"/>
          <w:b/>
          <w:color w:val="0AA5B5"/>
          <w:sz w:val="19"/>
        </w:rPr>
        <w:t xml:space="preserve">• </w:t>
      </w:r>
      <w:r>
        <w:rPr>
          <w:rFonts w:ascii="Arial" w:hAnsi="Arial"/>
          <w:color w:val="20242A"/>
          <w:sz w:val="19"/>
        </w:rPr>
        <w:t>Allow height to be edited from Manage Patient / profile settings. Distinguish correcting a prior entry from recording a new measurement so historical BMI calculations are auditable.</w:t>
      </w:r>
    </w:p>
    <w:p>
      <w:pPr>
        <w:spacing w:after="40"/>
        <w:ind w:left="86" w:hanging="14"/>
      </w:pPr>
      <w:r>
        <w:rPr>
          <w:rFonts w:ascii="Arial" w:hAnsi="Arial"/>
          <w:b/>
          <w:color w:val="0AA5B5"/>
          <w:sz w:val="19"/>
        </w:rPr>
        <w:t xml:space="preserve">• </w:t>
      </w:r>
      <w:r>
        <w:rPr>
          <w:rFonts w:ascii="Arial" w:hAnsi="Arial"/>
          <w:color w:val="20242A"/>
          <w:sz w:val="19"/>
        </w:rPr>
        <w:t>Do not block weight entry if height is missing. Weight-only metrics remain available; BMI-dependent panels stay hidden with a clear reason.</w:t>
      </w:r>
    </w:p>
    <w:p>
      <w:pPr>
        <w:spacing w:after="40"/>
        <w:ind w:left="86" w:hanging="14"/>
      </w:pPr>
      <w:r>
        <w:rPr>
          <w:rFonts w:ascii="Arial" w:hAnsi="Arial"/>
          <w:b/>
          <w:color w:val="0AA5B5"/>
          <w:sz w:val="19"/>
        </w:rPr>
        <w:t xml:space="preserve">• </w:t>
      </w:r>
      <w:r>
        <w:rPr>
          <w:rFonts w:ascii="Arial" w:hAnsi="Arial"/>
          <w:color w:val="20242A"/>
          <w:sz w:val="19"/>
        </w:rPr>
        <w:t>If pediatric BMI-for-age is enabled, Vitals needs the CDC growth-chart reference sex used by the official sex-specific charts. Do not silently equate an existing free-form gender value with this technical growth-chart field. [3][4]</w:t>
      </w:r>
    </w:p>
    <w:p>
      <w:pPr>
        <w:spacing w:before="120" w:after="100"/>
        <w:keepNext/>
      </w:pPr>
      <w:r>
        <w:rPr>
          <w:rFonts w:ascii="Arial" w:hAnsi="Arial"/>
          <w:b/>
          <w:color w:val="1D3357"/>
          <w:sz w:val="25"/>
        </w:rPr>
        <w:t>3.2. Height resolution rule</w:t>
      </w:r>
    </w:p>
    <w:p>
      <w:pPr>
        <w:spacing w:after="100"/>
      </w:pPr>
      <w:r>
        <w:rPr>
          <w:rFonts w:ascii="Arial" w:hAnsi="Arial"/>
          <w:i w:val="0"/>
          <w:color w:val="20242A"/>
          <w:sz w:val="19"/>
        </w:rPr>
        <w:t>For each weight timestamp t, resolve the height measurement that is clinically/temporally appropriate. Proposed P0 rule: adults use the latest valid height on or before t; if no historical adult height exists, the current profile height may be used as a backfill with derivation metadata. Pediatric BMI should require a reasonably contemporaneous height record; the maximum allowable staleness is a Vitals engineering/configuration decision, not a CDC threshold.</w:t>
      </w:r>
    </w:p>
    <w:p>
      <w:pPr>
        <w:spacing w:before="160" w:after="100"/>
        <w:keepNext/>
        <w:pBdr>
          <w:bottom w:val="single" w:sz="12" w:space="3" w:color="0AA5B5"/>
        </w:pBdr>
      </w:pPr>
      <w:r>
        <w:rPr>
          <w:rFonts w:ascii="Arial" w:hAnsi="Arial"/>
          <w:b/>
          <w:color w:val="1D3357"/>
          <w:sz w:val="33"/>
        </w:rPr>
        <w:t>4. Priority Summary</w:t>
      </w:r>
    </w:p>
    <w:p>
      <w:pPr>
        <w:spacing w:after="100"/>
      </w:pPr>
      <w:r>
        <w:rPr>
          <w:rFonts w:ascii="Arial" w:hAnsi="Arial"/>
          <w:i w:val="0"/>
          <w:color w:val="20242A"/>
          <w:sz w:val="19"/>
        </w:rPr>
        <w:t>P0 sets are the launch/highest-priority weight analyses. P1 sets add condition-specific and pediatric interpretation. P2 items are deferred until connected scales or richer health-platform data justify them.</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Priority</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Analysis set</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Spot/manual</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Requires height</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Latest weight + context</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7/14/30/60-day central tendency</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Absolute + percent weight change</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Personal baseline deviation</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Weight velocity: OLS + LOESS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Adult BMI + BMI trajectory</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Configurable rapid-change events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P0</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Medication / cross-vital association</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P1</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Heart-failure weight-monitoring profile</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No</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P1</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Unintentional-loss screening context</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BMI helpful</w:t>
            </w:r>
          </w:p>
        </w:tc>
      </w:tr>
      <w:tr>
        <w:trPr>
          <w:cantSplit/>
        </w:trPr>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EAF3E6"/>
          </w:tcPr>
          <w:p>
            <w:pPr>
              <w:spacing w:after="0"/>
            </w:pPr>
            <w:r>
              <w:rPr>
                <w:rFonts w:ascii="Arial" w:hAnsi="Arial"/>
                <w:color w:val="20242A"/>
                <w:sz w:val="16"/>
              </w:rPr>
              <w:t>P1</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Pediatric BMI-for-age / growth</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c>
          <w:tcPr>
            <w:tcW w:type="dxa" w:w="2498"/>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Yes</w:t>
            </w:r>
          </w:p>
        </w:tc>
      </w:tr>
    </w:tbl>
    <w:p>
      <w:r>
        <w:br w:type="page"/>
      </w:r>
    </w:p>
    <w:p>
      <w:pPr>
        <w:spacing w:before="160" w:after="100"/>
        <w:keepNext/>
        <w:pBdr>
          <w:bottom w:val="single" w:sz="12" w:space="3" w:color="0AA5B5"/>
        </w:pBdr>
      </w:pPr>
      <w:r>
        <w:rPr>
          <w:rFonts w:ascii="Arial" w:hAnsi="Arial"/>
          <w:b/>
          <w:color w:val="1D3357"/>
          <w:sz w:val="33"/>
        </w:rPr>
        <w:t>5. Required Weight and Height Data Model</w:t>
      </w:r>
    </w:p>
    <w:p>
      <w:pPr>
        <w:spacing w:after="100"/>
      </w:pPr>
      <w:r>
        <w:rPr>
          <w:rFonts w:ascii="Arial" w:hAnsi="Arial"/>
          <w:i w:val="0"/>
          <w:color w:val="20242A"/>
          <w:sz w:val="19"/>
        </w:rPr>
        <w:t>The implementation should preserve raw observations while exposing a normalized analysis record. Suggested field names are illustrative; existing Vitals schema conventions should win.</w:t>
      </w:r>
    </w:p>
    <w:p>
      <w:pPr>
        <w:spacing w:before="120" w:after="100"/>
        <w:keepNext/>
      </w:pPr>
      <w:r>
        <w:rPr>
          <w:rFonts w:ascii="Arial" w:hAnsi="Arial"/>
          <w:b/>
          <w:color w:val="1D3357"/>
          <w:sz w:val="25"/>
        </w:rPr>
        <w:t>5.1. Weight observation</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Field</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weight_id; patient_id; measurement_event_id; timestamp_utc; local_date; weight_value_original; weight_unit_original; weight_kg_normalized; source; measurement_context; is_invalidated; notes.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Source examples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manual, connected_scale, AppleHealth/HealthKit, HealthConnect, imported_record.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Measurement context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morning, evening, fasting, nonfasting, unknown. P0 should not require these fields, but they improve comparability.</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Multiple same-day entries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Preserve all raw values. For trend/baseline calculations, use a daily representative weight (default: median of valid same-day readings) unless the user explicitly selects a specific reading. This is a Vitals engineering decision.</w:t>
            </w:r>
          </w:p>
        </w:tc>
      </w:tr>
    </w:tbl>
    <w:p>
      <w:pPr>
        <w:spacing w:before="120" w:after="100"/>
        <w:keepNext/>
      </w:pPr>
      <w:r>
        <w:rPr>
          <w:rFonts w:ascii="Arial" w:hAnsi="Arial"/>
          <w:b/>
          <w:color w:val="1D3357"/>
          <w:sz w:val="25"/>
        </w:rPr>
        <w:t>5.2. Height observation</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Field</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height_id; patient_id; measured_at/local_date; height_value_original; height_unit_original; height_cm_normalized; source; is_estimated; is_correction; notes.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Adult handling</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Height changes infrequently, but retain history so corrections/new measurements are traceable.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Pediatric handling</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Height/standing stature changes with growth and must be dated. BMI-for-age should resolve the height appropriate to the weight date.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Under age 2</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If a future infant module is built, use recumbent length/WHO growth standards rather than ordinary BMI-for-age. [6]</w:t>
            </w:r>
          </w:p>
        </w:tc>
      </w:tr>
    </w:tbl>
    <w:p>
      <w:pPr>
        <w:spacing w:before="120" w:after="100"/>
        <w:keepNext/>
      </w:pPr>
      <w:r>
        <w:rPr>
          <w:rFonts w:ascii="Arial" w:hAnsi="Arial"/>
          <w:b/>
          <w:color w:val="1D3357"/>
          <w:sz w:val="25"/>
        </w:rPr>
        <w:t>5.3. Patient analysis profile</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Field</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weight_target_optional; weight_change_intent = intentional | unintentional | unknown; condition_profiles[]; clinician_rules[]; preferred_display_unit; growth_chart_reference_sex (only when pediatric growth is enabled).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Rule precedence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Clinician-configured rule &gt; condition profile &gt; reference/default informational display &gt; no threshold.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Privacy / safety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Do not infer pregnancy, eating disorder status, edema, or body composition from weight/BMI data.</w:t>
            </w:r>
          </w:p>
        </w:tc>
      </w:tr>
    </w:tbl>
    <w:p>
      <w:pPr>
        <w:spacing w:before="160" w:after="100"/>
        <w:keepNext/>
        <w:pBdr>
          <w:bottom w:val="single" w:sz="12" w:space="3" w:color="0AA5B5"/>
        </w:pBdr>
      </w:pPr>
      <w:r>
        <w:rPr>
          <w:rFonts w:ascii="Arial" w:hAnsi="Arial"/>
          <w:b/>
          <w:color w:val="1D3357"/>
          <w:sz w:val="33"/>
        </w:rPr>
        <w:t>6. Mathematical Conventions</w:t>
      </w:r>
    </w:p>
    <w:p>
      <w:pPr>
        <w:spacing w:after="100"/>
      </w:pPr>
      <w:r>
        <w:rPr>
          <w:rFonts w:ascii="Arial" w:hAnsi="Arial"/>
          <w:i w:val="0"/>
          <w:color w:val="20242A"/>
          <w:sz w:val="19"/>
        </w:rPr>
        <w:t>Unless otherwise stated, W_i is weight in kilograms (or the consistently selected display unit for delta-only calculations), H is height in meters, and x_i is elapsed time in days from the start of the selected analysis window. Internal calculations use double precision; display rounding occurs after calculation.</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Unit normalization</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kg = lb / 2.2046226218.  lb = kg * 2.2046226218.  cm = inches * 2.54.  m = cm / 100.</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Daily representative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For local date d: W_d = median({valid weights recorded on d}). This reduces duplicate/replicate noise while preserving all raw entries. ENGINEERING DECISION.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Arithmetic mean</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W_bar = (1/n) * sum(W_i).</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Median</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Sort W_i. Odd n: middle value. Even n: arithmetic mean of the two middle values.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Range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min(W_i), max(W_i), and range = max(W_i) - min(W_i).</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Sample standard deviation</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 = sqrt( sum((W_i - W_bar)^2) / (n - 1) ). Use only for n &gt;= 2. [12]</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Interquartile range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IQR = Q3 - Q1. Use the same quantile convention server-side and in tests; document the library method.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Absolute change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Delta_W = W_end - W_start.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Percent change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Percent_Delta_W = 100 * (W_end - W_start) / W_start, provided W_start &gt; 0.</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Weight loss percent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Loss_% = 100 * (W_start - W_end) / W_start. Positive values indicate loss.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Adult BMI</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 weight_kg / height_m^2. U.S. display-equivalent: BMI = 703 * weight_lb / height_in^2. CDC defines BMI using kg/m^2. [2]</w:t>
            </w:r>
          </w:p>
        </w:tc>
      </w:tr>
    </w:tbl>
    <w:p>
      <w:pPr>
        <w:spacing w:before="120" w:after="100"/>
        <w:keepNext/>
      </w:pPr>
      <w:r>
        <w:rPr>
          <w:rFonts w:ascii="Arial" w:hAnsi="Arial"/>
          <w:b/>
          <w:color w:val="1D3357"/>
          <w:sz w:val="25"/>
        </w:rPr>
        <w:t>6.1. Ordinary least-squares trend</w:t>
      </w:r>
    </w:p>
    <w:p>
      <w:pPr>
        <w:spacing w:after="100"/>
      </w:pPr>
      <w:r>
        <w:rPr>
          <w:rFonts w:ascii="Arial" w:hAnsi="Arial"/>
          <w:i w:val="0"/>
          <w:color w:val="20242A"/>
          <w:sz w:val="19"/>
        </w:rPr>
        <w:t>Use OLS on daily representative weights for a linear change estimate. NIST defines straight-line least-squares estimators as follows. [10]</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Slope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beta_1 = sum((x_i - x_bar)(W_i - W_bar)) / sum((x_i - x_bar)^2). Units: kg/day or lb/day.</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Intercept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beta_0 = W_bar - beta_1 * x_bar.</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Display velocity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kg/week = beta_1 * 7. lb/week = beta_1_display_lb_per_day * 7. kg/30d = beta_1 * 30.</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Predicted trend</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W_hat_i = beta_0 + beta_1*x_i.</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R-squared</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R^2 = 1 - sum((W_i - W_hat_i)^2) / sum((W_i - W_bar)^2). R^2 is fit description, not clinical importance. [10]</w:t>
            </w:r>
          </w:p>
        </w:tc>
      </w:tr>
    </w:tbl>
    <w:p>
      <w:pPr>
        <w:spacing w:before="120" w:after="100"/>
        <w:keepNext/>
      </w:pPr>
      <w:r>
        <w:rPr>
          <w:rFonts w:ascii="Arial" w:hAnsi="Arial"/>
          <w:b/>
          <w:color w:val="1D3357"/>
          <w:sz w:val="25"/>
        </w:rPr>
        <w:t>6.2. LOESS smoothed trend</w:t>
      </w:r>
    </w:p>
    <w:p>
      <w:pPr>
        <w:spacing w:after="100"/>
      </w:pPr>
      <w:r>
        <w:rPr>
          <w:rFonts w:ascii="Arial" w:hAnsi="Arial"/>
          <w:i w:val="0"/>
          <w:color w:val="20242A"/>
          <w:sz w:val="19"/>
        </w:rPr>
        <w:t>LOESS is appropriate for visualization of non-linear weight trajectories and is already aligned with the Vitals clinical visualization strategy. NIST describes LOESS as locally weighted polynomial regression and the traditional tricube weight. [11]</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Local weight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For scaled distance u with |u| &lt; 1: w(u) = (1 - |u|^3)^3; otherwise w(u)=0. [11]</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Fit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At each evaluation x0, fit a local low-degree polynomial by weighted least squares using the nearest span fraction of observations; evaluate at x0.</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default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Start with local linear LOESS and a configurable span. Do not use the smoothed curve to invent unobserved rapid-change events.</w:t>
            </w:r>
          </w:p>
        </w:tc>
      </w:tr>
    </w:tbl>
    <w:p>
      <w:pPr>
        <w:spacing w:before="160" w:after="100"/>
        <w:keepNext/>
        <w:pBdr>
          <w:bottom w:val="single" w:sz="12" w:space="3" w:color="0AA5B5"/>
        </w:pBdr>
      </w:pPr>
      <w:r>
        <w:rPr>
          <w:rFonts w:ascii="Arial" w:hAnsi="Arial"/>
          <w:b/>
          <w:color w:val="1D3357"/>
          <w:sz w:val="33"/>
        </w:rPr>
        <w:t>7. P0 Analysis Sets - Weight Details View</w:t>
      </w:r>
    </w:p>
    <w:p>
      <w:pPr>
        <w:spacing w:after="100"/>
      </w:pPr>
      <w:r>
        <w:rPr>
          <w:rFonts w:ascii="Arial" w:hAnsi="Arial"/>
          <w:i w:val="0"/>
          <w:color w:val="20242A"/>
          <w:sz w:val="19"/>
        </w:rPr>
        <w:t>The following analysis sets should ship first. Proposed sample gates are Vitals engineering defaults for stable UI behavior and are not clinical diagnostic criteria.</w:t>
      </w:r>
    </w:p>
    <w:p>
      <w:pPr>
        <w:spacing w:before="120" w:after="100"/>
        <w:keepNext/>
      </w:pPr>
      <w:r>
        <w:rPr>
          <w:rFonts w:ascii="Arial" w:hAnsi="Arial"/>
          <w:b/>
          <w:color w:val="1D3357"/>
          <w:sz w:val="25"/>
        </w:rPr>
        <w:t>7.1. Snapshot and Anthropometric Context</w:t>
      </w:r>
    </w:p>
    <w:p>
      <w:pPr>
        <w:spacing w:after="60"/>
        <w:keepNext/>
      </w:pPr>
      <w:r>
        <w:rPr>
          <w:rFonts w:ascii="Arial" w:hAnsi="Arial"/>
          <w:b/>
          <w:color w:val="FFFFFF"/>
          <w:sz w:val="17"/>
          <w:shd w:fill="1D3357"/>
        </w:rPr>
        <w:t>P0 - Ship first</w:t>
      </w:r>
      <w:r>
        <w:rPr>
          <w:rFonts w:ascii="Arial" w:hAnsi="Arial"/>
          <w:b/>
          <w:color w:val="007A89"/>
          <w:sz w:val="17"/>
        </w:rPr>
        <w:t xml:space="preserve">   All weight sources</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Give the physician/user an immediate, traceable snapshot.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Latest valid weight; timestamp; source/context; resolved height if BMI is eligible.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Latest weight = most recent valid observation. Adult BMI uses Section 6 formula when age &gt;=20 and height exists. Pediatric interpretation follows Section 8.3.</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1 valid weight. BMI requires eligible age + height.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Latest weight, date/time, source/context, latest height/date, BMI or reason unavailable.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"198.4 lb on Sep 13, 2026; height 69 in; BMI 29.3 (adult screening category: overweight)." [2]</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category text must be age-gated. Never show adult category for a patient under 20.</w:t>
            </w:r>
          </w:p>
        </w:tc>
      </w:tr>
    </w:tbl>
    <w:p>
      <w:pPr>
        <w:spacing w:before="120" w:after="100"/>
        <w:keepNext/>
      </w:pPr>
      <w:r>
        <w:rPr>
          <w:rFonts w:ascii="Arial" w:hAnsi="Arial"/>
          <w:b/>
          <w:color w:val="1D3357"/>
          <w:sz w:val="25"/>
        </w:rPr>
        <w:t>7.2. Central Tendency and Observed Range</w:t>
      </w:r>
    </w:p>
    <w:p>
      <w:pPr>
        <w:spacing w:after="60"/>
        <w:keepNext/>
      </w:pPr>
      <w:r>
        <w:rPr>
          <w:rFonts w:ascii="Arial" w:hAnsi="Arial"/>
          <w:b/>
          <w:color w:val="FFFFFF"/>
          <w:sz w:val="17"/>
          <w:shd w:fill="1D3357"/>
        </w:rPr>
        <w:t>P0 - Ship first</w:t>
      </w:r>
      <w:r>
        <w:rPr>
          <w:rFonts w:ascii="Arial" w:hAnsi="Arial"/>
          <w:b/>
          <w:color w:val="007A89"/>
          <w:sz w:val="17"/>
        </w:rPr>
        <w:t xml:space="preserve">   7 / 14 / 30 / 60-day windows</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Summarize the patient's typical observed weight while reducing day-to-day noise.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Daily representative weights within selected window.</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Mean, median, min, max, range, sample SD, IQR per Section 6.</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Snapshot n&gt;=1; descriptive mean/median n&gt;=3 across &gt;=3 distinct days. ENGINEERING DECISION.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Mean, median, range, SD/IQR, n, distinct days.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"30-day median 201.2 lb (range 197.9-205.8; n=24 days)."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Prefer median as baseline anchor because it is robust to occasional outlier entries.</w:t>
            </w:r>
          </w:p>
        </w:tc>
      </w:tr>
    </w:tbl>
    <w:p>
      <w:pPr>
        <w:spacing w:before="120" w:after="100"/>
        <w:keepNext/>
      </w:pPr>
      <w:r>
        <w:rPr>
          <w:rFonts w:ascii="Arial" w:hAnsi="Arial"/>
          <w:b/>
          <w:color w:val="1D3357"/>
          <w:sz w:val="25"/>
        </w:rPr>
        <w:t>7.3. Absolute and Percentage Weight Change</w:t>
      </w:r>
    </w:p>
    <w:p>
      <w:pPr>
        <w:spacing w:after="60"/>
        <w:keepNext/>
      </w:pPr>
      <w:r>
        <w:rPr>
          <w:rFonts w:ascii="Arial" w:hAnsi="Arial"/>
          <w:b/>
          <w:color w:val="FFFFFF"/>
          <w:sz w:val="17"/>
          <w:shd w:fill="1D3357"/>
        </w:rPr>
        <w:t>P0 - Ship first</w:t>
      </w:r>
      <w:r>
        <w:rPr>
          <w:rFonts w:ascii="Arial" w:hAnsi="Arial"/>
          <w:b/>
          <w:color w:val="007A89"/>
          <w:sz w:val="17"/>
        </w:rPr>
        <w:t xml:space="preserve">   Comparable start/end observations</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Quantify magnitude of change in both physical units and relative terms.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Baseline/reference weight and recent/current weight.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Delta_W = W_recent - W_reference. Percent_Delta_W = 100 * Delta_W / W_reference.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At least 2 valid reference points on different dates; preferred baseline uses a multi-day median.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lb/kg change; percent change; dates/window.</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"Weight decreased 12.0 lb (5.0%) from the recorded baseline."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Do not label loss/gain as beneficial or harmful without clinical context.</w:t>
            </w:r>
          </w:p>
        </w:tc>
      </w:tr>
    </w:tbl>
    <w:p>
      <w:pPr>
        <w:spacing w:before="120" w:after="100"/>
        <w:keepNext/>
      </w:pPr>
      <w:r>
        <w:rPr>
          <w:rFonts w:ascii="Arial" w:hAnsi="Arial"/>
          <w:b/>
          <w:color w:val="1D3357"/>
          <w:sz w:val="25"/>
        </w:rPr>
        <w:t>7.4. Personal Baseline Deviation</w:t>
      </w:r>
    </w:p>
    <w:p>
      <w:pPr>
        <w:spacing w:after="60"/>
        <w:keepNext/>
      </w:pPr>
      <w:r>
        <w:rPr>
          <w:rFonts w:ascii="Arial" w:hAnsi="Arial"/>
          <w:b/>
          <w:color w:val="FFFFFF"/>
          <w:sz w:val="17"/>
          <w:shd w:fill="1D3357"/>
        </w:rPr>
        <w:t>P0 - Ship first</w:t>
      </w:r>
      <w:r>
        <w:rPr>
          <w:rFonts w:ascii="Arial" w:hAnsi="Arial"/>
          <w:b/>
          <w:color w:val="007A89"/>
          <w:sz w:val="17"/>
        </w:rPr>
        <w:t xml:space="preserve">   Longitudinal spot measurements</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Detect a meaningful departure from the patient's own stable pattern even when BMI category is unchanged.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Baseline window + recent window, each with daily representative weights.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 = median(weights in baseline window). R = median(weights in recent window). Delta_baseline = R - B. Percent_baseline = 100*(R-B)/B.</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Suggested baseline &gt;=7 distinct days spanning &gt;=14 days; recent &gt;=3 distinct days. ENGINEERING DECISION.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Baseline median, recent median, absolute/percent deviation.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"Recent median weight is 5.8 lb above the established 30-day baseline."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Baseline window should be versioned/configurable. Do not automatically reset baseline after every change.</w:t>
            </w:r>
          </w:p>
        </w:tc>
      </w:tr>
    </w:tbl>
    <w:p>
      <w:pPr>
        <w:spacing w:before="120" w:after="100"/>
        <w:keepNext/>
      </w:pPr>
      <w:r>
        <w:rPr>
          <w:rFonts w:ascii="Arial" w:hAnsi="Arial"/>
          <w:b/>
          <w:color w:val="1D3357"/>
          <w:sz w:val="25"/>
        </w:rPr>
        <w:t>7.5. Weight-Change Velocity: OLS</w:t>
      </w:r>
    </w:p>
    <w:p>
      <w:pPr>
        <w:spacing w:after="60"/>
        <w:keepNext/>
      </w:pPr>
      <w:r>
        <w:rPr>
          <w:rFonts w:ascii="Arial" w:hAnsi="Arial"/>
          <w:b/>
          <w:color w:val="FFFFFF"/>
          <w:sz w:val="17"/>
          <w:shd w:fill="1D3357"/>
        </w:rPr>
        <w:t>P0 - Ship first</w:t>
      </w:r>
      <w:r>
        <w:rPr>
          <w:rFonts w:ascii="Arial" w:hAnsi="Arial"/>
          <w:b/>
          <w:color w:val="007A89"/>
          <w:sz w:val="17"/>
        </w:rPr>
        <w:t xml:space="preserve">   Trend-qualified windows</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Provide an interpretable rate of change rather than relying only on endpoint subtraction.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Daily representative weights and timestamps.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OLS beta_1 per Section 6. Display beta_1*7 as lb/week or kg/week; optionally beta_1*30 for monthly windows.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Suggested n&gt;=5 distinct days spanning &gt;=7 days; stronger trend display n&gt;=7 spanning &gt;=14 days. ENGINEERING DECISION.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Slope, direction, R^2, n, span. Statistical p-value should remain optional/internal unless the shared engine is clinically reviewed for serial data.</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"30-day linear trend: -0.8 lb/week (R^2 0.61)."</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Weight observations are serial and can be autocorrelated. Do not translate an OLS p-value into "clinically significant."</w:t>
            </w:r>
          </w:p>
        </w:tc>
      </w:tr>
    </w:tbl>
    <w:p>
      <w:pPr>
        <w:spacing w:before="120" w:after="100"/>
        <w:keepNext/>
      </w:pPr>
      <w:r>
        <w:rPr>
          <w:rFonts w:ascii="Arial" w:hAnsi="Arial"/>
          <w:b/>
          <w:color w:val="1D3357"/>
          <w:sz w:val="25"/>
        </w:rPr>
        <w:t>7.6. LOESS Weight Trajectory</w:t>
      </w:r>
    </w:p>
    <w:p>
      <w:pPr>
        <w:spacing w:after="60"/>
        <w:keepNext/>
      </w:pPr>
      <w:r>
        <w:rPr>
          <w:rFonts w:ascii="Arial" w:hAnsi="Arial"/>
          <w:b/>
          <w:color w:val="FFFFFF"/>
          <w:sz w:val="17"/>
          <w:shd w:fill="1D3357"/>
        </w:rPr>
        <w:t>P0 - Ship first</w:t>
      </w:r>
      <w:r>
        <w:rPr>
          <w:rFonts w:ascii="Arial" w:hAnsi="Arial"/>
          <w:b/>
          <w:color w:val="007A89"/>
          <w:sz w:val="17"/>
        </w:rPr>
        <w:t xml:space="preserve">   Visualization</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Show non-linear trajectories such as plateaus, reversals, or gradual changes without forcing a straight line.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Trend-qualified daily representative weights.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LOESS per Section 6.2; overlay raw/daily representative points.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Suggested n&gt;=7 distinct days; otherwise show raw line/scatter only. ENGINEERING DECISION.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Smoothed curve + raw points; no causal label.</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"Weight declined through late August and then stabilized."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Plain-language summary should be derived from stable curve segments with conservative thresholds and tested against deterministic datasets.</w:t>
            </w:r>
          </w:p>
        </w:tc>
      </w:tr>
    </w:tbl>
    <w:p>
      <w:pPr>
        <w:spacing w:before="120" w:after="100"/>
        <w:keepNext/>
      </w:pPr>
      <w:r>
        <w:rPr>
          <w:rFonts w:ascii="Arial" w:hAnsi="Arial"/>
          <w:b/>
          <w:color w:val="1D3357"/>
          <w:sz w:val="25"/>
        </w:rPr>
        <w:t>7.7. Adult BMI and Screening Category</w:t>
      </w:r>
    </w:p>
    <w:p>
      <w:pPr>
        <w:spacing w:after="60"/>
        <w:keepNext/>
      </w:pPr>
      <w:r>
        <w:rPr>
          <w:rFonts w:ascii="Arial" w:hAnsi="Arial"/>
          <w:b/>
          <w:color w:val="FFFFFF"/>
          <w:sz w:val="17"/>
          <w:shd w:fill="1D3357"/>
        </w:rPr>
        <w:t>P0 - Ship first</w:t>
      </w:r>
      <w:r>
        <w:rPr>
          <w:rFonts w:ascii="Arial" w:hAnsi="Arial"/>
          <w:b/>
          <w:color w:val="007A89"/>
          <w:sz w:val="17"/>
        </w:rPr>
        <w:t xml:space="preserve">   Age &gt;=20 + valid height</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Place adult weight in height-relative screening context.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Current weight; resolved height; age on weight date.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 kg/m^2. CDC adult categories: &lt;18.5 underweight; 18.5-&lt;25 healthy weight; 25-&lt;30 overweight; &gt;=30 obesity; Class 1 30-&lt;35; Class 2 35-&lt;40; Class 3 &gt;=40. [2]</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Age &gt;=20; height &gt;0; valid weight. Hide category when BMI interpretation is explicitly disabled by clinical context.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one decimal; category; height/date used.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29.3 kg/m^2 (overweight screening category)."</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Use person-first language in narrative. BMI is screening context, not body-fat measurement or diagnosis. [2]</w:t>
            </w:r>
          </w:p>
        </w:tc>
      </w:tr>
    </w:tbl>
    <w:p>
      <w:pPr>
        <w:spacing w:before="120" w:after="100"/>
        <w:keepNext/>
      </w:pPr>
      <w:r>
        <w:rPr>
          <w:rFonts w:ascii="Arial" w:hAnsi="Arial"/>
          <w:b/>
          <w:color w:val="1D3357"/>
          <w:sz w:val="25"/>
        </w:rPr>
        <w:t>7.8. BMI Trajectory</w:t>
      </w:r>
    </w:p>
    <w:p>
      <w:pPr>
        <w:spacing w:after="60"/>
        <w:keepNext/>
      </w:pPr>
      <w:r>
        <w:rPr>
          <w:rFonts w:ascii="Arial" w:hAnsi="Arial"/>
          <w:b/>
          <w:color w:val="FFFFFF"/>
          <w:sz w:val="17"/>
          <w:shd w:fill="1D3357"/>
        </w:rPr>
        <w:t>P0 - Ship first</w:t>
      </w:r>
      <w:r>
        <w:rPr>
          <w:rFonts w:ascii="Arial" w:hAnsi="Arial"/>
          <w:b/>
          <w:color w:val="007A89"/>
          <w:sz w:val="17"/>
        </w:rPr>
        <w:t xml:space="preserve">   Adult height-enabled longitudinal</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Show whether height-adjusted body-size screening metric has changed over time.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Historical weights + resolved height per date.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BMI_i = W_i/H_i^2. Delta_BMI = BMI_recent - BMI_reference. Percent_Delta_BMI = 100*Delta_BMI/BMI_reference.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At least 2 eligible dated BMI observations; trend preferred &gt;=5 distinct days.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Current BMI, prior/baseline BMI, delta, category transitions with dates.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decreased from 32.1 to 29.3 over 6 months."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Do not infer that a category transition alone proves improved health status.</w:t>
            </w:r>
          </w:p>
        </w:tc>
      </w:tr>
    </w:tbl>
    <w:p>
      <w:pPr>
        <w:spacing w:before="120" w:after="100"/>
        <w:keepNext/>
      </w:pPr>
      <w:r>
        <w:rPr>
          <w:rFonts w:ascii="Arial" w:hAnsi="Arial"/>
          <w:b/>
          <w:color w:val="1D3357"/>
          <w:sz w:val="25"/>
        </w:rPr>
        <w:t>7.9. Configurable Rapid Weight-Change Events</w:t>
      </w:r>
    </w:p>
    <w:p>
      <w:pPr>
        <w:spacing w:after="60"/>
        <w:keepNext/>
      </w:pPr>
      <w:r>
        <w:rPr>
          <w:rFonts w:ascii="Arial" w:hAnsi="Arial"/>
          <w:b/>
          <w:color w:val="FFFFFF"/>
          <w:sz w:val="17"/>
          <w:shd w:fill="1D3357"/>
        </w:rPr>
        <w:t>P0 - Ship first</w:t>
      </w:r>
      <w:r>
        <w:rPr>
          <w:rFonts w:ascii="Arial" w:hAnsi="Arial"/>
          <w:b/>
          <w:color w:val="007A89"/>
          <w:sz w:val="17"/>
        </w:rPr>
        <w:t xml:space="preserve">   Generic engine; no universal threshold</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Detect abrupt gain/loss patterns when a clinician or condition profile supplies a rule.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Daily representative weights; rule: direction, delta threshold, lookback duration, confirmation/consecutive-day requirements.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Delta_W(h) = W_current - W_reference_at_or_near(t-h). Event = rule_predicate(Delta_W, elapsed_time, confirmations).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Rule must be explicitly configured or activated by an approved condition profile.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Observed delta, elapsed time, matched rule, source of rule.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"Weight increased 5.2 lb over 7 days; this meets the configured heart-failure monitoring rule."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Do not hard-code a universal "rapid gain" threshold. Heart-failure references are condition-specific; see Section 8.1. [7]</w:t>
            </w:r>
          </w:p>
        </w:tc>
      </w:tr>
    </w:tbl>
    <w:p>
      <w:pPr>
        <w:spacing w:before="120" w:after="100"/>
        <w:keepNext/>
      </w:pPr>
      <w:r>
        <w:rPr>
          <w:rFonts w:ascii="Arial" w:hAnsi="Arial"/>
          <w:b/>
          <w:color w:val="1D3357"/>
          <w:sz w:val="25"/>
        </w:rPr>
        <w:t>7.10. Medication-Change Association</w:t>
      </w:r>
    </w:p>
    <w:p>
      <w:pPr>
        <w:spacing w:after="60"/>
        <w:keepNext/>
      </w:pPr>
      <w:r>
        <w:rPr>
          <w:rFonts w:ascii="Arial" w:hAnsi="Arial"/>
          <w:b/>
          <w:color w:val="FFFFFF"/>
          <w:sz w:val="17"/>
          <w:shd w:fill="1D3357"/>
        </w:rPr>
        <w:t>P0 - Ship first</w:t>
      </w:r>
      <w:r>
        <w:rPr>
          <w:rFonts w:ascii="Arial" w:hAnsi="Arial"/>
          <w:b/>
          <w:color w:val="007A89"/>
          <w:sz w:val="17"/>
        </w:rPr>
        <w:t xml:space="preserve">   Medication history + weight</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Make temporal weight changes around medication starts/stops/dose changes easy to review.</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Medication event date; pre-window weights; post-window weights.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Pre = median/mean qualified pre-window weight. Post = median/mean qualified post-window weight. Delta_med = Post - Pre. Percent_Delta_med = 100*Delta_med/Pre.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Suggested &gt;=3 distinct days in each window; windows configurable (e.g., 14/30 days). ENGINEERING DECISION.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Medication event, pre/post summaries, absolute/percent difference, sample support.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"Median weight was 8.7 lb lower during the 30 days after the recorded medication change than during the 30 days before."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Use "following/after" language only. Never state that the medication caused the change.</w:t>
            </w:r>
          </w:p>
        </w:tc>
      </w:tr>
    </w:tbl>
    <w:p>
      <w:pPr>
        <w:spacing w:before="120" w:after="100"/>
        <w:keepNext/>
      </w:pPr>
      <w:r>
        <w:rPr>
          <w:rFonts w:ascii="Arial" w:hAnsi="Arial"/>
          <w:b/>
          <w:color w:val="1D3357"/>
          <w:sz w:val="25"/>
        </w:rPr>
        <w:t>7.11. Cross-Vital Same-Period Context</w:t>
      </w:r>
    </w:p>
    <w:p>
      <w:pPr>
        <w:spacing w:after="60"/>
        <w:keepNext/>
      </w:pPr>
      <w:r>
        <w:rPr>
          <w:rFonts w:ascii="Arial" w:hAnsi="Arial"/>
          <w:b/>
          <w:color w:val="FFFFFF"/>
          <w:sz w:val="17"/>
          <w:shd w:fill="1D3357"/>
        </w:rPr>
        <w:t>P0 - Ship first</w:t>
      </w:r>
      <w:r>
        <w:rPr>
          <w:rFonts w:ascii="Arial" w:hAnsi="Arial"/>
          <w:b/>
          <w:color w:val="007A89"/>
          <w:sz w:val="17"/>
        </w:rPr>
        <w:t xml:space="preserve">   Weight + BP / HR / glucose / SpO2</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Give physicians a compact picture of what else changed during the same interval.</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Weight window plus eligible summaries for other tracked metrics.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Report concurrent deltas from each metric's own analysis strategy. Optional physician/research correlation when matched pairs are sufficient: r = sum((x-xbar)(y-ybar))/sqrt(sum((x-xbar)^2)*sum((y-ybar)^2)).</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Concurrent summary: both metrics supported. Correlation: suggested &gt;=10 paired dates and adequate span; ENGINEERING DECISION.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Side-by-side changes; optional r with n and pairing method.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"During the interval in which weight decreased 8.2 lb, average systolic BP decreased 7 mmHg and fasting glucose decreased 11 mg/dL."</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Correlation is not causation; do not combine incompatible measurement contexts.</w:t>
            </w:r>
          </w:p>
        </w:tc>
      </w:tr>
    </w:tbl>
    <w:p>
      <w:pPr>
        <w:spacing w:before="120" w:after="100"/>
        <w:keepNext/>
      </w:pPr>
      <w:r>
        <w:rPr>
          <w:rFonts w:ascii="Arial" w:hAnsi="Arial"/>
          <w:b/>
          <w:color w:val="1D3357"/>
          <w:sz w:val="25"/>
        </w:rPr>
        <w:t>7.12. Data Support and Measurement Consistency</w:t>
      </w:r>
    </w:p>
    <w:p>
      <w:pPr>
        <w:spacing w:after="60"/>
        <w:keepNext/>
      </w:pPr>
      <w:r>
        <w:rPr>
          <w:rFonts w:ascii="Arial" w:hAnsi="Arial"/>
          <w:b/>
          <w:color w:val="FFFFFF"/>
          <w:sz w:val="17"/>
          <w:shd w:fill="1D3357"/>
        </w:rPr>
        <w:t>P0 - Ship first</w:t>
      </w:r>
      <w:r>
        <w:rPr>
          <w:rFonts w:ascii="Arial" w:hAnsi="Arial"/>
          <w:b/>
          <w:color w:val="007A89"/>
          <w:sz w:val="17"/>
        </w:rPr>
        <w:t xml:space="preserve">   All weight datasets</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Prevent sparse or inconsistent data from producing authoritative-looking analysis.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Eligible reading count, distinct local dates, observed span, selected-window length, time-of-day/context metadata.</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Distinct-day coverage = 100*(# distinct local dates with &gt;=1 valid weight)/(# calendar days in window). Observed span = max(timestamp)-min(timestamp).</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Every analysis set declares its own n/span gate. Gates in this specification are engineering defaults, not clinical standards.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n, distinct days, coverage, observed span, unavailable analyses/reasons.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"30-day summary uses 22 daily representative weights across 24 observed days."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Engineering notes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Encourage consistent measurement conditions. AHA heart-failure self-monitoring guidance recommends same-time morning weights, after urination and before breakfast, using the same scale; use this as education for relevant profiles, not as a universal validity requirement. [7]</w:t>
            </w:r>
          </w:p>
        </w:tc>
      </w:tr>
    </w:tbl>
    <w:p>
      <w:r>
        <w:br w:type="page"/>
      </w:r>
    </w:p>
    <w:p>
      <w:pPr>
        <w:spacing w:before="160" w:after="100"/>
        <w:keepNext/>
        <w:pBdr>
          <w:bottom w:val="single" w:sz="12" w:space="3" w:color="0AA5B5"/>
        </w:pBdr>
      </w:pPr>
      <w:r>
        <w:rPr>
          <w:rFonts w:ascii="Arial" w:hAnsi="Arial"/>
          <w:b/>
          <w:color w:val="1D3357"/>
          <w:sz w:val="33"/>
        </w:rPr>
        <w:t>8. P1 Contextual Clinical Analysis</w:t>
      </w:r>
    </w:p>
    <w:p>
      <w:pPr>
        <w:spacing w:after="100"/>
      </w:pPr>
      <w:r>
        <w:rPr>
          <w:rFonts w:ascii="Arial" w:hAnsi="Arial"/>
          <w:i w:val="0"/>
          <w:color w:val="20242A"/>
          <w:sz w:val="19"/>
        </w:rPr>
        <w:t>These sets are clinically useful but require additional context or external reference data. They should be implemented behind capability/profile gates so ordinary weight tracking remains simple.</w:t>
      </w:r>
    </w:p>
    <w:p>
      <w:pPr>
        <w:spacing w:before="120" w:after="100"/>
        <w:keepNext/>
      </w:pPr>
      <w:r>
        <w:rPr>
          <w:rFonts w:ascii="Arial" w:hAnsi="Arial"/>
          <w:b/>
          <w:color w:val="1D3357"/>
          <w:sz w:val="25"/>
        </w:rPr>
        <w:t>8.1. Heart-Failure Weight-Monitoring Profile</w:t>
      </w:r>
    </w:p>
    <w:p>
      <w:pPr>
        <w:spacing w:after="60"/>
        <w:keepNext/>
      </w:pPr>
      <w:r>
        <w:rPr>
          <w:rFonts w:ascii="Arial" w:hAnsi="Arial"/>
          <w:b/>
          <w:color w:val="FFFFFF"/>
          <w:sz w:val="17"/>
          <w:shd w:fill="1D3357"/>
        </w:rPr>
        <w:t>P1 - Condition profile</w:t>
      </w:r>
      <w:r>
        <w:rPr>
          <w:rFonts w:ascii="Arial" w:hAnsi="Arial"/>
          <w:b/>
          <w:color w:val="007A89"/>
          <w:sz w:val="17"/>
        </w:rPr>
        <w:t xml:space="preserve">   Heart failure / clinician enabled</w:t>
      </w:r>
    </w:p>
    <w:p>
      <w:pPr>
        <w:spacing w:after="100"/>
      </w:pPr>
      <w:r>
        <w:rPr>
          <w:rFonts w:ascii="Arial" w:hAnsi="Arial"/>
          <w:i w:val="0"/>
          <w:color w:val="20242A"/>
          <w:sz w:val="19"/>
        </w:rPr>
        <w:t>American Heart Association heart-failure guidance emphasizes daily weight monitoring and notes reporting gains such as 2-3 lb in a day for several days in a row or 5 lb or more in a week, while also telling patients to follow the amount specified by their healthcare team. [7]</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Surface rapid weight gain that may be relevant to a known heart-failure care plan without applying it to everyone.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Condition profile or clinician-enabled rule; daily representative weights; optional symptom/vital context.</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Delta_1d = W_today - W_prior_day_rep. Delta_7d = W_today - W_reference_approximately_7d. Apply configurable rule thresholds and consecutive-day logic.</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Default policy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Do not silently enable a numeric alert for all patients. Store AHA language as reference guidance; clinician-configured thresholds override. [7]</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Daily/weekly gain, matched rule, symptom/BP/SpO2 context when available.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"7-day gain: +5.4 lb; meets the configured heart-failure weight-change rule."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Safety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Do not label the pattern as fluid overload or decompensated heart failure.</w:t>
            </w:r>
          </w:p>
        </w:tc>
      </w:tr>
    </w:tbl>
    <w:p>
      <w:pPr>
        <w:spacing w:before="120" w:after="100"/>
        <w:keepNext/>
      </w:pPr>
      <w:r>
        <w:rPr>
          <w:rFonts w:ascii="Arial" w:hAnsi="Arial"/>
          <w:b/>
          <w:color w:val="1D3357"/>
          <w:sz w:val="25"/>
        </w:rPr>
        <w:t>8.2. Unintentional Weight-Loss Screening Context</w:t>
      </w:r>
    </w:p>
    <w:p>
      <w:pPr>
        <w:spacing w:after="60"/>
        <w:keepNext/>
      </w:pPr>
      <w:r>
        <w:rPr>
          <w:rFonts w:ascii="Arial" w:hAnsi="Arial"/>
          <w:b/>
          <w:color w:val="FFFFFF"/>
          <w:sz w:val="17"/>
          <w:shd w:fill="1D3357"/>
        </w:rPr>
        <w:t>P1 - Context gated</w:t>
      </w:r>
      <w:r>
        <w:rPr>
          <w:rFonts w:ascii="Arial" w:hAnsi="Arial"/>
          <w:b/>
          <w:color w:val="007A89"/>
          <w:sz w:val="17"/>
        </w:rPr>
        <w:t xml:space="preserve">   Adults + intent known</w:t>
      </w:r>
    </w:p>
    <w:p>
      <w:pPr>
        <w:spacing w:after="100"/>
      </w:pPr>
      <w:r>
        <w:rPr>
          <w:rFonts w:ascii="Arial" w:hAnsi="Arial"/>
          <w:i w:val="0"/>
          <w:color w:val="20242A"/>
          <w:sz w:val="19"/>
        </w:rPr>
        <w:t>Weight loss becomes much more interpretable when the patient or clinician indicates that it was unintentional. NICE nutrition-support guidance incorporates BMI and percentage unintentional weight loss over 3-6 months; Merck also notes &gt;5% body-weight loss over 6 months as a traditional threshold for clinically important involuntary weight loss. [8][9]</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Purpose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Help physicians notice substantial unintentional loss without diagnosing malnutrition or its cause.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Required inputs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Reference weight/date; recent weight/date; weight_change_intent=unintentional; adult BMI when available.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Calculation / formulas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Loss_% = 100*(W_reference-W_recent)/W_reference. Elapsed months from timestamps.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Reference criteria</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NICE: nutrition support consideration includes BMI &lt;18.5; unintentional loss &gt;10% in 3-6 months; or BMI &lt;20 with unintentional loss &gt;5% in 3-6 months. [8]</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Percent loss, elapsed period, BMI if available, "meets referenced screening criterion" flag.</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Physician-facing example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"Unintentional weight loss recorded: 10.4% over 4.2 months; this meets a NICE nutrition-support screening criterion for clinician review." [8]</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Safety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Do not diagnose malnutrition, cancer, eating disorder, or any cause. Do not show the screening flag when intent is unknown unless a clinician explicitly enables it.</w:t>
            </w:r>
          </w:p>
        </w:tc>
      </w:tr>
    </w:tbl>
    <w:p>
      <w:pPr>
        <w:spacing w:before="120" w:after="100"/>
        <w:keepNext/>
      </w:pPr>
      <w:r>
        <w:rPr>
          <w:rFonts w:ascii="Arial" w:hAnsi="Arial"/>
          <w:b/>
          <w:color w:val="1D3357"/>
          <w:sz w:val="25"/>
        </w:rPr>
        <w:t>8.3. Pediatric BMI-for-Age and Growth</w:t>
      </w:r>
    </w:p>
    <w:p>
      <w:pPr>
        <w:spacing w:after="60"/>
        <w:keepNext/>
      </w:pPr>
      <w:r>
        <w:rPr>
          <w:rFonts w:ascii="Arial" w:hAnsi="Arial"/>
          <w:b/>
          <w:color w:val="FFFFFF"/>
          <w:sz w:val="17"/>
          <w:shd w:fill="1D3357"/>
        </w:rPr>
        <w:t>P1 - Pediatric gated</w:t>
      </w:r>
      <w:r>
        <w:rPr>
          <w:rFonts w:ascii="Arial" w:hAnsi="Arial"/>
          <w:b/>
          <w:color w:val="007A89"/>
          <w:sz w:val="17"/>
        </w:rPr>
        <w:t xml:space="preserve">   Age 2 to &lt;20 + dated height + growth-chart reference sex</w:t>
      </w:r>
    </w:p>
    <w:p>
      <w:pPr>
        <w:spacing w:after="100"/>
      </w:pPr>
      <w:r>
        <w:rPr>
          <w:rFonts w:ascii="Arial" w:hAnsi="Arial"/>
          <w:i w:val="0"/>
          <w:color w:val="20242A"/>
          <w:sz w:val="19"/>
        </w:rPr>
        <w:t>CDC recommends BMI-for-age for children and adolescents age 2 through 19, using sex- and age-specific percentiles. Standard categories are &lt;5th percentile underweight, 5th-&lt;85th healthy weight, 85th-&lt;95th overweight, &gt;=95th obesity; severe obesity is &gt;=120% of the 95th percentile or BMI &gt;=35 kg/m^2. [3] For very high BMI above the 97th percentile, CDC recommends the 2022 Extended BMI-for-Age Growth Charts. [5]</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BMI</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 weight_kg / height_m^2.</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LMS z-score, standard CDC chart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Given age/sex-specific L, M, S and BMI X: if L != 0, z = ((X/M)^L - 1)/(L*S); if L = 0, z = ln(X/M)/S. Percentile = 100*Phi(z). CDC provides LMS tables and official implementation resources. [4]</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95th-percent reference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Percent_of_95th = 100 * BMI / BMI_95(age, reference_sex). Used for severe-obesity threshold logic; percentile display above the 97th should use CDC extended charts/algorithm rather than extrapolating the 2000 chart. [3][5]</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Age handling</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Use exact date of birth and measurement date with the official CDC implementation/tables. Do not approximate age by calendar years for percentile lookup.</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Activation gate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Age &gt;=2 and &lt;20; valid dated weight + height; growth-chart reference sex available; official CDC reference data version installed.</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Analysis output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BMI-for-age percentile, category, height/weight dates, growth-chart version/reference.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Under age 2</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Suppress BMI-for-age interpretation. CDC recommends WHO growth standards and notes BMI-for-age is not recommended under age 2. [6]</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Safety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Growth charts are screening/reference tools, not sole diagnostic instruments. Preserve a clinician-review posture. [5]</w:t>
            </w:r>
          </w:p>
        </w:tc>
      </w:tr>
    </w:tbl>
    <w:p>
      <w:pPr>
        <w:spacing w:before="160" w:after="100"/>
        <w:keepNext/>
        <w:pBdr>
          <w:bottom w:val="single" w:sz="12" w:space="3" w:color="0AA5B5"/>
        </w:pBdr>
      </w:pPr>
      <w:r>
        <w:rPr>
          <w:rFonts w:ascii="Arial" w:hAnsi="Arial"/>
          <w:b/>
          <w:color w:val="1D3357"/>
          <w:sz w:val="33"/>
        </w:rPr>
        <w:t>9. Weight Details View - Recommended Information Architecture</w:t>
      </w:r>
    </w:p>
    <w:p>
      <w:pPr>
        <w:spacing w:after="100"/>
      </w:pPr>
      <w:r>
        <w:rPr>
          <w:rFonts w:ascii="Arial" w:hAnsi="Arial"/>
          <w:i w:val="0"/>
          <w:color w:val="20242A"/>
          <w:sz w:val="19"/>
        </w:rPr>
        <w:t>The UI should progressively disclose only the panels supported by the patient's age, profile, height availability, and data density. No disabled "coming soon" tiles are required.</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Panel</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Primary content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Activation</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Snapshot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Latest weight, timestamp, context/source, height, BMI/percentile when eligible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&gt;=1 weight</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Trend</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Raw/daily representative points + LOESS; selectable 7/14/30/60/90d</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Trend gate</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Change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Absolute change, percent change, baseline deviation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Reference + recent support</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Velocity</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lb/week or kg/week + R^2</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OLS gate</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BMI</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Current adult BMI/category + BMI trajectory</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Age &gt;=20 + height</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Pediatric growth</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BMI-for-age percentile/category + chart version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Age 2-&lt;20 + pediatric inputs</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Events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Configured rapid gains/losses and rule source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Rule/profile configured</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Medication timeline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Pre/post weight summaries around medication events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Medication + support</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Cross-vital context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Concurrent BP/HR/glucose/SpO2 changes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Other metrics supported</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Data support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 days, span, coverage, measurement consistency note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Always</w:t>
            </w:r>
          </w:p>
        </w:tc>
      </w:tr>
    </w:tbl>
    <w:p>
      <w:pPr>
        <w:spacing w:before="120" w:after="100"/>
        <w:keepNext/>
      </w:pPr>
      <w:r>
        <w:rPr>
          <w:rFonts w:ascii="Arial" w:hAnsi="Arial"/>
          <w:b/>
          <w:color w:val="1D3357"/>
          <w:sz w:val="25"/>
        </w:rPr>
        <w:t>9.1. Example adult Details view copy</w:t>
      </w:r>
    </w:p>
    <w:tbl>
      <w:tblPr>
        <w:tblW w:type="auto" w:w="0"/>
        <w:jc w:val="center"/>
        <w:tblLayout w:type="fixed"/>
        <w:tblLook w:firstColumn="1" w:firstRow="1" w:lastColumn="0" w:lastRow="0" w:noHBand="0" w:noVBand="1" w:val="04A0"/>
      </w:tblPr>
      <w:tblGrid>
        <w:gridCol w:w="9965"/>
      </w:tblGrid>
      <w:tr>
        <w:tc>
          <w:tcPr>
            <w:tcW w:type="dxa" w:w="9994"/>
            <w:shd w:fill="EDF4F7"/>
            <w:tcBorders>
              <w:top w:val="nil"/>
              <w:left w:val="single" w:sz="22" w:color="0AA5B5"/>
              <w:bottom w:val="nil"/>
              <w:right w:val="nil"/>
            </w:tcBorders>
            <w:tcMar>
              <w:top w:w="80" w:type="dxa"/>
              <w:start w:w="110" w:type="dxa"/>
              <w:bottom w:w="80" w:type="dxa"/>
              <w:end w:w="100" w:type="dxa"/>
            </w:tcMar>
          </w:tcPr>
          <w:p>
            <w:pPr>
              <w:spacing w:after="40"/>
            </w:pPr>
            <w:r>
              <w:rPr>
                <w:rFonts w:ascii="Arial" w:hAnsi="Arial"/>
                <w:b/>
                <w:color w:val="1D3357"/>
                <w:sz w:val="20"/>
              </w:rPr>
              <w:t>Weight summary - 30 days</w:t>
            </w:r>
          </w:p>
          <w:p>
            <w:pPr>
              <w:spacing w:after="0"/>
            </w:pPr>
            <w:r>
              <w:rPr>
                <w:rFonts w:ascii="Arial" w:hAnsi="Arial"/>
                <w:color w:val="20242A"/>
                <w:sz w:val="18"/>
              </w:rPr>
              <w:t>Current: 198.4 lb | 30-day median: 201.2 lb | Change from baseline: -8.6 lb (-4.2%) | Linear trend: -0.8 lb/week | BMI: 29.3 (adult screening category: overweight). BMI is a screening measure and should be interpreted with other health information. [2]</w:t>
            </w:r>
          </w:p>
        </w:tc>
      </w:tr>
    </w:tbl>
    <w:p>
      <w:pPr>
        <w:spacing w:before="120" w:after="100"/>
        <w:keepNext/>
      </w:pPr>
      <w:r>
        <w:rPr>
          <w:rFonts w:ascii="Arial" w:hAnsi="Arial"/>
          <w:b/>
          <w:color w:val="1D3357"/>
          <w:sz w:val="25"/>
        </w:rPr>
        <w:t>9.2. Example pediatric Details view copy</w:t>
      </w:r>
    </w:p>
    <w:tbl>
      <w:tblPr>
        <w:tblW w:type="auto" w:w="0"/>
        <w:jc w:val="center"/>
        <w:tblLayout w:type="fixed"/>
        <w:tblLook w:firstColumn="1" w:firstRow="1" w:lastColumn="0" w:lastRow="0" w:noHBand="0" w:noVBand="1" w:val="04A0"/>
      </w:tblPr>
      <w:tblGrid>
        <w:gridCol w:w="9965"/>
      </w:tblGrid>
      <w:tr>
        <w:tc>
          <w:tcPr>
            <w:tcW w:type="dxa" w:w="9994"/>
            <w:shd w:fill="EDF4F7"/>
            <w:tcBorders>
              <w:top w:val="nil"/>
              <w:left w:val="single" w:sz="22" w:color="0AA5B5"/>
              <w:bottom w:val="nil"/>
              <w:right w:val="nil"/>
            </w:tcBorders>
            <w:tcMar>
              <w:top w:w="80" w:type="dxa"/>
              <w:start w:w="110" w:type="dxa"/>
              <w:bottom w:w="80" w:type="dxa"/>
              <w:end w:w="100" w:type="dxa"/>
            </w:tcMar>
          </w:tcPr>
          <w:p>
            <w:pPr>
              <w:spacing w:after="40"/>
            </w:pPr>
            <w:r>
              <w:rPr>
                <w:rFonts w:ascii="Arial" w:hAnsi="Arial"/>
                <w:b/>
                <w:color w:val="1D3357"/>
                <w:sz w:val="20"/>
              </w:rPr>
              <w:t>Growth summary</w:t>
            </w:r>
          </w:p>
          <w:p>
            <w:pPr>
              <w:spacing w:after="0"/>
            </w:pPr>
            <w:r>
              <w:rPr>
                <w:rFonts w:ascii="Arial" w:hAnsi="Arial"/>
                <w:color w:val="20242A"/>
                <w:sz w:val="18"/>
              </w:rPr>
              <w:t>Current weight and height are converted to BMI, then interpreted using the age- and sex-specific CDC BMI-for-age reference. Show percentile/category and the chart version used. Do not show adult BMI category labels. [3][5]</w:t>
            </w:r>
          </w:p>
        </w:tc>
      </w:tr>
    </w:tbl>
    <w:p>
      <w:pPr>
        <w:spacing w:before="160" w:after="100"/>
        <w:keepNext/>
        <w:pBdr>
          <w:bottom w:val="single" w:sz="12" w:space="3" w:color="0AA5B5"/>
        </w:pBdr>
      </w:pPr>
      <w:r>
        <w:rPr>
          <w:rFonts w:ascii="Arial" w:hAnsi="Arial"/>
          <w:b/>
          <w:color w:val="1D3357"/>
          <w:sz w:val="33"/>
        </w:rPr>
        <w:t>10. API and Service Contracts</w:t>
      </w:r>
    </w:p>
    <w:p>
      <w:pPr>
        <w:spacing w:after="100"/>
      </w:pPr>
      <w:r>
        <w:rPr>
          <w:rFonts w:ascii="Arial" w:hAnsi="Arial"/>
          <w:i w:val="0"/>
          <w:color w:val="20242A"/>
          <w:sz w:val="19"/>
        </w:rPr>
        <w:t>The analysis service should be metric-specific while using shared math utilities. Suggested interfaces are illustrative, not a mandate for exact naming.</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GET /api/analysis/weight</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Inputs: patient_id, window, as_of, optional comparison window. Returns snapshot, support, summary, trend, baseline, change, BMI/growth, events, associations, warnings/capabilities.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WeightAnalysisService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Orchestrates eligibility, height resolution, unit normalization, daily representative generation, shared statistics, adult/pediatric strategy selection, and rule profiles.</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Shared math utilities</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Mean/median/quantiles; SD; OLS; R^2; LOESS; paired-period comparison; optional correlation.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AdultWeightStrategy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BMI category + longitudinal weight/BMI interpretation.</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PediatricWeightStrategy</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CDC growth-chart lookup/algorithm; versioned reference dataset; under-2 gate.</w:t>
            </w:r>
          </w:p>
        </w:tc>
      </w:tr>
      <w:tr>
        <w:trPr>
          <w:cantSplit/>
        </w:trPr>
        <w:tc>
          <w:tcPr>
            <w:tcW w:type="dxa" w:w="3024"/>
            <w:shd w:fill="F4F7F9"/>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b/>
                <w:color w:val="1D3357"/>
                <w:sz w:val="17"/>
              </w:rPr>
              <w:t>Rule engine</w:t>
            </w:r>
          </w:p>
        </w:tc>
        <w:tc>
          <w:tcPr>
            <w:tcW w:type="dxa" w:w="6912"/>
            <w:tcMar>
              <w:top w:w="55" w:type="dxa"/>
              <w:start w:w="65" w:type="dxa"/>
              <w:bottom w:w="55" w:type="dxa"/>
              <w:end w:w="65" w:type="dxa"/>
            </w:tcMar>
            <w:tcBorders>
              <w:top w:val="single" w:sz="4" w:color="CBD5DF"/>
              <w:left w:val="single" w:sz="4" w:color="CBD5DF"/>
              <w:bottom w:val="single" w:sz="4" w:color="CBD5DF"/>
              <w:right w:val="single" w:sz="4" w:color="CBD5DF"/>
            </w:tcBorders>
            <w:vAlign w:val="top"/>
          </w:tcPr>
          <w:p>
            <w:pPr>
              <w:spacing w:after="0"/>
            </w:pPr>
            <w:r>
              <w:rPr>
                <w:rFonts w:ascii="Arial" w:hAnsi="Arial"/>
                <w:color w:val="20242A"/>
                <w:sz w:val="17"/>
              </w:rPr>
              <w:t>Condition/clinician rapid-change thresholds with provenance and effective dates.</w:t>
            </w:r>
          </w:p>
        </w:tc>
      </w:tr>
    </w:tbl>
    <w:p>
      <w:pPr>
        <w:spacing w:before="120" w:after="100"/>
        <w:keepNext/>
      </w:pPr>
      <w:r>
        <w:rPr>
          <w:rFonts w:ascii="Arial" w:hAnsi="Arial"/>
          <w:b/>
          <w:color w:val="1D3357"/>
          <w:sz w:val="25"/>
        </w:rPr>
        <w:t>10.1. Result-shape sketch</w:t>
      </w:r>
    </w:p>
    <w:tbl>
      <w:tblPr>
        <w:tblW w:type="auto" w:w="0"/>
        <w:jc w:val="center"/>
        <w:tblLayout w:type="fixed"/>
        <w:tblLook w:firstColumn="1" w:firstRow="1" w:lastColumn="0" w:lastRow="0" w:noHBand="0" w:noVBand="1" w:val="04A0"/>
      </w:tblPr>
      <w:tblGrid>
        <w:gridCol w:w="9965"/>
      </w:tblGrid>
      <w:tr>
        <w:tc>
          <w:tcPr>
            <w:tcW w:type="dxa" w:w="9994"/>
            <w:shd w:fill="EDF4F7"/>
            <w:tcBorders>
              <w:top w:val="nil"/>
              <w:left w:val="single" w:sz="22" w:color="0AA5B5"/>
              <w:bottom w:val="nil"/>
              <w:right w:val="nil"/>
            </w:tcBorders>
            <w:tcMar>
              <w:top w:w="80" w:type="dxa"/>
              <w:start w:w="110" w:type="dxa"/>
              <w:bottom w:w="80" w:type="dxa"/>
              <w:end w:w="100" w:type="dxa"/>
            </w:tcMar>
          </w:tcPr>
          <w:p>
            <w:pPr>
              <w:spacing w:after="40"/>
            </w:pPr>
            <w:r>
              <w:rPr>
                <w:rFonts w:ascii="Arial" w:hAnsi="Arial"/>
                <w:b/>
                <w:color w:val="1D3357"/>
                <w:sz w:val="20"/>
              </w:rPr>
              <w:t>Engineering contract sketch</w:t>
            </w:r>
          </w:p>
          <w:p>
            <w:pPr>
              <w:spacing w:after="0"/>
            </w:pPr>
            <w:r>
              <w:rPr>
                <w:rFonts w:ascii="Arial" w:hAnsi="Arial"/>
                <w:color w:val="20242A"/>
                <w:sz w:val="18"/>
              </w:rPr>
              <w:t>WeightAnalysisResult { latest; data_support; summaries[]; baseline; change; trend { slope_per_week, r2, loess_points }; anthropometrics { height, bmi, adult_category, pediatric_percentile, pediatric_category, reference_version }; rapid_change_events[]; medication_associations[]; cross_vital_context[]; capabilities[]; evidence_tags[]; }</w:t>
            </w:r>
          </w:p>
        </w:tc>
      </w:tr>
    </w:tbl>
    <w:p>
      <w:pPr>
        <w:spacing w:before="160" w:after="100"/>
        <w:keepNext/>
        <w:pBdr>
          <w:bottom w:val="single" w:sz="12" w:space="3" w:color="0AA5B5"/>
        </w:pBdr>
      </w:pPr>
      <w:r>
        <w:rPr>
          <w:rFonts w:ascii="Arial" w:hAnsi="Arial"/>
          <w:b/>
          <w:color w:val="1D3357"/>
          <w:sz w:val="33"/>
        </w:rPr>
        <w:t>11. Safety and Language Rules</w:t>
      </w:r>
    </w:p>
    <w:p>
      <w:pPr>
        <w:spacing w:after="40"/>
        <w:ind w:left="86" w:hanging="14"/>
      </w:pPr>
      <w:r>
        <w:rPr>
          <w:rFonts w:ascii="Arial" w:hAnsi="Arial"/>
          <w:b/>
          <w:color w:val="0AA5B5"/>
          <w:sz w:val="19"/>
        </w:rPr>
        <w:t xml:space="preserve">• </w:t>
      </w:r>
      <w:r>
        <w:rPr>
          <w:rFonts w:ascii="Arial" w:hAnsi="Arial"/>
          <w:color w:val="20242A"/>
          <w:sz w:val="19"/>
        </w:rPr>
        <w:t>Say "BMI screening category" rather than implying BMI is a diagnosis. [2]</w:t>
      </w:r>
    </w:p>
    <w:p>
      <w:pPr>
        <w:spacing w:after="40"/>
        <w:ind w:left="86" w:hanging="14"/>
      </w:pPr>
      <w:r>
        <w:rPr>
          <w:rFonts w:ascii="Arial" w:hAnsi="Arial"/>
          <w:b/>
          <w:color w:val="0AA5B5"/>
          <w:sz w:val="19"/>
        </w:rPr>
        <w:t xml:space="preserve">• </w:t>
      </w:r>
      <w:r>
        <w:rPr>
          <w:rFonts w:ascii="Arial" w:hAnsi="Arial"/>
          <w:color w:val="20242A"/>
          <w:sz w:val="19"/>
        </w:rPr>
        <w:t>Say "weight increased/decreased" or "readings were higher/lower following..."; avoid causal statements.</w:t>
      </w:r>
    </w:p>
    <w:p>
      <w:pPr>
        <w:spacing w:after="40"/>
        <w:ind w:left="86" w:hanging="14"/>
      </w:pPr>
      <w:r>
        <w:rPr>
          <w:rFonts w:ascii="Arial" w:hAnsi="Arial"/>
          <w:b/>
          <w:color w:val="0AA5B5"/>
          <w:sz w:val="19"/>
        </w:rPr>
        <w:t xml:space="preserve">• </w:t>
      </w:r>
      <w:r>
        <w:rPr>
          <w:rFonts w:ascii="Arial" w:hAnsi="Arial"/>
          <w:color w:val="20242A"/>
          <w:sz w:val="19"/>
        </w:rPr>
        <w:t>Condition-specific event rules must display their provenance: clinician configured, patient care plan, or named reference profile.</w:t>
      </w:r>
    </w:p>
    <w:p>
      <w:pPr>
        <w:spacing w:after="40"/>
        <w:ind w:left="86" w:hanging="14"/>
      </w:pPr>
      <w:r>
        <w:rPr>
          <w:rFonts w:ascii="Arial" w:hAnsi="Arial"/>
          <w:b/>
          <w:color w:val="0AA5B5"/>
          <w:sz w:val="19"/>
        </w:rPr>
        <w:t xml:space="preserve">• </w:t>
      </w:r>
      <w:r>
        <w:rPr>
          <w:rFonts w:ascii="Arial" w:hAnsi="Arial"/>
          <w:color w:val="20242A"/>
          <w:sz w:val="19"/>
        </w:rPr>
        <w:t>Do not infer body-fat percentage, muscle mass, hydration, edema, nutritional status, or pregnancy from weight/BMI alone.</w:t>
      </w:r>
    </w:p>
    <w:p>
      <w:pPr>
        <w:spacing w:after="40"/>
        <w:ind w:left="86" w:hanging="14"/>
      </w:pPr>
      <w:r>
        <w:rPr>
          <w:rFonts w:ascii="Arial" w:hAnsi="Arial"/>
          <w:b/>
          <w:color w:val="0AA5B5"/>
          <w:sz w:val="19"/>
        </w:rPr>
        <w:t xml:space="preserve">• </w:t>
      </w:r>
      <w:r>
        <w:rPr>
          <w:rFonts w:ascii="Arial" w:hAnsi="Arial"/>
          <w:color w:val="20242A"/>
          <w:sz w:val="19"/>
        </w:rPr>
        <w:t>Do not describe a change as "healthy," "unhealthy," "successful," or "failure" based solely on weight/BMI.</w:t>
      </w:r>
    </w:p>
    <w:p>
      <w:pPr>
        <w:spacing w:after="40"/>
        <w:ind w:left="86" w:hanging="14"/>
      </w:pPr>
      <w:r>
        <w:rPr>
          <w:rFonts w:ascii="Arial" w:hAnsi="Arial"/>
          <w:b/>
          <w:color w:val="0AA5B5"/>
          <w:sz w:val="19"/>
        </w:rPr>
        <w:t xml:space="preserve">• </w:t>
      </w:r>
      <w:r>
        <w:rPr>
          <w:rFonts w:ascii="Arial" w:hAnsi="Arial"/>
          <w:color w:val="20242A"/>
          <w:sz w:val="19"/>
        </w:rPr>
        <w:t>Pediatric percentile/category output must use the correct age/reference-sex chart and reference-data version. [3][5]</w:t>
      </w:r>
    </w:p>
    <w:p>
      <w:pPr>
        <w:spacing w:after="40"/>
        <w:ind w:left="86" w:hanging="14"/>
      </w:pPr>
      <w:r>
        <w:rPr>
          <w:rFonts w:ascii="Arial" w:hAnsi="Arial"/>
          <w:b/>
          <w:color w:val="0AA5B5"/>
          <w:sz w:val="19"/>
        </w:rPr>
        <w:t xml:space="preserve">• </w:t>
      </w:r>
      <w:r>
        <w:rPr>
          <w:rFonts w:ascii="Arial" w:hAnsi="Arial"/>
          <w:color w:val="20242A"/>
          <w:sz w:val="19"/>
        </w:rPr>
        <w:t>For under-2 patients, suppress BMI-for-age and route future growth analysis to WHO weight-for-length/length-for-age methods. [6]</w:t>
      </w:r>
    </w:p>
    <w:p>
      <w:pPr>
        <w:spacing w:after="40"/>
        <w:ind w:left="86" w:hanging="14"/>
      </w:pPr>
      <w:r>
        <w:rPr>
          <w:rFonts w:ascii="Arial" w:hAnsi="Arial"/>
          <w:b/>
          <w:color w:val="0AA5B5"/>
          <w:sz w:val="19"/>
        </w:rPr>
        <w:t xml:space="preserve">• </w:t>
      </w:r>
      <w:r>
        <w:rPr>
          <w:rFonts w:ascii="Arial" w:hAnsi="Arial"/>
          <w:color w:val="20242A"/>
          <w:sz w:val="19"/>
        </w:rPr>
        <w:t>Unintentional-loss criteria are screening context for clinician review, not a Vitals diagnosis of malnutrition. [8]</w:t>
      </w:r>
    </w:p>
    <w:p>
      <w:pPr>
        <w:spacing w:before="160" w:after="100"/>
        <w:keepNext/>
        <w:pBdr>
          <w:bottom w:val="single" w:sz="12" w:space="3" w:color="0AA5B5"/>
        </w:pBdr>
      </w:pPr>
      <w:r>
        <w:rPr>
          <w:rFonts w:ascii="Arial" w:hAnsi="Arial"/>
          <w:b/>
          <w:color w:val="1D3357"/>
          <w:sz w:val="33"/>
        </w:rPr>
        <w:t>12. Deterministic Verification Test Vectors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Test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Inputs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Expected</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Adult BMI</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200 lb; 70 in; age 45</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BMI = 703*200/70^2 = 28.69 -&gt; 28.7; category overweight. [2]</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Percent change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240 lb baseline -&gt; 228 lb current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Delta = -12 lb; percent change = -5.0%.</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Perfect linear velocity</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Day 0: 200 lb; Day 7: 198; Day 14: 196</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OLS slope = -0.285714 lb/day = -2.0 lb/week; R^2 = 1.0.</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Baseline deviation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Baseline [175,176,174,175,175]; recent [180,181,182]</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Baseline median 175; recent median 181; +6 lb; +3.43%.</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Same-day replicate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180.0, 181.0, 180.4 on same local date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Daily representative = median = 180.4 lb.</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HF configured weekly rule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180.0 lb reference; 185.2 lb 7 days later; configured +5 lb/7d</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Observed +5.2 lb; rule matched; do not diagnose fluid overload.</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Unintentional loss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190 lb -&gt; 170.9 lb over 4 months; intent=unintentional</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Loss = 10.05%; meets NICE &gt;10%/3-6mo screening criterion. [8]</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Age gate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Patient age 17; height + weight present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Do not assign adult BMI category. Pediatric strategy required. [3]</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Under-2 gate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Patient age 18 months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BMI-for-age interpretation hidden; future WHO weight-for-length path. [6]</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Missing height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Adult weight data present; no height</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All weight-only metrics available; BMI panels unavailable with reason = missing_height.</w:t>
            </w:r>
          </w:p>
        </w:tc>
      </w:tr>
    </w:tbl>
    <w:p>
      <w:pPr>
        <w:spacing w:before="160" w:after="100"/>
        <w:keepNext/>
        <w:pBdr>
          <w:bottom w:val="single" w:sz="12" w:space="3" w:color="0AA5B5"/>
        </w:pBdr>
      </w:pPr>
      <w:r>
        <w:rPr>
          <w:rFonts w:ascii="Arial" w:hAnsi="Arial"/>
          <w:b/>
          <w:color w:val="1D3357"/>
          <w:sz w:val="33"/>
        </w:rPr>
        <w:t>13. Clinical Evidence vs. Vitals Engineering Decisions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Item</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Classification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shd w:fill="1D3357"/>
          </w:tcPr>
          <w:p>
            <w:r>
              <w:rPr>
                <w:rFonts w:ascii="Arial" w:hAnsi="Arial"/>
                <w:b/>
                <w:color w:val="FFFFFF"/>
                <w:sz w:val="16"/>
              </w:rPr>
              <w:t>Rule</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Adult BMI formula/categories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Clinical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CDC adult BMI categories; screening measure. [2]</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Pediatric BMI categories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Clinical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CDC BMI-for-age categories. [3]</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Pediatric LMS/extended charts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Clinical/statistical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Use official CDC tables/algorithm and version. [4][5]</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Under-2 BMI suppression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Clinical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CDC/WHO growth-chart recommendation. [6]</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HF daily/weekly weight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Condition-specific clinical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AHA guidance; clinician care-plan thresholds take precedence. [7]</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Unintentional-loss screening</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Clinical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NICE/Merck references; screening context only. [8][9]</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Mean/SD/OLS/LOESS math</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Statistical reference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NIST formulas/methods. [10][11][12]</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Daily representative = median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Vitals engineering decision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Chosen for duplicate robustness; configurable/tested.</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Sample-count/span gates</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Vitals engineering decision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UI stability/data sufficiency; not clinical thresholds.</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Baseline-window definition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Vitals engineering decision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Configurable; versioned.</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Medication pre/post window</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Vitals engineering decision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Default windows configurable; temporal association only.</w:t>
            </w:r>
          </w:p>
        </w:tc>
      </w:tr>
      <w:tr>
        <w:trPr>
          <w:cantSplit/>
        </w:trPr>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Cross-vital correlation gate</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Vitals engineering decision</w:t>
            </w:r>
          </w:p>
        </w:tc>
        <w:tc>
          <w:tcPr>
            <w:tcW w:type="dxa" w:w="3331"/>
            <w:tcMar>
              <w:top w:w="60" w:type="dxa"/>
              <w:start w:w="65" w:type="dxa"/>
              <w:bottom w:w="60" w:type="dxa"/>
              <w:end w:w="65" w:type="dxa"/>
            </w:tcMar>
            <w:vAlign w:val="top"/>
            <w:tcBorders>
              <w:top w:val="single" w:sz="4" w:color="CBD5DF"/>
              <w:left w:val="single" w:sz="4" w:color="CBD5DF"/>
              <w:bottom w:val="single" w:sz="4" w:color="CBD5DF"/>
              <w:right w:val="single" w:sz="4" w:color="CBD5DF"/>
            </w:tcBorders>
          </w:tcPr>
          <w:p>
            <w:pPr>
              <w:spacing w:after="0"/>
            </w:pPr>
            <w:r>
              <w:rPr>
                <w:rFonts w:ascii="Arial" w:hAnsi="Arial"/>
                <w:color w:val="20242A"/>
                <w:sz w:val="16"/>
              </w:rPr>
              <w:t>Conservative paired-data minimum; not diagnostic.</w:t>
            </w:r>
          </w:p>
        </w:tc>
      </w:tr>
    </w:tbl>
    <w:p>
      <w:pPr>
        <w:spacing w:before="160" w:after="100"/>
        <w:keepNext/>
        <w:pBdr>
          <w:bottom w:val="single" w:sz="12" w:space="3" w:color="0AA5B5"/>
        </w:pBdr>
      </w:pPr>
      <w:r>
        <w:rPr>
          <w:rFonts w:ascii="Arial" w:hAnsi="Arial"/>
          <w:b/>
          <w:color w:val="1D3357"/>
          <w:sz w:val="33"/>
        </w:rPr>
        <w:t>14. Recommended Implementation Order</w:t>
      </w:r>
    </w:p>
    <w:p>
      <w:pPr>
        <w:spacing w:after="40"/>
        <w:ind w:left="86" w:hanging="14"/>
      </w:pPr>
      <w:r>
        <w:rPr>
          <w:rFonts w:ascii="Arial" w:hAnsi="Arial"/>
          <w:b/>
          <w:color w:val="0AA5B5"/>
          <w:sz w:val="19"/>
        </w:rPr>
        <w:t xml:space="preserve">• </w:t>
      </w:r>
      <w:r>
        <w:rPr>
          <w:rFonts w:ascii="Arial" w:hAnsi="Arial"/>
          <w:color w:val="20242A"/>
          <w:sz w:val="19"/>
        </w:rPr>
        <w:t>1. Add dated height capture to onboarding/profile and backend schema; normalize units.</w:t>
      </w:r>
    </w:p>
    <w:p>
      <w:pPr>
        <w:spacing w:after="40"/>
        <w:ind w:left="86" w:hanging="14"/>
      </w:pPr>
      <w:r>
        <w:rPr>
          <w:rFonts w:ascii="Arial" w:hAnsi="Arial"/>
          <w:b/>
          <w:color w:val="0AA5B5"/>
          <w:sz w:val="19"/>
        </w:rPr>
        <w:t xml:space="preserve">• </w:t>
      </w:r>
      <w:r>
        <w:rPr>
          <w:rFonts w:ascii="Arial" w:hAnsi="Arial"/>
          <w:color w:val="20242A"/>
          <w:sz w:val="19"/>
        </w:rPr>
        <w:t>2. Build height resolution + daily representative weight helpers.</w:t>
      </w:r>
    </w:p>
    <w:p>
      <w:pPr>
        <w:spacing w:after="40"/>
        <w:ind w:left="86" w:hanging="14"/>
      </w:pPr>
      <w:r>
        <w:rPr>
          <w:rFonts w:ascii="Arial" w:hAnsi="Arial"/>
          <w:b/>
          <w:color w:val="0AA5B5"/>
          <w:sz w:val="19"/>
        </w:rPr>
        <w:t xml:space="preserve">• </w:t>
      </w:r>
      <w:r>
        <w:rPr>
          <w:rFonts w:ascii="Arial" w:hAnsi="Arial"/>
          <w:color w:val="20242A"/>
          <w:sz w:val="19"/>
        </w:rPr>
        <w:t>3. Implement P0 weight-only summaries: snapshot, central tendency, change, baseline, data support.</w:t>
      </w:r>
    </w:p>
    <w:p>
      <w:pPr>
        <w:spacing w:after="40"/>
        <w:ind w:left="86" w:hanging="14"/>
      </w:pPr>
      <w:r>
        <w:rPr>
          <w:rFonts w:ascii="Arial" w:hAnsi="Arial"/>
          <w:b/>
          <w:color w:val="0AA5B5"/>
          <w:sz w:val="19"/>
        </w:rPr>
        <w:t xml:space="preserve">• </w:t>
      </w:r>
      <w:r>
        <w:rPr>
          <w:rFonts w:ascii="Arial" w:hAnsi="Arial"/>
          <w:color w:val="20242A"/>
          <w:sz w:val="19"/>
        </w:rPr>
        <w:t>4. Add shared OLS/LOESS trend output and deterministic tests.</w:t>
      </w:r>
    </w:p>
    <w:p>
      <w:pPr>
        <w:spacing w:after="40"/>
        <w:ind w:left="86" w:hanging="14"/>
      </w:pPr>
      <w:r>
        <w:rPr>
          <w:rFonts w:ascii="Arial" w:hAnsi="Arial"/>
          <w:b/>
          <w:color w:val="0AA5B5"/>
          <w:sz w:val="19"/>
        </w:rPr>
        <w:t xml:space="preserve">• </w:t>
      </w:r>
      <w:r>
        <w:rPr>
          <w:rFonts w:ascii="Arial" w:hAnsi="Arial"/>
          <w:color w:val="20242A"/>
          <w:sz w:val="19"/>
        </w:rPr>
        <w:t>5. Add adult BMI/BMI trajectory with strict age gating and CDC category labels. [2]</w:t>
      </w:r>
    </w:p>
    <w:p>
      <w:pPr>
        <w:spacing w:after="40"/>
        <w:ind w:left="86" w:hanging="14"/>
      </w:pPr>
      <w:r>
        <w:rPr>
          <w:rFonts w:ascii="Arial" w:hAnsi="Arial"/>
          <w:b/>
          <w:color w:val="0AA5B5"/>
          <w:sz w:val="19"/>
        </w:rPr>
        <w:t xml:space="preserve">• </w:t>
      </w:r>
      <w:r>
        <w:rPr>
          <w:rFonts w:ascii="Arial" w:hAnsi="Arial"/>
          <w:color w:val="20242A"/>
          <w:sz w:val="19"/>
        </w:rPr>
        <w:t>6. Add configurable rapid-change rule engine with provenance; do not enable condition rules globally.</w:t>
      </w:r>
    </w:p>
    <w:p>
      <w:pPr>
        <w:spacing w:after="40"/>
        <w:ind w:left="86" w:hanging="14"/>
      </w:pPr>
      <w:r>
        <w:rPr>
          <w:rFonts w:ascii="Arial" w:hAnsi="Arial"/>
          <w:b/>
          <w:color w:val="0AA5B5"/>
          <w:sz w:val="19"/>
        </w:rPr>
        <w:t xml:space="preserve">• </w:t>
      </w:r>
      <w:r>
        <w:rPr>
          <w:rFonts w:ascii="Arial" w:hAnsi="Arial"/>
          <w:color w:val="20242A"/>
          <w:sz w:val="19"/>
        </w:rPr>
        <w:t>7. Add medication and cross-vital period comparisons.</w:t>
      </w:r>
    </w:p>
    <w:p>
      <w:pPr>
        <w:spacing w:after="40"/>
        <w:ind w:left="86" w:hanging="14"/>
      </w:pPr>
      <w:r>
        <w:rPr>
          <w:rFonts w:ascii="Arial" w:hAnsi="Arial"/>
          <w:b/>
          <w:color w:val="0AA5B5"/>
          <w:sz w:val="19"/>
        </w:rPr>
        <w:t xml:space="preserve">• </w:t>
      </w:r>
      <w:r>
        <w:rPr>
          <w:rFonts w:ascii="Arial" w:hAnsi="Arial"/>
          <w:color w:val="20242A"/>
          <w:sz w:val="19"/>
        </w:rPr>
        <w:t>8. Add heart-failure profile and unintentional-loss context behind explicit gates. [7][8]</w:t>
      </w:r>
    </w:p>
    <w:p>
      <w:pPr>
        <w:spacing w:after="40"/>
        <w:ind w:left="86" w:hanging="14"/>
      </w:pPr>
      <w:r>
        <w:rPr>
          <w:rFonts w:ascii="Arial" w:hAnsi="Arial"/>
          <w:b/>
          <w:color w:val="0AA5B5"/>
          <w:sz w:val="19"/>
        </w:rPr>
        <w:t xml:space="preserve">• </w:t>
      </w:r>
      <w:r>
        <w:rPr>
          <w:rFonts w:ascii="Arial" w:hAnsi="Arial"/>
          <w:color w:val="20242A"/>
          <w:sz w:val="19"/>
        </w:rPr>
        <w:t>9. Implement pediatric CDC reference-data module with versioned 2000 + 2022 Extended BMI resources and under-2 suppression. [3][4][5][6]</w:t>
      </w:r>
    </w:p>
    <w:p>
      <w:pPr>
        <w:spacing w:after="40"/>
        <w:ind w:left="86" w:hanging="14"/>
      </w:pPr>
      <w:r>
        <w:rPr>
          <w:rFonts w:ascii="Arial" w:hAnsi="Arial"/>
          <w:b/>
          <w:color w:val="0AA5B5"/>
          <w:sz w:val="19"/>
        </w:rPr>
        <w:t xml:space="preserve">• </w:t>
      </w:r>
      <w:r>
        <w:rPr>
          <w:rFonts w:ascii="Arial" w:hAnsi="Arial"/>
          <w:color w:val="20242A"/>
          <w:sz w:val="19"/>
        </w:rPr>
        <w:t>10. Integrate Weight Details panels and physician PDF, then run clinical language review.</w:t>
      </w:r>
    </w:p>
    <w:p>
      <w:pPr>
        <w:spacing w:before="160" w:after="100"/>
        <w:keepNext/>
        <w:pBdr>
          <w:bottom w:val="single" w:sz="12" w:space="3" w:color="0AA5B5"/>
        </w:pBdr>
      </w:pPr>
      <w:r>
        <w:rPr>
          <w:rFonts w:ascii="Arial" w:hAnsi="Arial"/>
          <w:b/>
          <w:color w:val="1D3357"/>
          <w:sz w:val="33"/>
        </w:rPr>
        <w:t>15. Definition of Done</w:t>
      </w:r>
    </w:p>
    <w:p>
      <w:pPr>
        <w:spacing w:after="40"/>
        <w:ind w:left="86" w:hanging="14"/>
      </w:pPr>
      <w:r>
        <w:rPr>
          <w:rFonts w:ascii="Arial" w:hAnsi="Arial"/>
          <w:b/>
          <w:color w:val="0AA5B5"/>
          <w:sz w:val="19"/>
        </w:rPr>
        <w:t xml:space="preserve">• </w:t>
      </w:r>
      <w:r>
        <w:rPr>
          <w:rFonts w:ascii="Arial" w:hAnsi="Arial"/>
          <w:color w:val="20242A"/>
          <w:sz w:val="19"/>
        </w:rPr>
        <w:t>Height can be entered during patient setup when weight tracking is enabled, stored with units/date, and edited later with history/correction semantics.</w:t>
      </w:r>
    </w:p>
    <w:p>
      <w:pPr>
        <w:spacing w:after="40"/>
        <w:ind w:left="86" w:hanging="14"/>
      </w:pPr>
      <w:r>
        <w:rPr>
          <w:rFonts w:ascii="Arial" w:hAnsi="Arial"/>
          <w:b/>
          <w:color w:val="0AA5B5"/>
          <w:sz w:val="19"/>
        </w:rPr>
        <w:t xml:space="preserve">• </w:t>
      </w:r>
      <w:r>
        <w:rPr>
          <w:rFonts w:ascii="Arial" w:hAnsi="Arial"/>
          <w:color w:val="20242A"/>
          <w:sz w:val="19"/>
        </w:rPr>
        <w:t>Weight-only analysis works when height is absent; BMI-dependent panels hide gracefully.</w:t>
      </w:r>
    </w:p>
    <w:p>
      <w:pPr>
        <w:spacing w:after="40"/>
        <w:ind w:left="86" w:hanging="14"/>
      </w:pPr>
      <w:r>
        <w:rPr>
          <w:rFonts w:ascii="Arial" w:hAnsi="Arial"/>
          <w:b/>
          <w:color w:val="0AA5B5"/>
          <w:sz w:val="19"/>
        </w:rPr>
        <w:t xml:space="preserve">• </w:t>
      </w:r>
      <w:r>
        <w:rPr>
          <w:rFonts w:ascii="Arial" w:hAnsi="Arial"/>
          <w:color w:val="20242A"/>
          <w:sz w:val="19"/>
        </w:rPr>
        <w:t>Adult BMI uses correct unit normalization and CDC categories only for age &gt;=20. [2]</w:t>
      </w:r>
    </w:p>
    <w:p>
      <w:pPr>
        <w:spacing w:after="40"/>
        <w:ind w:left="86" w:hanging="14"/>
      </w:pPr>
      <w:r>
        <w:rPr>
          <w:rFonts w:ascii="Arial" w:hAnsi="Arial"/>
          <w:b/>
          <w:color w:val="0AA5B5"/>
          <w:sz w:val="19"/>
        </w:rPr>
        <w:t xml:space="preserve">• </w:t>
      </w:r>
      <w:r>
        <w:rPr>
          <w:rFonts w:ascii="Arial" w:hAnsi="Arial"/>
          <w:color w:val="20242A"/>
          <w:sz w:val="19"/>
        </w:rPr>
        <w:t>Pediatric patients never receive adult BMI category labels; if pediatric analysis is enabled, it uses official versioned CDC reference data. [3][5]</w:t>
      </w:r>
    </w:p>
    <w:p>
      <w:pPr>
        <w:spacing w:after="40"/>
        <w:ind w:left="86" w:hanging="14"/>
      </w:pPr>
      <w:r>
        <w:rPr>
          <w:rFonts w:ascii="Arial" w:hAnsi="Arial"/>
          <w:b/>
          <w:color w:val="0AA5B5"/>
          <w:sz w:val="19"/>
        </w:rPr>
        <w:t xml:space="preserve">• </w:t>
      </w:r>
      <w:r>
        <w:rPr>
          <w:rFonts w:ascii="Arial" w:hAnsi="Arial"/>
          <w:color w:val="20242A"/>
          <w:sz w:val="19"/>
        </w:rPr>
        <w:t>Under-2 patients do not receive BMI-for-age interpretation. [6]</w:t>
      </w:r>
    </w:p>
    <w:p>
      <w:pPr>
        <w:spacing w:after="40"/>
        <w:ind w:left="86" w:hanging="14"/>
      </w:pPr>
      <w:r>
        <w:rPr>
          <w:rFonts w:ascii="Arial" w:hAnsi="Arial"/>
          <w:b/>
          <w:color w:val="0AA5B5"/>
          <w:sz w:val="19"/>
        </w:rPr>
        <w:t xml:space="preserve">• </w:t>
      </w:r>
      <w:r>
        <w:rPr>
          <w:rFonts w:ascii="Arial" w:hAnsi="Arial"/>
          <w:color w:val="20242A"/>
          <w:sz w:val="19"/>
        </w:rPr>
        <w:t>Snapshot, 7/14/30/60-day summaries, absolute/percent change, baseline deviation, OLS velocity, LOESS curve, BMI trajectory, rule-based events, and associations pass unit/integration tests.</w:t>
      </w:r>
    </w:p>
    <w:p>
      <w:pPr>
        <w:spacing w:after="40"/>
        <w:ind w:left="86" w:hanging="14"/>
      </w:pPr>
      <w:r>
        <w:rPr>
          <w:rFonts w:ascii="Arial" w:hAnsi="Arial"/>
          <w:b/>
          <w:color w:val="0AA5B5"/>
          <w:sz w:val="19"/>
        </w:rPr>
        <w:t xml:space="preserve">• </w:t>
      </w:r>
      <w:r>
        <w:rPr>
          <w:rFonts w:ascii="Arial" w:hAnsi="Arial"/>
          <w:color w:val="20242A"/>
          <w:sz w:val="19"/>
        </w:rPr>
        <w:t>Condition-specific rapid-change rules preserve provenance and are not universally applied.</w:t>
      </w:r>
    </w:p>
    <w:p>
      <w:pPr>
        <w:spacing w:after="40"/>
        <w:ind w:left="86" w:hanging="14"/>
      </w:pPr>
      <w:r>
        <w:rPr>
          <w:rFonts w:ascii="Arial" w:hAnsi="Arial"/>
          <w:b/>
          <w:color w:val="0AA5B5"/>
          <w:sz w:val="19"/>
        </w:rPr>
        <w:t xml:space="preserve">• </w:t>
      </w:r>
      <w:r>
        <w:rPr>
          <w:rFonts w:ascii="Arial" w:hAnsi="Arial"/>
          <w:color w:val="20242A"/>
          <w:sz w:val="19"/>
        </w:rPr>
        <w:t>All physician/patient language remains observational and avoids causal/diagnostic claims.</w:t>
      </w:r>
    </w:p>
    <w:p>
      <w:pPr>
        <w:spacing w:after="40"/>
        <w:ind w:left="86" w:hanging="14"/>
      </w:pPr>
      <w:r>
        <w:rPr>
          <w:rFonts w:ascii="Arial" w:hAnsi="Arial"/>
          <w:b/>
          <w:color w:val="0AA5B5"/>
          <w:sz w:val="19"/>
        </w:rPr>
        <w:t xml:space="preserve">• </w:t>
      </w:r>
      <w:r>
        <w:rPr>
          <w:rFonts w:ascii="Arial" w:hAnsi="Arial"/>
          <w:color w:val="20242A"/>
          <w:sz w:val="19"/>
        </w:rPr>
        <w:t>Every externally sourced clinical threshold/category/formula is traceable to Section 16; every uncited activation threshold is labeled as a Vitals engineering decision.</w:t>
      </w:r>
    </w:p>
    <w:p>
      <w:pPr>
        <w:spacing w:after="40"/>
        <w:ind w:left="86" w:hanging="14"/>
      </w:pPr>
      <w:r>
        <w:rPr>
          <w:rFonts w:ascii="Arial" w:hAnsi="Arial"/>
          <w:b/>
          <w:color w:val="0AA5B5"/>
          <w:sz w:val="19"/>
        </w:rPr>
        <w:t xml:space="preserve">• </w:t>
      </w:r>
      <w:r>
        <w:rPr>
          <w:rFonts w:ascii="Arial" w:hAnsi="Arial"/>
          <w:color w:val="20242A"/>
          <w:sz w:val="19"/>
        </w:rPr>
        <w:t>Details view and PDF display sample support (n/days/span) alongside advanced analyses.</w:t>
      </w:r>
    </w:p>
    <w:p>
      <w:pPr>
        <w:spacing w:before="160" w:after="100"/>
        <w:keepNext/>
        <w:pBdr>
          <w:bottom w:val="single" w:sz="12" w:space="3" w:color="0AA5B5"/>
        </w:pBdr>
      </w:pPr>
      <w:r>
        <w:rPr>
          <w:rFonts w:ascii="Arial" w:hAnsi="Arial"/>
          <w:b/>
          <w:color w:val="1D3357"/>
          <w:sz w:val="33"/>
        </w:rPr>
        <w:t>16. References</w:t>
      </w:r>
    </w:p>
    <w:p>
      <w:pPr>
        <w:spacing w:after="80"/>
        <w:ind w:left="360" w:hanging="360"/>
      </w:pPr>
      <w:r>
        <w:rPr>
          <w:rFonts w:ascii="Arial" w:hAnsi="Arial"/>
          <w:b/>
          <w:color w:val="1D3357"/>
          <w:sz w:val="16"/>
        </w:rPr>
        <w:t xml:space="preserve">[1] </w:t>
      </w:r>
      <w:r>
        <w:rPr>
          <w:rFonts w:ascii="Arial" w:hAnsi="Arial"/>
          <w:color w:val="20242A"/>
          <w:sz w:val="16"/>
        </w:rPr>
        <w:t>Vitals Development Project. Mobile Application Development Roadmap - .NET MAUI | iOS &amp; Android | September 2026 Launch Target. Internal project document, Sep 2026 v2.</w:t>
      </w:r>
    </w:p>
    <w:p>
      <w:pPr>
        <w:spacing w:after="80"/>
        <w:ind w:left="360" w:hanging="360"/>
      </w:pPr>
      <w:r>
        <w:rPr>
          <w:rFonts w:ascii="Arial" w:hAnsi="Arial"/>
          <w:b/>
          <w:color w:val="1D3357"/>
          <w:sz w:val="16"/>
        </w:rPr>
        <w:t xml:space="preserve">[2] </w:t>
      </w:r>
      <w:r>
        <w:rPr>
          <w:rFonts w:ascii="Arial" w:hAnsi="Arial"/>
          <w:color w:val="20242A"/>
          <w:sz w:val="16"/>
        </w:rPr>
        <w:t>Centers for Disease Control and Prevention (CDC). Adult BMI Categories. March 19, 2024. https://www.cdc.gov/bmi/adult-calculator/bmi-categories.html</w:t>
      </w:r>
    </w:p>
    <w:p>
      <w:pPr>
        <w:spacing w:after="80"/>
        <w:ind w:left="360" w:hanging="360"/>
      </w:pPr>
      <w:r>
        <w:rPr>
          <w:rFonts w:ascii="Arial" w:hAnsi="Arial"/>
          <w:b/>
          <w:color w:val="1D3357"/>
          <w:sz w:val="16"/>
        </w:rPr>
        <w:t xml:space="preserve">[3] </w:t>
      </w:r>
      <w:r>
        <w:rPr>
          <w:rFonts w:ascii="Arial" w:hAnsi="Arial"/>
          <w:color w:val="20242A"/>
          <w:sz w:val="16"/>
        </w:rPr>
        <w:t>Centers for Disease Control and Prevention (CDC). Child and Teen BMI Categories. June 28, 2024. https://www.cdc.gov/bmi/child-teen-calculator/bmi-categories.html</w:t>
      </w:r>
    </w:p>
    <w:p>
      <w:pPr>
        <w:spacing w:after="80"/>
        <w:ind w:left="360" w:hanging="360"/>
      </w:pPr>
      <w:r>
        <w:rPr>
          <w:rFonts w:ascii="Arial" w:hAnsi="Arial"/>
          <w:b/>
          <w:color w:val="1D3357"/>
          <w:sz w:val="16"/>
        </w:rPr>
        <w:t xml:space="preserve">[4] </w:t>
      </w:r>
      <w:r>
        <w:rPr>
          <w:rFonts w:ascii="Arial" w:hAnsi="Arial"/>
          <w:color w:val="20242A"/>
          <w:sz w:val="16"/>
        </w:rPr>
        <w:t>CDC National Center for Health Statistics. Growth Charts - CDC Growth Charts Data Files / LMS parameters. Last reviewed Sep 2, 2024. https://www.cdc.gov/growthcharts/cdc-data-files.htm</w:t>
      </w:r>
    </w:p>
    <w:p>
      <w:pPr>
        <w:spacing w:after="80"/>
        <w:ind w:left="360" w:hanging="360"/>
      </w:pPr>
      <w:r>
        <w:rPr>
          <w:rFonts w:ascii="Arial" w:hAnsi="Arial"/>
          <w:b/>
          <w:color w:val="1D3357"/>
          <w:sz w:val="16"/>
        </w:rPr>
        <w:t xml:space="preserve">[5] </w:t>
      </w:r>
      <w:r>
        <w:rPr>
          <w:rFonts w:ascii="Arial" w:hAnsi="Arial"/>
          <w:color w:val="20242A"/>
          <w:sz w:val="16"/>
        </w:rPr>
        <w:t>Centers for Disease Control and Prevention (CDC). What Growth Charts Are Recommended? March 14, 2025; and CDC Extended BMI-for-Age Growth Charts. https://www.cdc.gov/growth-chart-training/hcp/overview/recommended.html ; https://www.cdc.gov/growthcharts/extended-bmi.htm</w:t>
      </w:r>
    </w:p>
    <w:p>
      <w:pPr>
        <w:spacing w:after="80"/>
        <w:ind w:left="360" w:hanging="360"/>
      </w:pPr>
      <w:r>
        <w:rPr>
          <w:rFonts w:ascii="Arial" w:hAnsi="Arial"/>
          <w:b/>
          <w:color w:val="1D3357"/>
          <w:sz w:val="16"/>
        </w:rPr>
        <w:t xml:space="preserve">[6] </w:t>
      </w:r>
      <w:r>
        <w:rPr>
          <w:rFonts w:ascii="Arial" w:hAnsi="Arial"/>
          <w:color w:val="20242A"/>
          <w:sz w:val="16"/>
        </w:rPr>
        <w:t>Centers for Disease Control and Prevention (CDC). Using WHO Growth Standard Charts. March 20, 2024. https://www.cdc.gov/growth-chart-training/hcp/using-growth-charts/who-using.html</w:t>
      </w:r>
    </w:p>
    <w:p>
      <w:pPr>
        <w:spacing w:after="80"/>
        <w:ind w:left="360" w:hanging="360"/>
      </w:pPr>
      <w:r>
        <w:rPr>
          <w:rFonts w:ascii="Arial" w:hAnsi="Arial"/>
          <w:b/>
          <w:color w:val="1D3357"/>
          <w:sz w:val="16"/>
        </w:rPr>
        <w:t xml:space="preserve">[7] </w:t>
      </w:r>
      <w:r>
        <w:rPr>
          <w:rFonts w:ascii="Arial" w:hAnsi="Arial"/>
          <w:color w:val="20242A"/>
          <w:sz w:val="16"/>
        </w:rPr>
        <w:t>American Heart Association. Lifestyle Changes for Heart Failure - Monitoring Your Weight. https://www.heart.org/en/health-topics/heart-failure/treatment-options-for-heart-failure/lifestyle-changes-for-heart-failure</w:t>
      </w:r>
    </w:p>
    <w:p>
      <w:pPr>
        <w:spacing w:after="80"/>
        <w:ind w:left="360" w:hanging="360"/>
      </w:pPr>
      <w:r>
        <w:rPr>
          <w:rFonts w:ascii="Arial" w:hAnsi="Arial"/>
          <w:b/>
          <w:color w:val="1D3357"/>
          <w:sz w:val="16"/>
        </w:rPr>
        <w:t xml:space="preserve">[8] </w:t>
      </w:r>
      <w:r>
        <w:rPr>
          <w:rFonts w:ascii="Arial" w:hAnsi="Arial"/>
          <w:color w:val="20242A"/>
          <w:sz w:val="16"/>
        </w:rPr>
        <w:t>National Institute for Health and Care Excellence (NICE). Nutrition support for adults: oral nutrition support, enteral tube feeding and parenteral nutrition (CG32), Recommendations 1.2.6 and 1.3.1. Published 2006; updated 2017. https://www.nice.org.uk/guidance/cg32/chapter/recommendations</w:t>
      </w:r>
    </w:p>
    <w:p>
      <w:pPr>
        <w:spacing w:after="80"/>
        <w:ind w:left="360" w:hanging="360"/>
      </w:pPr>
      <w:r>
        <w:rPr>
          <w:rFonts w:ascii="Arial" w:hAnsi="Arial"/>
          <w:b/>
          <w:color w:val="1D3357"/>
          <w:sz w:val="16"/>
        </w:rPr>
        <w:t xml:space="preserve">[9] </w:t>
      </w:r>
      <w:r>
        <w:rPr>
          <w:rFonts w:ascii="Arial" w:hAnsi="Arial"/>
          <w:color w:val="20242A"/>
          <w:sz w:val="16"/>
        </w:rPr>
        <w:t>Merck Manual Professional Edition. Involuntary Weight Loss. Reviewed Feb 2025; updated Jan 2026. https://www.merckmanuals.com/professional/special-subjects/nonspecific-symptoms/involuntary-weight-loss</w:t>
      </w:r>
    </w:p>
    <w:p>
      <w:pPr>
        <w:spacing w:after="80"/>
        <w:ind w:left="360" w:hanging="360"/>
      </w:pPr>
      <w:r>
        <w:rPr>
          <w:rFonts w:ascii="Arial" w:hAnsi="Arial"/>
          <w:b/>
          <w:color w:val="1D3357"/>
          <w:sz w:val="16"/>
        </w:rPr>
        <w:t xml:space="preserve">[10] </w:t>
      </w:r>
      <w:r>
        <w:rPr>
          <w:rFonts w:ascii="Arial" w:hAnsi="Arial"/>
          <w:color w:val="20242A"/>
          <w:sz w:val="16"/>
        </w:rPr>
        <w:t>NIST/SEMATECH e-Handbook of Statistical Methods. 4.4.3.1 Least Squares. https://www.itl.nist.gov/div898/handbook/pmd/section4/pmd431.htm</w:t>
      </w:r>
    </w:p>
    <w:p>
      <w:pPr>
        <w:spacing w:after="80"/>
        <w:ind w:left="360" w:hanging="360"/>
      </w:pPr>
      <w:r>
        <w:rPr>
          <w:rFonts w:ascii="Arial" w:hAnsi="Arial"/>
          <w:b/>
          <w:color w:val="1D3357"/>
          <w:sz w:val="16"/>
        </w:rPr>
        <w:t xml:space="preserve">[11] </w:t>
      </w:r>
      <w:r>
        <w:rPr>
          <w:rFonts w:ascii="Arial" w:hAnsi="Arial"/>
          <w:color w:val="20242A"/>
          <w:sz w:val="16"/>
        </w:rPr>
        <w:t>NIST/SEMATECH e-Handbook of Statistical Methods. 4.1.4.4 LOESS (aka LOWESS). https://www.itl.nist.gov/div898/handbook/pmd/section1/pmd144.htm</w:t>
      </w:r>
    </w:p>
    <w:p>
      <w:pPr>
        <w:spacing w:after="80"/>
        <w:ind w:left="360" w:hanging="360"/>
      </w:pPr>
      <w:r>
        <w:rPr>
          <w:rFonts w:ascii="Arial" w:hAnsi="Arial"/>
          <w:b/>
          <w:color w:val="1D3357"/>
          <w:sz w:val="16"/>
        </w:rPr>
        <w:t xml:space="preserve">[12] </w:t>
      </w:r>
      <w:r>
        <w:rPr>
          <w:rFonts w:ascii="Arial" w:hAnsi="Arial"/>
          <w:color w:val="20242A"/>
          <w:sz w:val="16"/>
        </w:rPr>
        <w:t>NIST/SEMATECH e-Handbook of Statistical Methods. 1.3.5.6 Measures of Scale. https://www.itl.nist.gov/div898/handbook/eda/section3/eda356.htm</w:t>
      </w:r>
    </w:p>
    <w:p>
      <w:pPr>
        <w:spacing w:after="0"/>
      </w:pPr>
      <w:r>
        <w:rPr>
          <w:rFonts w:ascii="Arial" w:hAnsi="Arial"/>
          <w:i/>
          <w:color w:val="687386"/>
          <w:sz w:val="16"/>
        </w:rPr>
        <w:t>Reference maintenance: re-verify clinical sources before release and version-pin CDC growth-reference datasets/algorithms so updates cannot silently change historical pediatric results.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31"/>
      <w:gridCol w:w="3331"/>
      <w:gridCol w:w="3331"/>
    </w:tblGrid>
    <w:tr>
      <w:tc>
        <w:tcPr>
          <w:tcW w:type="dxa" w:w="0"/>
          <w:tcBorders>
            <w:top w:val="single" w:sz="4" w:color="D5D9E0"/>
            <w:left w:val="nil"/>
            <w:bottom w:val="nil"/>
            <w:right w:val="nil"/>
          </w:tcBorders>
          <w:tcMar>
            <w:top w:w="60" w:type="dxa"/>
            <w:start w:w="0" w:type="dxa"/>
            <w:bottom w:w="0" w:type="dxa"/>
            <w:end w:w="0" w:type="dxa"/>
          </w:tcMar>
        </w:tcPr>
        <w:p>
          <w:r>
            <w:rPr>
              <w:rFonts w:ascii="Arial" w:hAnsi="Arial"/>
              <w:color w:val="6B7280"/>
              <w:sz w:val="15"/>
            </w:rPr>
            <w:t>Confidential - Working Draft</w:t>
          </w:r>
        </w:p>
      </w:tc>
      <w:tc>
        <w:tcPr>
          <w:tcW w:type="dxa" w:w="0"/>
          <w:tcBorders>
            <w:top w:val="single" w:sz="4" w:color="D5D9E0"/>
            <w:left w:val="nil"/>
            <w:bottom w:val="nil"/>
            <w:right w:val="nil"/>
          </w:tcBorders>
          <w:tcMar>
            <w:top w:w="60" w:type="dxa"/>
            <w:start w:w="0" w:type="dxa"/>
            <w:bottom w:w="0" w:type="dxa"/>
            <w:end w:w="0" w:type="dxa"/>
          </w:tcMar>
        </w:tcPr>
        <w:p>
          <w:pPr>
            <w:jc w:val="center"/>
          </w:pPr>
          <w:r>
            <w:rPr>
              <w:rFonts w:ascii="Arial" w:hAnsi="Arial"/>
              <w:color w:val="6B7280"/>
              <w:sz w:val="15"/>
            </w:rPr>
            <w:t>September 2026</w:t>
          </w:r>
        </w:p>
      </w:tc>
      <w:tc>
        <w:tcPr>
          <w:tcW w:type="dxa" w:w="0"/>
          <w:tcBorders>
            <w:top w:val="single" w:sz="4" w:color="D5D9E0"/>
            <w:left w:val="nil"/>
            <w:bottom w:val="nil"/>
            <w:right w:val="nil"/>
          </w:tcBorders>
          <w:tcMar>
            <w:top w:w="60" w:type="dxa"/>
            <w:start w:w="0" w:type="dxa"/>
            <w:bottom w:w="0" w:type="dxa"/>
            <w:end w:w="0" w:type="dxa"/>
          </w:tcMar>
        </w:tcPr>
        <w:p>
          <w:pPr>
            <w:jc w:val="right"/>
          </w:pPr>
          <w:r>
            <w:rPr>
              <w:rFonts w:ascii="Arial" w:hAnsi="Arial"/>
              <w:color w:val="6B7280"/>
              <w:sz w:val="15"/>
            </w:rPr>
            <w:t xml:space="preserve">Page </w:t>
          </w:r>
          <w:r>
            <w:rPr>
              <w:rFonts w:ascii="Arial" w:hAnsi="Arial"/>
              <w:color w:val="6B7280"/>
              <w:sz w:val="15"/>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color w:val="6B7280"/>
        <w:sz w:val="15"/>
      </w:rPr>
      <w:t>Vitals Development Project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20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iabetesjournals.org/care/article/49/Supplement_1/S132/163927/6-Glycemic-Goals-Hypoglycemia-and-Hyperglycemic" TargetMode="External"/><Relationship Id="rId13" Type="http://schemas.openxmlformats.org/officeDocument/2006/relationships/hyperlink" Target="https://diabetesjournals.org/care/article/49/Supplement_1/S150/163922/7-Diabetes-Technology-Standards-of-Care-in" TargetMode="External"/><Relationship Id="rId14" Type="http://schemas.openxmlformats.org/officeDocument/2006/relationships/hyperlink" Target="https://diabetesjournals.org/care/article/49/Supplement_1/S27/163926/2-Diagnosis-and-Classification-of-Diabetes" TargetMode="External"/><Relationship Id="rId15" Type="http://schemas.openxmlformats.org/officeDocument/2006/relationships/hyperlink" Target="https://diabetesjournals.org/care/article/41/11/2275/36593/Glucose-Management-Indicator-GMI-A-New-Term-for" TargetMode="External"/><Relationship Id="rId16" Type="http://schemas.openxmlformats.org/officeDocument/2006/relationships/hyperlink" Target="https://diabetesjournals.org/care/article/42/8/1593/36184/Clinical-Targets-for-Continuous-Gluco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Weight &amp; BMI Analysis Engine - Engineering Specification</dc:title>
  <dc:subject>High-priority weight analysis sets, height onboarding changes, formulas, citations, and implementation guidance</dc:subject>
  <dc:creator>Vitals Development Project</dc:creator>
  <cp:keywords>Vitals, weight, BMI, analysis, engineering, .NET MAUI, FastAPI</cp:keywords>
  <dc:description>Working engineering specification for Vitals Development Project.</dc:description>
  <cp:lastModifiedBy/>
  <cp:revision>1</cp:revision>
  <dcterms:created xsi:type="dcterms:W3CDTF">2013-12-23T23:15:00Z</dcterms:created>
  <dcterms:modified xsi:type="dcterms:W3CDTF">2013-12-23T23:15:00Z</dcterms:modified>
  <cp:category/>
</cp:coreProperties>
</file>