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jc w:val="center"/>
      </w:pPr>
      <w:r>
        <w:drawing>
          <wp:inline distT="0" distB="0" distL="0" distR="0">
            <wp:extent cx="2667000" cy="1781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667000" cy="1781175"/>
                    </a:xfrm>
                    <a:prstGeom prst="rect">
                      <a:avLst/>
                    </a:prstGeom>
                  </pic:spPr>
                </pic:pic>
              </a:graphicData>
            </a:graphic>
          </wp:inline>
        </w:drawing>
      </w:r>
    </w:p>
    <w:p>
      <w:pPr>
        <w:spacing w:after="60" w:before="60"/>
        <w:jc w:val="center"/>
      </w:pPr>
      <w:r>
        <w:rPr>
          <w:rFonts w:ascii="Arial" w:cs="Arial" w:eastAsia="Arial" w:hAnsi="Arial"/>
          <w:b/>
          <w:bCs/>
          <w:color w:val="1B2A4A"/>
          <w:sz w:val="36"/>
          <w:szCs w:val="36"/>
        </w:rPr>
        <w:t xml:space="preserve">Mobile Application Development Roadmap</w:t>
      </w:r>
    </w:p>
    <w:p>
      <w:pPr>
        <w:pBdr>
          <w:bottom w:val="single" w:color="00B4C8" w:sz="6" w:space="6"/>
        </w:pBdr>
        <w:spacing w:after="40" w:before="40"/>
        <w:jc w:val="center"/>
      </w:pPr>
      <w:r>
        <w:rPr>
          <w:rFonts w:ascii="Arial" w:cs="Arial" w:eastAsia="Arial" w:hAnsi="Arial"/>
          <w:i/>
          <w:iCs/>
          <w:color w:val="555555"/>
          <w:sz w:val="22"/>
          <w:szCs w:val="22"/>
        </w:rPr>
        <w:t>.NET MAUI | iOS &amp; Android | October 2026 Phase 7 Update — 0.7.1b Complete</w:t>
      </w:r>
    </w:p>
    <w:p>
      <w:pPr>
        <w:spacing w:after="2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DDDDD" w:sz="1"/>
              <w:left w:val="single" w:color="DDDDDD" w:sz="1"/>
              <w:bottom w:val="single" w:color="DDDDDD" w:sz="1"/>
              <w:right w:val="single" w:color="DDDDDD" w:sz="1"/>
            </w:tcBorders>
            <w:shd w:fill="1B2A4A" w:val="clear"/>
            <w:tcMar>
              <w:top w:type="dxa" w:w="120"/>
              <w:left w:type="dxa" w:w="120"/>
              <w:bottom w:type="dxa" w:w="120"/>
              <w:right w:type="dxa" w:w="120"/>
            </w:tcMar>
          </w:tcPr>
          <w:p>
            <w:pPr>
              <w:jc w:val="center"/>
            </w:pPr>
            <w:r>
              <w:rPr>
                <w:rFonts w:ascii="Arial" w:cs="Arial" w:eastAsia="Arial" w:hAnsi="Arial"/>
                <w:b/>
                <w:bCs/>
                <w:color w:val="FFFFFF"/>
                <w:sz w:val="32"/>
                <w:szCs w:val="32"/>
              </w:rPr>
              <w:t>7 Phases</w:t>
              <w:br/>
              <w:t>Development Phases</w:t>
            </w:r>
          </w:p>
          <w:p>
            <w:pPr>
              <w:jc w:val="center"/>
            </w:pPr>
            <w:r>
              <w:rPr>
                <w:rFonts w:ascii="Arial" w:cs="Arial" w:eastAsia="Arial" w:hAnsi="Arial"/>
                <w:color w:val="AACCDD"/>
                <w:sz w:val="16"/>
                <w:szCs w:val="16"/>
              </w:rPr>
            </w:r>
          </w:p>
        </w:tc>
        <w:tc>
          <w:tcPr>
            <w:tcW w:type="dxa" w:w="2340"/>
            <w:tcBorders>
              <w:top w:val="single" w:color="DDDDDD" w:sz="1"/>
              <w:left w:val="single" w:color="DDDDDD" w:sz="1"/>
              <w:bottom w:val="single" w:color="DDDDDD" w:sz="1"/>
              <w:right w:val="single" w:color="DDDDDD" w:sz="1"/>
            </w:tcBorders>
            <w:shd w:fill="1B2A4A" w:val="clear"/>
            <w:tcMar>
              <w:top w:type="dxa" w:w="120"/>
              <w:left w:type="dxa" w:w="120"/>
              <w:bottom w:type="dxa" w:w="120"/>
              <w:right w:type="dxa" w:w="120"/>
            </w:tcMar>
          </w:tcPr>
          <w:p>
            <w:pPr>
              <w:jc w:val="center"/>
            </w:pPr>
            <w:r>
              <w:rPr>
                <w:rFonts w:ascii="Arial" w:cs="Arial" w:eastAsia="Arial" w:hAnsi="Arial"/>
                <w:b/>
                <w:bCs/>
                <w:color w:val="FFFFFF"/>
                <w:sz w:val="32"/>
                <w:szCs w:val="32"/>
              </w:rPr>
              <w:t>Phase 7 Active</w:t>
            </w:r>
          </w:p>
          <w:p>
            <w:pPr>
              <w:jc w:val="center"/>
            </w:pPr>
            <w:r>
              <w:rPr>
                <w:rFonts w:ascii="Arial" w:cs="Arial" w:eastAsia="Arial" w:hAnsi="Arial"/>
                <w:color w:val="AACCDD"/>
                <w:sz w:val="16"/>
                <w:szCs w:val="16"/>
              </w:rPr>
              <w:t>0.7.1b Complete</w:t>
            </w:r>
          </w:p>
        </w:tc>
        <w:tc>
          <w:tcPr>
            <w:tcW w:type="dxa" w:w="2340"/>
            <w:tcBorders>
              <w:top w:val="single" w:color="DDDDDD" w:sz="1"/>
              <w:left w:val="single" w:color="DDDDDD" w:sz="1"/>
              <w:bottom w:val="single" w:color="DDDDDD" w:sz="1"/>
              <w:right w:val="single" w:color="DDDDDD" w:sz="1"/>
            </w:tcBorders>
            <w:shd w:fill="1B2A4A" w:val="clear"/>
            <w:tcMar>
              <w:top w:type="dxa" w:w="120"/>
              <w:left w:type="dxa" w:w="120"/>
              <w:bottom w:type="dxa" w:w="120"/>
              <w:right w:type="dxa" w:w="120"/>
            </w:tcMar>
          </w:tcPr>
          <w:p>
            <w:pPr>
              <w:jc w:val="center"/>
            </w:pPr>
            <w:r>
              <w:rPr>
                <w:rFonts w:ascii="Arial" w:cs="Arial" w:eastAsia="Arial" w:hAnsi="Arial"/>
                <w:b/>
                <w:bCs/>
                <w:color w:val="FFFFFF"/>
                <w:sz w:val="32"/>
                <w:szCs w:val="32"/>
              </w:rPr>
              <w:t>Next Target</w:t>
            </w:r>
          </w:p>
          <w:p>
            <w:pPr>
              <w:jc w:val="center"/>
            </w:pPr>
            <w:r>
              <w:rPr>
                <w:rFonts w:ascii="Arial" w:cs="Arial" w:eastAsia="Arial" w:hAnsi="Arial"/>
                <w:color w:val="AACCDD"/>
                <w:sz w:val="16"/>
                <w:szCs w:val="16"/>
              </w:rPr>
              <w:t>0.7.2 Store Billing</w:t>
            </w:r>
          </w:p>
        </w:tc>
        <w:tc>
          <w:tcPr>
            <w:tcW w:type="dxa" w:w="2340"/>
            <w:tcBorders>
              <w:top w:val="single" w:color="DDDDDD" w:sz="1"/>
              <w:left w:val="single" w:color="DDDDDD" w:sz="1"/>
              <w:bottom w:val="single" w:color="DDDDDD" w:sz="1"/>
              <w:right w:val="single" w:color="DDDDDD" w:sz="1"/>
            </w:tcBorders>
            <w:shd w:fill="1B2A4A" w:val="clear"/>
            <w:tcMar>
              <w:top w:type="dxa" w:w="120"/>
              <w:left w:type="dxa" w:w="120"/>
              <w:bottom w:type="dxa" w:w="120"/>
              <w:right w:type="dxa" w:w="120"/>
            </w:tcMar>
          </w:tcPr>
          <w:p>
            <w:pPr>
              <w:jc w:val="center"/>
            </w:pPr>
            <w:r>
              <w:rPr>
                <w:rFonts w:ascii="Arial" w:cs="Arial" w:eastAsia="Arial" w:hAnsi="Arial"/>
                <w:b/>
                <w:bCs/>
                <w:color w:val="FFFFFF"/>
                <w:sz w:val="32"/>
                <w:szCs w:val="32"/>
              </w:rPr>
              <w:t>iOS + Android</w:t>
              <w:br/>
              <w:t>Parallel Release</w:t>
            </w:r>
          </w:p>
          <w:p>
            <w:pPr>
              <w:jc w:val="center"/>
            </w:pPr>
            <w:r>
              <w:rPr>
                <w:rFonts w:ascii="Arial" w:cs="Arial" w:eastAsia="Arial" w:hAnsi="Arial"/>
                <w:color w:val="AACCDD"/>
                <w:sz w:val="16"/>
                <w:szCs w:val="16"/>
              </w:rPr>
            </w:r>
          </w:p>
        </w:tc>
      </w:tr>
    </w:tbl>
    <w:p>
      <w:pPr>
        <w:spacing w:after="100" w:before="0"/>
      </w:pPr>
      <w:r>
        <w:t xml:space="preserve"/>
      </w:r>
    </w:p>
    <w:p>
      <w:pPr>
        <w:spacing w:after="40" w:before="120"/>
        <w:jc w:val="center"/>
      </w:pPr>
      <w:r>
        <w:rPr>
          <w:rFonts w:ascii="Arial" w:cs="Arial" w:eastAsia="Arial" w:hAnsi="Arial"/>
          <w:i/>
          <w:iCs/>
          <w:color w:val="999999"/>
          <w:sz w:val="18"/>
          <w:szCs w:val="18"/>
        </w:rPr>
        <w:t>Confidential — October 2026</w:t>
      </w:r>
    </w:p>
    <w:p>
      <w:r>
        <w:br w:type="page"/>
      </w:r>
    </w:p>
    <w:p>
      <w:pPr>
        <w:pStyle w:val="Heading1"/>
        <w:pBdr>
          <w:bottom w:val="single" w:color="00B4C8" w:sz="6" w:space="4"/>
        </w:pBdr>
        <w:spacing w:after="120" w:before="360"/>
      </w:pPr>
      <w:r>
        <w:rPr>
          <w:rFonts w:ascii="Arial" w:cs="Arial" w:eastAsia="Arial" w:hAnsi="Arial"/>
          <w:b/>
          <w:bCs/>
          <w:color w:val="1B2A4A"/>
          <w:sz w:val="32"/>
          <w:szCs w:val="32"/>
        </w:rPr>
        <w:t xml:space="preserve">Roadmap Overview</w:t>
      </w:r>
    </w:p>
    <w:p>
      <w:pPr>
        <w:spacing w:after="60" w:before="60"/>
      </w:pPr>
      <w:r>
        <w:rPr>
          <w:rFonts w:ascii="Arial" w:cs="Arial" w:eastAsia="Arial" w:hAnsi="Arial"/>
          <w:sz w:val="20"/>
          <w:szCs w:val="20"/>
        </w:rPr>
        <w:t>This document defines the development roadmap for the Vitals mobile application through store beta and public production launch. Phases 1–6 are complete. Phase 7 is active, with engineering components 0.7.1a (Trial Foundation) and 0.7.1b (Entitlement, patient-capacity, downgrade-preservation, and household-authorization foundation) completed and production-tested on October 7, 2026. The next engineering target is 0.7.2a for native Apple StoreKit and Google Play Billing integration, followed by backend purchase verification, Premium feature gating, release-candidate beta, and public store launch.</w:t>
      </w:r>
    </w:p>
    <w:p>
      <w:pPr>
        <w:spacing w:after="100" w:before="0"/>
      </w:pPr>
      <w:r>
        <w:t xml:space="preserve"/>
      </w:r>
    </w:p>
    <w:p>
      <w:pPr>
        <w:spacing w:after="60" w:before="60"/>
      </w:pPr>
      <w:r>
        <w:rPr>
          <w:rFonts w:ascii="Arial" w:cs="Arial" w:eastAsia="Arial" w:hAnsi="Arial"/>
          <w:sz w:val="20"/>
          <w:szCs w:val="20"/>
        </w:rPr>
        <w:t xml:space="preserve">The sequencing prioritizes user retention first — phases that create a reason to return tomorrow before phases that add clinical sophistication. The clinical visualization engine, which represents the white paper feature set and the primary physician distribution differentiator, is deliberately placed after the core user loop is complete and before authentication and payments.</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8"/>
        <w:gridCol w:w="3312"/>
        <w:gridCol w:w="2045"/>
        <w:gridCol w:w="1498"/>
        <w:gridCol w:w="1498"/>
      </w:tblGrid>
      <w:tr>
        <w:tc>
          <w:tcPr>
            <w:tcW w:type="dxa" w:w="1008"/>
            <w:tcBorders>
              <w:top w:val="single" w:color="DDDDDD" w:sz="1"/>
              <w:left w:val="single" w:color="DDDDDD" w:sz="1"/>
              <w:bottom w:val="single" w:color="DDDDDD" w:sz="1"/>
              <w:right w:val="single" w:color="DDDDDD" w:sz="1"/>
            </w:tcBorders>
            <w:shd w:fill="1B2A4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Phase</w:t>
            </w:r>
          </w:p>
        </w:tc>
        <w:tc>
          <w:tcPr>
            <w:tcW w:type="dxa" w:w="3312"/>
            <w:tcBorders>
              <w:top w:val="single" w:color="DDDDDD" w:sz="1"/>
              <w:left w:val="single" w:color="DDDDDD" w:sz="1"/>
              <w:bottom w:val="single" w:color="DDDDDD" w:sz="1"/>
              <w:right w:val="single" w:color="DDDDDD" w:sz="1"/>
            </w:tcBorders>
            <w:shd w:fill="1B2A4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Name</w:t>
            </w:r>
          </w:p>
        </w:tc>
        <w:tc>
          <w:tcPr>
            <w:tcW w:type="dxa" w:w="2045"/>
            <w:tcBorders>
              <w:top w:val="single" w:color="DDDDDD" w:sz="1"/>
              <w:left w:val="single" w:color="DDDDDD" w:sz="1"/>
              <w:bottom w:val="single" w:color="DDDDDD" w:sz="1"/>
              <w:right w:val="single" w:color="DDDDDD" w:sz="1"/>
            </w:tcBorders>
            <w:shd w:fill="1B2A4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Key Deliverable</w:t>
            </w:r>
          </w:p>
        </w:tc>
        <w:tc>
          <w:tcPr>
            <w:tcW w:type="dxa" w:w="1498"/>
            <w:tcBorders>
              <w:top w:val="single" w:color="DDDDDD" w:sz="1"/>
              <w:left w:val="single" w:color="DDDDDD" w:sz="1"/>
              <w:bottom w:val="single" w:color="DDDDDD" w:sz="1"/>
              <w:right w:val="single" w:color="DDDDDD" w:sz="1"/>
            </w:tcBorders>
            <w:shd w:fill="1B2A4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Timeline</w:t>
            </w:r>
          </w:p>
        </w:tc>
        <w:tc>
          <w:tcPr>
            <w:tcW w:type="dxa" w:w="1498"/>
            <w:tcBorders>
              <w:top w:val="single" w:color="DDDDDD" w:sz="1"/>
              <w:left w:val="single" w:color="DDDDDD" w:sz="1"/>
              <w:bottom w:val="single" w:color="DDDDDD" w:sz="1"/>
              <w:right w:val="single" w:color="DDDDDD" w:sz="1"/>
            </w:tcBorders>
            <w:shd w:fill="1B2A4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Status</w:t>
            </w:r>
          </w:p>
        </w:tc>
      </w:tr>
      <w:tr>
        <w:tc>
          <w:tcPr>
            <w:tcW w:type="dxa" w:w="1008"/>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center"/>
            </w:pPr>
            <w:r>
              <w:rPr>
                <w:rFonts w:ascii="Arial" w:cs="Arial" w:eastAsia="Arial" w:hAnsi="Arial"/>
                <w:b/>
                <w:bCs/>
                <w:color w:val="333333"/>
                <w:sz w:val="18"/>
                <w:szCs w:val="18"/>
              </w:rPr>
              <w:t xml:space="preserve">1</w:t>
            </w:r>
          </w:p>
        </w:tc>
        <w:tc>
          <w:tcPr>
            <w:tcW w:type="dxa" w:w="3312"/>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left"/>
            </w:pPr>
            <w:r>
              <w:rPr>
                <w:rFonts w:ascii="Arial" w:cs="Arial" w:eastAsia="Arial" w:hAnsi="Arial"/>
                <w:b w:val="false"/>
                <w:bCs w:val="false"/>
                <w:color w:val="333333"/>
                <w:sz w:val="18"/>
                <w:szCs w:val="18"/>
              </w:rPr>
              <w:t xml:space="preserve">Core Loop Complete</w:t>
            </w:r>
          </w:p>
        </w:tc>
        <w:tc>
          <w:tcPr>
            <w:tcW w:type="dxa" w:w="2045"/>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t>Dashboard + History management</w:t>
            </w:r>
          </w:p>
        </w:tc>
        <w:tc>
          <w:tcPr>
            <w:tcW w:type="dxa" w:w="1498"/>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left"/>
            </w:pPr>
            <w:r>
              <w:rPr>
                <w:rFonts w:ascii="Arial" w:cs="Arial" w:eastAsia="Arial" w:hAnsi="Arial"/>
                <w:b w:val="false"/>
                <w:bCs w:val="false"/>
                <w:color w:val="333333"/>
                <w:sz w:val="18"/>
                <w:szCs w:val="18"/>
              </w:rPr>
              <w:t xml:space="preserve">Apr–May 2026</w:t>
            </w:r>
          </w:p>
        </w:tc>
        <w:tc>
          <w:tcPr>
            <w:tcW w:type="dxa" w:w="1498"/>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center"/>
            </w:pPr>
            <w:r>
              <w:rPr>
                <w:rFonts w:ascii="Arial" w:cs="Arial" w:eastAsia="Arial" w:hAnsi="Arial"/>
                <w:b/>
                <w:bCs/>
                <w:color w:val="2E7D32"/>
                <w:sz w:val="18"/>
                <w:szCs w:val="18"/>
              </w:rPr>
              <w:t xml:space="preserve">✅ Complete</w:t>
            </w:r>
          </w:p>
        </w:tc>
      </w:tr>
      <w:tr>
        <w:tc>
          <w:tcPr>
            <w:tcW w:type="dxa" w:w="1008"/>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pPr>
              <w:jc w:val="center"/>
            </w:pPr>
            <w:r>
              <w:rPr>
                <w:rFonts w:ascii="Arial" w:cs="Arial" w:eastAsia="Arial" w:hAnsi="Arial"/>
                <w:b/>
                <w:bCs/>
                <w:color w:val="333333"/>
                <w:sz w:val="18"/>
                <w:szCs w:val="18"/>
              </w:rPr>
              <w:t xml:space="preserve">2</w:t>
            </w:r>
          </w:p>
        </w:tc>
        <w:tc>
          <w:tcPr>
            <w:tcW w:type="dxa" w:w="3312"/>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pPr>
              <w:jc w:val="left"/>
            </w:pPr>
            <w:r>
              <w:rPr>
                <w:rFonts w:ascii="Arial" w:cs="Arial" w:eastAsia="Arial" w:hAnsi="Arial"/>
                <w:b w:val="false"/>
                <w:bCs w:val="false"/>
                <w:color w:val="333333"/>
                <w:sz w:val="18"/>
                <w:szCs w:val="18"/>
              </w:rPr>
              <w:t xml:space="preserve">Clinical Value Layer</w:t>
            </w:r>
          </w:p>
        </w:tc>
        <w:tc>
          <w:tcPr>
            <w:tcW w:type="dxa" w:w="2045"/>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pPr>
              <w:jc w:val="left"/>
            </w:pPr>
            <w:r>
              <w:rPr>
                <w:rFonts w:ascii="Arial" w:cs="Arial" w:eastAsia="Arial" w:hAnsi="Arial"/>
                <w:b w:val="false"/>
                <w:bCs w:val="false"/>
                <w:color w:val="333333"/>
                <w:sz w:val="18"/>
                <w:szCs w:val="18"/>
              </w:rPr>
              <w:t xml:space="preserve">Medications + Care Team</w:t>
            </w:r>
          </w:p>
        </w:tc>
        <w:tc>
          <w:tcPr>
            <w:tcW w:type="dxa" w:w="1498"/>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pPr>
              <w:jc w:val="left"/>
            </w:pPr>
            <w:r>
              <w:rPr>
                <w:rFonts w:ascii="Arial" w:cs="Arial" w:eastAsia="Arial" w:hAnsi="Arial"/>
                <w:b w:val="false"/>
                <w:bCs w:val="false"/>
                <w:color w:val="333333"/>
                <w:sz w:val="18"/>
                <w:szCs w:val="18"/>
              </w:rPr>
              <w:t xml:space="preserve">May–Jun 2026</w:t>
            </w:r>
          </w:p>
        </w:tc>
        <w:tc>
          <w:tcPr>
            <w:tcW w:type="dxa" w:w="1498"/>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pPr>
              <w:jc w:val="center"/>
            </w:pPr>
            <w:r>
              <w:rPr>
                <w:rFonts w:ascii="Arial" w:cs="Arial" w:eastAsia="Arial" w:hAnsi="Arial"/>
                <w:b w:val="false"/>
                <w:bCs w:val="false"/>
                <w:color w:val="1565C0"/>
                <w:sz w:val="18"/>
                <w:szCs w:val="18"/>
              </w:rPr>
              <w:t xml:space="preserve">✅ Complete</w:t>
            </w:r>
          </w:p>
        </w:tc>
      </w:tr>
      <w:tr>
        <w:tc>
          <w:tcPr>
            <w:tcW w:type="dxa" w:w="1008"/>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center"/>
            </w:pPr>
            <w:r>
              <w:rPr>
                <w:rFonts w:ascii="Arial" w:cs="Arial" w:eastAsia="Arial" w:hAnsi="Arial"/>
                <w:b/>
                <w:bCs/>
                <w:color w:val="333333"/>
                <w:sz w:val="18"/>
                <w:szCs w:val="18"/>
              </w:rPr>
              <w:t xml:space="preserve">3</w:t>
            </w:r>
          </w:p>
        </w:tc>
        <w:tc>
          <w:tcPr>
            <w:tcW w:type="dxa" w:w="3312"/>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left"/>
            </w:pPr>
            <w:r>
              <w:rPr>
                <w:rFonts w:ascii="Arial" w:cs="Arial" w:eastAsia="Arial" w:hAnsi="Arial"/>
                <w:b w:val="false"/>
                <w:bCs w:val="false"/>
                <w:color w:val="333333"/>
                <w:sz w:val="18"/>
                <w:szCs w:val="18"/>
              </w:rPr>
              <w:t xml:space="preserve">PDF Export on Mobile</w:t>
            </w:r>
          </w:p>
        </w:tc>
        <w:tc>
          <w:tcPr>
            <w:tcW w:type="dxa" w:w="2045"/>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left"/>
            </w:pPr>
            <w:r>
              <w:rPr>
                <w:rFonts w:ascii="Arial" w:cs="Arial" w:eastAsia="Arial" w:hAnsi="Arial"/>
                <w:b w:val="false"/>
                <w:bCs w:val="false"/>
                <w:color w:val="333333"/>
                <w:sz w:val="18"/>
                <w:szCs w:val="18"/>
              </w:rPr>
              <w:t xml:space="preserve">Physician-grade PDF</w:t>
            </w:r>
          </w:p>
        </w:tc>
        <w:tc>
          <w:tcPr>
            <w:tcW w:type="dxa" w:w="1498"/>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left"/>
            </w:pPr>
            <w:r>
              <w:rPr>
                <w:rFonts w:ascii="Arial" w:cs="Arial" w:eastAsia="Arial" w:hAnsi="Arial"/>
                <w:b w:val="false"/>
                <w:bCs w:val="false"/>
                <w:color w:val="333333"/>
                <w:sz w:val="18"/>
                <w:szCs w:val="18"/>
              </w:rPr>
              <w:t xml:space="preserve">Jun 2026</w:t>
            </w:r>
          </w:p>
        </w:tc>
        <w:tc>
          <w:tcPr>
            <w:tcW w:type="dxa" w:w="1498"/>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center"/>
            </w:pPr>
            <w:r>
              <w:rPr>
                <w:rFonts w:ascii="Arial" w:cs="Arial" w:eastAsia="Arial" w:hAnsi="Arial"/>
                <w:b w:val="false"/>
                <w:bCs w:val="false"/>
                <w:color w:val="1565C0"/>
                <w:sz w:val="18"/>
                <w:szCs w:val="18"/>
              </w:rPr>
              <w:t xml:space="preserve">✅ Complete</w:t>
            </w:r>
          </w:p>
        </w:tc>
      </w:tr>
      <w:tr>
        <w:tc>
          <w:tcPr>
            <w:tcW w:type="dxa" w:w="1008"/>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pPr>
              <w:jc w:val="center"/>
            </w:pPr>
            <w:r>
              <w:rPr>
                <w:rFonts w:ascii="Arial" w:cs="Arial" w:eastAsia="Arial" w:hAnsi="Arial"/>
                <w:b/>
                <w:bCs/>
                <w:color w:val="333333"/>
                <w:sz w:val="18"/>
                <w:szCs w:val="18"/>
              </w:rPr>
              <w:t xml:space="preserve">4</w:t>
            </w:r>
          </w:p>
        </w:tc>
        <w:tc>
          <w:tcPr>
            <w:tcW w:type="dxa" w:w="3312"/>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pPr>
              <w:jc w:val="left"/>
            </w:pPr>
            <w:r>
              <w:rPr>
                <w:rFonts w:ascii="Arial" w:cs="Arial" w:eastAsia="Arial" w:hAnsi="Arial"/>
                <w:b w:val="false"/>
                <w:bCs w:val="false"/>
                <w:color w:val="333333"/>
                <w:sz w:val="18"/>
                <w:szCs w:val="18"/>
              </w:rPr>
              <w:t xml:space="preserve">Clinical Visualization Engine</w:t>
            </w:r>
          </w:p>
        </w:tc>
        <w:tc>
          <w:tcPr>
            <w:tcW w:type="dxa" w:w="2045"/>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pPr>
              <w:jc w:val="left"/>
            </w:pPr>
            <w:r>
              <w:rPr>
                <w:rFonts w:ascii="Arial" w:cs="Arial" w:eastAsia="Arial" w:hAnsi="Arial"/>
                <w:b w:val="false"/>
                <w:bCs w:val="false"/>
                <w:color w:val="333333"/>
                <w:sz w:val="18"/>
                <w:szCs w:val="18"/>
              </w:rPr>
              <w:t xml:space="preserve">LOESS + regression + derivatives</w:t>
            </w:r>
          </w:p>
        </w:tc>
        <w:tc>
          <w:tcPr>
            <w:tcW w:type="dxa" w:w="1498"/>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pPr>
              <w:jc w:val="left"/>
            </w:pPr>
            <w:r>
              <w:rPr>
                <w:rFonts w:ascii="Arial" w:cs="Arial" w:eastAsia="Arial" w:hAnsi="Arial"/>
                <w:b w:val="false"/>
                <w:bCs w:val="false"/>
                <w:color w:val="333333"/>
                <w:sz w:val="18"/>
                <w:szCs w:val="18"/>
              </w:rPr>
              <w:t xml:space="preserve">Apr–Jun 2026</w:t>
            </w:r>
          </w:p>
        </w:tc>
        <w:tc>
          <w:tcPr>
            <w:tcW w:type="dxa" w:w="1498"/>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pPr>
              <w:jc w:val="center"/>
            </w:pPr>
            <w:r>
              <w:rPr>
                <w:rFonts w:ascii="Arial" w:cs="Arial" w:eastAsia="Arial" w:hAnsi="Arial"/>
                <w:b w:val="false"/>
                <w:bCs w:val="false"/>
                <w:color w:val="1565C0"/>
                <w:sz w:val="18"/>
                <w:szCs w:val="18"/>
              </w:rPr>
              <w:t xml:space="preserve">✅ Complete</w:t>
            </w:r>
          </w:p>
        </w:tc>
      </w:tr>
      <w:tr>
        <w:tc>
          <w:tcPr>
            <w:tcW w:type="dxa" w:w="1008"/>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center"/>
            </w:pPr>
            <w:r>
              <w:rPr>
                <w:rFonts w:ascii="Arial" w:cs="Arial" w:eastAsia="Arial" w:hAnsi="Arial"/>
                <w:b/>
                <w:bCs/>
                <w:color w:val="333333"/>
                <w:sz w:val="18"/>
                <w:szCs w:val="18"/>
              </w:rPr>
              <w:t xml:space="preserve">5</w:t>
            </w:r>
          </w:p>
        </w:tc>
        <w:tc>
          <w:tcPr>
            <w:tcW w:type="dxa" w:w="3312"/>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left"/>
            </w:pPr>
            <w:r>
              <w:rPr>
                <w:rFonts w:ascii="Arial" w:cs="Arial" w:eastAsia="Arial" w:hAnsi="Arial"/>
                <w:b w:val="false"/>
                <w:bCs w:val="false"/>
                <w:color w:val="333333"/>
                <w:sz w:val="18"/>
                <w:szCs w:val="18"/>
              </w:rPr>
              <w:t xml:space="preserve">Authentication &amp; Multi-Patient</w:t>
            </w:r>
          </w:p>
        </w:tc>
        <w:tc>
          <w:tcPr>
            <w:tcW w:type="dxa" w:w="2045"/>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left"/>
            </w:pPr>
            <w:r>
              <w:rPr>
                <w:rFonts w:ascii="Arial" w:cs="Arial" w:eastAsia="Arial" w:hAnsi="Arial"/>
                <w:b w:val="false"/>
                <w:bCs w:val="false"/>
                <w:color w:val="333333"/>
                <w:sz w:val="18"/>
                <w:szCs w:val="18"/>
              </w:rPr>
              <w:t xml:space="preserve">User accounts + family tier</w:t>
            </w:r>
          </w:p>
        </w:tc>
        <w:tc>
          <w:tcPr>
            <w:tcW w:type="dxa" w:w="1498"/>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t>Jul–Oct 2026</w:t>
            </w:r>
          </w:p>
        </w:tc>
        <w:tc>
          <w:tcPr>
            <w:tcW w:type="dxa" w:w="1498"/>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t>✅ Complete</w:t>
            </w:r>
          </w:p>
        </w:tc>
      </w:tr>
      <w:tr>
        <w:tc>
          <w:tcPr>
            <w:tcW w:type="dxa" w:w="1008"/>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pPr>
              <w:jc w:val="center"/>
            </w:pPr>
            <w:r>
              <w:rPr>
                <w:rFonts w:ascii="Arial" w:cs="Arial" w:eastAsia="Arial" w:hAnsi="Arial"/>
                <w:b/>
                <w:bCs/>
                <w:color w:val="333333"/>
                <w:sz w:val="18"/>
                <w:szCs w:val="18"/>
              </w:rPr>
              <w:t xml:space="preserve">6</w:t>
            </w:r>
          </w:p>
        </w:tc>
        <w:tc>
          <w:tcPr>
            <w:tcW w:type="dxa" w:w="3312"/>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pPr>
              <w:jc w:val="left"/>
            </w:pPr>
            <w:r>
              <w:rPr>
                <w:rFonts w:ascii="Arial" w:cs="Arial" w:eastAsia="Arial" w:hAnsi="Arial"/>
                <w:b w:val="false"/>
                <w:bCs w:val="false"/>
                <w:color w:val="333333"/>
                <w:sz w:val="18"/>
                <w:szCs w:val="18"/>
              </w:rPr>
              <w:t xml:space="preserve">Onboarding Flow</w:t>
            </w:r>
          </w:p>
        </w:tc>
        <w:tc>
          <w:tcPr>
            <w:tcW w:type="dxa" w:w="2045"/>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pPr>
              <w:jc w:val="left"/>
            </w:pPr>
            <w:r>
              <w:rPr>
                <w:rFonts w:ascii="Arial" w:cs="Arial" w:eastAsia="Arial" w:hAnsi="Arial"/>
                <w:b w:val="false"/>
                <w:bCs w:val="false"/>
                <w:color w:val="333333"/>
                <w:sz w:val="18"/>
                <w:szCs w:val="18"/>
              </w:rPr>
              <w:t xml:space="preserve">Sample dashboard + setup</w:t>
            </w:r>
          </w:p>
        </w:tc>
        <w:tc>
          <w:tcPr>
            <w:tcW w:type="dxa" w:w="1498"/>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pPr>
              <w:jc w:val="left"/>
            </w:pPr>
            <w:r>
              <w:rPr>
                <w:rFonts w:ascii="Arial" w:cs="Arial" w:eastAsia="Arial" w:hAnsi="Arial"/>
                <w:b w:val="false"/>
                <w:bCs w:val="false"/>
                <w:color w:val="333333"/>
                <w:sz w:val="18"/>
                <w:szCs w:val="18"/>
              </w:rPr>
              <w:t>Aug-Oct 2026</w:t>
            </w:r>
          </w:p>
        </w:tc>
        <w:tc>
          <w:tcPr>
            <w:tcW w:type="dxa" w:w="1498"/>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pPr>
              <w:jc w:val="center"/>
            </w:pPr>
            <w:r>
              <w:rPr>
                <w:rFonts w:ascii="Arial" w:cs="Arial" w:eastAsia="Arial" w:hAnsi="Arial"/>
                <w:b/>
                <w:bCs w:val="false"/>
                <w:color w:val="2E7D32"/>
                <w:sz w:val="18"/>
                <w:szCs w:val="18"/>
              </w:rPr>
              <w:t>✅ Complete</w:t>
            </w:r>
          </w:p>
        </w:tc>
      </w:tr>
      <w:tr>
        <w:tc>
          <w:tcPr>
            <w:tcW w:type="dxa" w:w="1008"/>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center"/>
            </w:pPr>
            <w:r>
              <w:rPr>
                <w:rFonts w:ascii="Arial" w:cs="Arial" w:eastAsia="Arial" w:hAnsi="Arial"/>
                <w:b/>
                <w:bCs/>
                <w:color w:val="333333"/>
                <w:sz w:val="18"/>
                <w:szCs w:val="18"/>
              </w:rPr>
              <w:t xml:space="preserve">7</w:t>
            </w:r>
          </w:p>
        </w:tc>
        <w:tc>
          <w:tcPr>
            <w:tcW w:type="dxa" w:w="3312"/>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left"/>
            </w:pPr>
            <w:r>
              <w:rPr>
                <w:rFonts w:ascii="Arial" w:cs="Arial" w:eastAsia="Arial" w:hAnsi="Arial"/>
                <w:b w:val="false"/>
                <w:bCs w:val="false"/>
                <w:color w:val="333333"/>
                <w:sz w:val="18"/>
                <w:szCs w:val="18"/>
              </w:rPr>
              <w:t>Subscriptions, Entitlements &amp; Launch</w:t>
            </w:r>
          </w:p>
        </w:tc>
        <w:tc>
          <w:tcPr>
            <w:tcW w:type="dxa" w:w="2045"/>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left"/>
            </w:pPr>
            <w:r>
              <w:rPr>
                <w:rFonts w:ascii="Arial" w:cs="Arial" w:eastAsia="Arial" w:hAnsi="Arial"/>
                <w:b w:val="false"/>
                <w:bCs w:val="false"/>
                <w:color w:val="333333"/>
                <w:sz w:val="18"/>
                <w:szCs w:val="18"/>
              </w:rPr>
              <w:t>0.7.1 foundation complete; store billing next</w:t>
            </w:r>
          </w:p>
        </w:tc>
        <w:tc>
          <w:tcPr>
            <w:tcW w:type="dxa" w:w="1498"/>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left"/>
            </w:pPr>
            <w:r>
              <w:rPr>
                <w:rFonts w:ascii="Arial" w:cs="Arial" w:eastAsia="Arial" w:hAnsi="Arial"/>
                <w:b w:val="false"/>
                <w:bCs w:val="false"/>
                <w:color w:val="333333"/>
                <w:sz w:val="18"/>
                <w:szCs w:val="18"/>
              </w:rPr>
              <w:t>Oct–Nov 2026</w:t>
            </w:r>
          </w:p>
        </w:tc>
        <w:tc>
          <w:tcPr>
            <w:tcW w:type="dxa" w:w="1498"/>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center"/>
            </w:pPr>
            <w:r>
              <w:rPr>
                <w:rFonts w:ascii="Arial" w:cs="Arial" w:eastAsia="Arial" w:hAnsi="Arial"/>
                <w:b/>
                <w:bCs/>
                <w:color w:val="1565C0"/>
                <w:sz w:val="18"/>
                <w:szCs w:val="18"/>
              </w:rPr>
              <w:t>In Progress — 0.7.1b complete</w:t>
            </w:r>
          </w:p>
        </w:tc>
      </w:tr>
    </w:tbl>
    <w:p>
      <w:pPr>
        <w:spacing w:after="200" w:before="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160"/>
        <w:gridCol w:w="1800"/>
        <w:gridCol w:w="1200"/>
      </w:tblGrid>
      <w:tr>
        <w:tc>
          <w:tcPr>
            <w:tcW w:type="dxa" w:w="1200"/>
            <w:tcBorders>
              <w:top w:val="single" w:color="DDDDDD" w:sz="1"/>
              <w:left w:val="single" w:color="DDDDDD" w:sz="1"/>
              <w:bottom w:val="single" w:color="DDDDDD" w:sz="1"/>
              <w:right w:val="single" w:color="DDDDDD" w:sz="1"/>
            </w:tcBorders>
            <w:shd w:fill="1B2A4A" w:val="clear"/>
            <w:tcMar>
              <w:top w:type="dxa" w:w="100"/>
              <w:left w:type="dxa" w:w="120"/>
              <w:bottom w:type="dxa" w:w="100"/>
              <w:right w:type="dxa" w:w="120"/>
            </w:tcMar>
          </w:tcPr>
          <w:p>
            <w:pPr>
              <w:jc w:val="center"/>
            </w:pPr>
            <w:r>
              <w:rPr>
                <w:rFonts w:ascii="Arial" w:cs="Arial" w:eastAsia="Arial" w:hAnsi="Arial"/>
                <w:color w:val="AACCDD"/>
                <w:sz w:val="16"/>
                <w:szCs w:val="16"/>
              </w:rPr>
              <w:t xml:space="preserve">Phase</w:t>
            </w:r>
          </w:p>
          <w:p>
            <w:pPr>
              <w:jc w:val="center"/>
            </w:pPr>
            <w:r>
              <w:rPr>
                <w:rFonts w:ascii="Arial" w:cs="Arial" w:eastAsia="Arial" w:hAnsi="Arial"/>
                <w:b/>
                <w:bCs/>
                <w:color w:val="FFFFFF"/>
                <w:sz w:val="48"/>
                <w:szCs w:val="48"/>
              </w:rPr>
              <w:t xml:space="preserve">1</w:t>
            </w:r>
          </w:p>
        </w:tc>
        <w:tc>
          <w:tcPr>
            <w:tcW w:type="dxa" w:w="5160"/>
            <w:tcBorders>
              <w:top w:val="single" w:color="DDDDDD" w:sz="1"/>
              <w:left w:val="single" w:color="DDDDDD" w:sz="1"/>
              <w:bottom w:val="single" w:color="DDDDDD" w:sz="1"/>
              <w:right w:val="single" w:color="DDDDDD" w:sz="1"/>
            </w:tcBorders>
            <w:shd w:fill="E8F8FA" w:val="clear"/>
            <w:tcMar>
              <w:top w:type="dxa" w:w="100"/>
              <w:left w:type="dxa" w:w="160"/>
              <w:bottom w:type="dxa" w:w="100"/>
              <w:right w:type="dxa" w:w="160"/>
            </w:tcMar>
          </w:tcPr>
          <w:p>
            <w:r>
              <w:rPr>
                <w:rFonts w:ascii="Arial" w:cs="Arial" w:eastAsia="Arial" w:hAnsi="Arial"/>
                <w:b/>
                <w:bCs/>
                <w:color w:val="1B2A4A"/>
                <w:sz w:val="26"/>
                <w:szCs w:val="26"/>
              </w:rPr>
              <w:t xml:space="preserve">Core Loop Complete</w:t>
            </w:r>
          </w:p>
        </w:tc>
        <w:tc>
          <w:tcPr>
            <w:tcW w:type="dxa" w:w="1800"/>
            <w:tcBorders>
              <w:top w:val="single" w:color="DDDDDD" w:sz="1"/>
              <w:left w:val="single" w:color="DDDDDD" w:sz="1"/>
              <w:bottom w:val="single" w:color="DDDDDD" w:sz="1"/>
              <w:right w:val="single" w:color="DDDDDD" w:sz="1"/>
            </w:tcBorders>
            <w:shd w:fill="F5F5F5" w:val="clear"/>
            <w:tcMar>
              <w:top w:type="dxa" w:w="100"/>
              <w:left w:type="dxa" w:w="120"/>
              <w:bottom w:type="dxa" w:w="100"/>
              <w:right w:type="dxa" w:w="120"/>
            </w:tcMar>
          </w:tcPr>
          <w:p>
            <w:pPr>
              <w:jc w:val="center"/>
            </w:pPr>
            <w:r>
              <w:rPr>
                <w:rFonts w:ascii="Arial" w:cs="Arial" w:eastAsia="Arial" w:hAnsi="Arial"/>
                <w:color w:val="777777"/>
                <w:sz w:val="16"/>
                <w:szCs w:val="16"/>
              </w:rPr>
              <w:t xml:space="preserve">Timeline</w:t>
            </w:r>
          </w:p>
          <w:p>
            <w:pPr>
              <w:jc w:val="center"/>
            </w:pPr>
            <w:r>
              <w:rPr>
                <w:rFonts w:ascii="Arial" w:cs="Arial" w:eastAsia="Arial" w:hAnsi="Arial"/>
                <w:b/>
                <w:bCs/>
                <w:color w:val="1B2A4A"/>
                <w:sz w:val="20"/>
                <w:szCs w:val="20"/>
              </w:rPr>
              <w:t xml:space="preserve">Apr–May 2026</w:t>
            </w:r>
          </w:p>
        </w:tc>
        <w:tc>
          <w:tcPr>
            <w:tcW w:type="dxa" w:w="1200"/>
            <w:tcBorders>
              <w:top w:val="single" w:color="DDDDDD" w:sz="1"/>
              <w:left w:val="single" w:color="DDDDDD" w:sz="1"/>
              <w:bottom w:val="single" w:color="DDDDDD" w:sz="1"/>
              <w:right w:val="single" w:color="DDDDDD" w:sz="1"/>
            </w:tcBorders>
            <w:shd w:fill="F5F5F5" w:val="clear"/>
            <w:tcMar>
              <w:top w:type="dxa" w:w="100"/>
              <w:left w:type="dxa" w:w="120"/>
              <w:bottom w:type="dxa" w:w="100"/>
              <w:right w:type="dxa" w:w="120"/>
            </w:tcMar>
          </w:tcPr>
          <w:p>
            <w:pPr>
              <w:jc w:val="center"/>
            </w:pPr>
            <w:r>
              <w:rPr>
                <w:rFonts w:ascii="Arial" w:cs="Arial" w:eastAsia="Arial" w:hAnsi="Arial"/>
                <w:color w:val="777777"/>
                <w:sz w:val="16"/>
                <w:szCs w:val="16"/>
              </w:rPr>
              <w:t xml:space="preserve">Status</w:t>
            </w:r>
          </w:p>
          <w:p>
            <w:pPr>
              <w:jc w:val="center"/>
            </w:pPr>
            <w:r>
              <w:rPr>
                <w:rFonts w:ascii="Arial" w:cs="Arial" w:eastAsia="Arial" w:hAnsi="Arial"/>
                <w:b/>
                <w:bCs/>
                <w:color w:val="2E7D32"/>
                <w:sz w:val="18"/>
                <w:szCs w:val="18"/>
              </w:rPr>
              <w:t xml:space="preserve">✅ Complete</w:t>
            </w:r>
          </w:p>
        </w:tc>
      </w:tr>
    </w:tbl>
    <w:p>
      <w:pPr>
        <w:spacing w:after="100" w:before="0"/>
      </w:pPr>
      <w:r>
        <w:t xml:space="preserve"/>
      </w:r>
    </w:p>
    <w:p>
      <w:pPr>
        <w:spacing w:after="60" w:before="180"/>
      </w:pPr>
      <w:r>
        <w:rPr>
          <w:rFonts w:ascii="Arial" w:cs="Arial" w:eastAsia="Arial" w:hAnsi="Arial"/>
          <w:b/>
          <w:bCs/>
          <w:color w:val="00B4C8"/>
          <w:sz w:val="22"/>
          <w:szCs w:val="22"/>
        </w:rPr>
        <w:t xml:space="preserve">Objective</w:t>
      </w:r>
    </w:p>
    <w:p>
      <w:pPr>
        <w:spacing w:after="60" w:before="60"/>
      </w:pPr>
      <w:r>
        <w:rPr>
          <w:rFonts w:ascii="Arial" w:cs="Arial" w:eastAsia="Arial" w:hAnsi="Arial"/>
          <w:sz w:val="20"/>
          <w:szCs w:val="20"/>
        </w:rPr>
        <w:t xml:space="preserve">Close the core usage loop. The user can currently select a patient and enter vitals. Phase 1 is complete when they can also see what they entered — with meaningful context. This is the feature that creates a reason to open the app tomorrow.</w:t>
      </w:r>
    </w:p>
    <w:p>
      <w:pPr>
        <w:spacing w:after="100" w:before="0"/>
      </w:pPr>
      <w:r>
        <w:t xml:space="preserve"/>
      </w:r>
    </w:p>
    <w:p>
      <w:pPr>
        <w:spacing w:after="60" w:before="180"/>
      </w:pPr>
      <w:r>
        <w:rPr>
          <w:rFonts w:ascii="Arial" w:cs="Arial" w:eastAsia="Arial" w:hAnsi="Arial"/>
          <w:b/>
          <w:bCs/>
          <w:color w:val="00B4C8"/>
          <w:sz w:val="22"/>
          <w:szCs w:val="22"/>
        </w:rPr>
        <w:t xml:space="preserve">Screens to Build</w:t>
      </w:r>
    </w:p>
    <w:p>
      <w:pPr>
        <w:pStyle w:val="ListParagraph"/>
        <w:numPr>
          <w:ilvl w:val="0"/>
          <w:numId w:val="2"/>
        </w:numPr>
        <w:spacing w:after="40" w:before="40"/>
      </w:pPr>
      <w:r>
        <w:rPr>
          <w:rFonts w:ascii="Arial" w:cs="Arial" w:eastAsia="Arial" w:hAnsi="Arial"/>
          <w:b w:val="false"/>
          <w:bCs w:val="false"/>
          <w:sz w:val="20"/>
          <w:szCs w:val="20"/>
        </w:rPr>
        <w:t xml:space="preserve">Dashboard Screen — primary home screen showing:</w:t>
      </w:r>
    </w:p>
    <w:p>
      <w:pPr>
        <w:pStyle w:val="ListParagraph"/>
        <w:numPr>
          <w:ilvl w:val="0"/>
          <w:numId w:val="3"/>
        </w:numPr>
        <w:spacing w:after="30" w:before="30"/>
      </w:pPr>
      <w:r>
        <w:rPr>
          <w:rFonts w:ascii="Arial" w:cs="Arial" w:eastAsia="Arial" w:hAnsi="Arial"/>
          <w:color w:val="444444"/>
          <w:sz w:val="18"/>
          <w:szCs w:val="18"/>
        </w:rPr>
        <w:t xml:space="preserve">Latest vitals reading with timestamp</w:t>
      </w:r>
    </w:p>
    <w:p>
      <w:pPr>
        <w:pStyle w:val="ListParagraph"/>
        <w:numPr>
          <w:ilvl w:val="0"/>
          <w:numId w:val="3"/>
        </w:numPr>
        <w:spacing w:after="30" w:before="30"/>
      </w:pPr>
      <w:r>
        <w:rPr>
          <w:rFonts w:ascii="Arial" w:cs="Arial" w:eastAsia="Arial" w:hAnsi="Arial"/>
          <w:color w:val="444444"/>
          <w:sz w:val="18"/>
          <w:szCs w:val="18"/>
        </w:rPr>
        <w:t xml:space="preserve">15-day averages for each tracked metric</w:t>
      </w:r>
    </w:p>
    <w:p>
      <w:pPr>
        <w:pStyle w:val="ListParagraph"/>
        <w:numPr>
          <w:ilvl w:val="0"/>
          <w:numId w:val="3"/>
        </w:numPr>
        <w:spacing w:after="30" w:before="30"/>
      </w:pPr>
      <w:r>
        <w:rPr>
          <w:rFonts w:ascii="Arial" w:cs="Arial" w:eastAsia="Arial" w:hAnsi="Arial"/>
          <w:color w:val="444444"/>
          <w:sz w:val="18"/>
          <w:szCs w:val="18"/>
        </w:rPr>
        <w:t xml:space="preserve">Basic trend charts (line graph per vital sign)</w:t>
      </w:r>
    </w:p>
    <w:p>
      <w:pPr>
        <w:pStyle w:val="ListParagraph"/>
        <w:numPr>
          <w:ilvl w:val="0"/>
          <w:numId w:val="3"/>
        </w:numPr>
        <w:spacing w:after="30" w:before="30"/>
      </w:pPr>
      <w:r>
        <w:rPr>
          <w:rFonts w:ascii="Arial" w:cs="Arial" w:eastAsia="Arial" w:hAnsi="Arial"/>
          <w:color w:val="444444"/>
          <w:sz w:val="18"/>
          <w:szCs w:val="18"/>
        </w:rPr>
        <w:t xml:space="preserve">Quick-entry button to log new vitals</w:t>
      </w:r>
    </w:p>
    <w:p>
      <w:pPr>
        <w:pStyle w:val="ListParagraph"/>
        <w:numPr>
          <w:ilvl w:val="0"/>
          <w:numId w:val="2"/>
        </w:numPr>
        <w:spacing w:after="40" w:before="40"/>
      </w:pPr>
      <w:r>
        <w:rPr>
          <w:rFonts w:ascii="Arial" w:cs="Arial" w:eastAsia="Arial" w:hAnsi="Arial"/>
          <w:b w:val="false"/>
          <w:bCs w:val="false"/>
          <w:sz w:val="20"/>
          <w:szCs w:val="20"/>
        </w:rPr>
        <w:t>Vitals History Screen — scrollable history of past readings with date/time plus record-level management actions</w:t>
      </w:r>
    </w:p>
    <w:p>
      <w:pPr>
        <w:pStyle w:val="ListParagraph"/>
        <w:numPr>
          <w:ilvl w:val="0"/>
          <w:numId w:val="2"/>
        </w:numPr>
        <w:spacing w:after="40" w:before="40"/>
      </w:pPr>
      <w:r>
        <w:rPr>
          <w:rFonts w:ascii="Arial" w:cs="Arial" w:eastAsia="Arial" w:hAnsi="Arial"/>
          <w:b/>
          <w:bCs w:val="false"/>
          <w:color w:val="2E7D32"/>
          <w:sz w:val="18"/>
          <w:szCs w:val="20"/>
        </w:rPr>
        <w:t>✅ Completed enhancement (Oct 2026): historical vitals records now support edit, reassignment to another patient in the same household, and delete. Each reading uses a stable vital_id; notes/context are preserved through edits, and affected analysis caches are recomputed after record mutation.</w:t>
      </w:r>
    </w:p>
    <w:p>
      <w:pPr>
        <w:spacing w:after="100" w:before="0"/>
      </w:pPr>
      <w:r>
        <w:t xml:space="preserve"/>
      </w:r>
    </w:p>
    <w:p>
      <w:pPr>
        <w:spacing w:after="60" w:before="180"/>
      </w:pPr>
      <w:r>
        <w:rPr>
          <w:rFonts w:ascii="Arial" w:cs="Arial" w:eastAsia="Arial" w:hAnsi="Arial"/>
          <w:b/>
          <w:bCs/>
          <w:color w:val="00B4C8"/>
          <w:sz w:val="22"/>
          <w:szCs w:val="22"/>
        </w:rPr>
        <w:t xml:space="preserve">Definition of Done</w:t>
      </w:r>
    </w:p>
    <w:p>
      <w:pPr>
        <w:pStyle w:val="ListParagraph"/>
        <w:numPr>
          <w:ilvl w:val="0"/>
          <w:numId w:val="2"/>
        </w:numPr>
        <w:spacing w:after="40" w:before="40"/>
      </w:pPr>
      <w:r>
        <w:rPr>
          <w:rFonts w:ascii="Arial" w:cs="Arial" w:eastAsia="Arial" w:hAnsi="Arial"/>
          <w:b w:val="false"/>
          <w:bCs w:val="false"/>
          <w:sz w:val="20"/>
          <w:szCs w:val="20"/>
        </w:rPr>
        <w:t xml:space="preserve">User opens app and immediately sees their most recent reading and trend</w:t>
      </w:r>
    </w:p>
    <w:p>
      <w:pPr>
        <w:pStyle w:val="ListParagraph"/>
        <w:numPr>
          <w:ilvl w:val="0"/>
          <w:numId w:val="2"/>
        </w:numPr>
        <w:spacing w:after="40" w:before="40"/>
      </w:pPr>
      <w:r>
        <w:rPr>
          <w:rFonts w:ascii="Arial" w:cs="Arial" w:eastAsia="Arial" w:hAnsi="Arial"/>
          <w:b w:val="false"/>
          <w:bCs w:val="false"/>
          <w:sz w:val="20"/>
          <w:szCs w:val="20"/>
        </w:rPr>
        <w:t xml:space="preserve">Charts render correctly on both Android and iOS</w:t>
      </w:r>
    </w:p>
    <w:p>
      <w:pPr>
        <w:pStyle w:val="ListParagraph"/>
        <w:numPr>
          <w:ilvl w:val="0"/>
          <w:numId w:val="2"/>
        </w:numPr>
        <w:spacing w:after="40" w:before="40"/>
      </w:pPr>
      <w:r>
        <w:rPr>
          <w:rFonts w:ascii="Arial" w:cs="Arial" w:eastAsia="Arial" w:hAnsi="Arial"/>
          <w:b w:val="false"/>
          <w:bCs w:val="false"/>
          <w:sz w:val="20"/>
          <w:szCs w:val="20"/>
        </w:rPr>
        <w:t xml:space="preserve">Data persists correctly between sessions</w:t>
      </w:r>
    </w:p>
    <w:p>
      <w:pPr>
        <w:pStyle w:val="ListParagraph"/>
        <w:numPr>
          <w:ilvl w:val="0"/>
          <w:numId w:val="2"/>
        </w:numPr>
        <w:spacing w:after="40" w:before="40"/>
      </w:pPr>
      <w:r>
        <w:rPr>
          <w:rFonts w:ascii="Arial" w:cs="Arial" w:eastAsia="Arial" w:hAnsi="Arial"/>
          <w:b w:val="false"/>
          <w:bCs w:val="false"/>
          <w:sz w:val="20"/>
          <w:szCs w:val="20"/>
        </w:rPr>
        <w:t xml:space="preserve">Navigation between patient selection, vitals input, and dashboard is seamless</w:t>
      </w:r>
    </w:p>
    <w:p>
      <w:pPr>
        <w:pStyle w:val="ListParagraph"/>
        <w:numPr>
          <w:ilvl w:val="0"/>
          <w:numId w:val="2"/>
        </w:numPr>
        <w:spacing w:after="40" w:before="40"/>
      </w:pPr>
      <w:r>
        <w:rPr>
          <w:rFonts w:ascii="Arial" w:cs="Arial" w:eastAsia="Arial" w:hAnsi="Arial"/>
          <w:b w:val="false"/>
          <w:bCs w:val="false"/>
          <w:sz w:val="20"/>
          <w:szCs w:val="20"/>
        </w:rPr>
        <w:t>Historical readings can be edited, reassigned, and deleted without stale analysis results or cross-household data leakage.</w:t>
      </w:r>
    </w:p>
    <w:p>
      <w:pPr>
        <w:spacing w:after="100" w:before="0"/>
      </w:pPr>
      <w:r>
        <w:t xml:space="preserve"/>
      </w:r>
    </w:p>
    <w:p>
      <w:pPr>
        <w:spacing w:after="60" w:before="180"/>
      </w:pPr>
      <w:r>
        <w:rPr>
          <w:rFonts w:ascii="Arial" w:cs="Arial" w:eastAsia="Arial" w:hAnsi="Arial"/>
          <w:b/>
          <w:bCs/>
          <w:color w:val="00B4C8"/>
          <w:sz w:val="22"/>
          <w:szCs w:val="22"/>
        </w:rPr>
        <w:t xml:space="preserve">Strategic Rationale</w:t>
      </w:r>
    </w:p>
    <w:p>
      <w:pPr>
        <w:spacing w:after="60" w:before="60"/>
      </w:pPr>
      <w:r>
        <w:rPr>
          <w:rFonts w:ascii="Arial" w:cs="Arial" w:eastAsia="Arial" w:hAnsi="Arial"/>
          <w:sz w:val="20"/>
          <w:szCs w:val="20"/>
        </w:rPr>
        <w:t xml:space="preserve">Without the dashboard, the app is a data entry form with no feedback loop. Users who enter data and see nothing will not return. The dashboard transforms the app from a logging tool into a health awareness tool — which is the emotional promise Vitals makes on day one.</w:t>
      </w:r>
    </w:p>
    <w:p>
      <w:pPr>
        <w:spacing w:after="100" w:before="0"/>
      </w:pPr>
      <w:r>
        <w:t xml:space="preserve"/>
      </w:r>
    </w:p>
    <w:p>
      <w:pPr>
        <w:spacing w:after="60" w:before="180"/>
      </w:pPr>
      <w:r>
        <w:rPr>
          <w:rFonts w:ascii="Arial" w:cs="Arial" w:eastAsia="Arial" w:hAnsi="Arial"/>
          <w:b/>
          <w:bCs/>
          <w:color w:val="00B4C8"/>
          <w:sz w:val="22"/>
          <w:szCs w:val="22"/>
        </w:rPr>
        <w:t xml:space="preserve">Dependencies</w:t>
      </w:r>
    </w:p>
    <w:p>
      <w:pPr>
        <w:pStyle w:val="ListParagraph"/>
        <w:numPr>
          <w:ilvl w:val="0"/>
          <w:numId w:val="2"/>
        </w:numPr>
        <w:spacing w:after="40" w:before="40"/>
      </w:pPr>
      <w:r>
        <w:rPr>
          <w:rFonts w:ascii="Arial" w:cs="Arial" w:eastAsia="Arial" w:hAnsi="Arial"/>
          <w:b w:val="false"/>
          <w:bCs w:val="false"/>
          <w:sz w:val="20"/>
          <w:szCs w:val="20"/>
        </w:rPr>
        <w:t xml:space="preserve">Vitals entry screen (complete)</w:t>
      </w:r>
    </w:p>
    <w:p>
      <w:pPr>
        <w:pStyle w:val="ListParagraph"/>
        <w:numPr>
          <w:ilvl w:val="0"/>
          <w:numId w:val="2"/>
        </w:numPr>
        <w:spacing w:after="40" w:before="40"/>
      </w:pPr>
      <w:r>
        <w:rPr>
          <w:rFonts w:ascii="Arial" w:cs="Arial" w:eastAsia="Arial" w:hAnsi="Arial"/>
          <w:b w:val="false"/>
          <w:bCs w:val="false"/>
          <w:sz w:val="20"/>
          <w:szCs w:val="20"/>
        </w:rPr>
        <w:t xml:space="preserve">Patient selection screen (complete)</w:t>
      </w:r>
    </w:p>
    <w:p>
      <w:pPr>
        <w:pStyle w:val="ListParagraph"/>
        <w:numPr>
          <w:ilvl w:val="0"/>
          <w:numId w:val="2"/>
        </w:numPr>
        <w:spacing w:after="40" w:before="40"/>
      </w:pPr>
      <w:r>
        <w:rPr>
          <w:rFonts w:ascii="Arial" w:cs="Arial" w:eastAsia="Arial" w:hAnsi="Arial"/>
          <w:b w:val="false"/>
          <w:bCs w:val="false"/>
          <w:sz w:val="20"/>
          <w:szCs w:val="20"/>
        </w:rPr>
        <w:t xml:space="preserve">FastAPI backend averages endpoints (complete)</w:t>
      </w:r>
    </w:p>
    <w:p>
      <w:pPr>
        <w:pStyle w:val="ListParagraph"/>
        <w:numPr>
          <w:ilvl w:val="0"/>
          <w:numId w:val="2"/>
        </w:numPr>
        <w:spacing w:after="40" w:before="40"/>
      </w:pPr>
      <w:r>
        <w:rPr>
          <w:rFonts w:ascii="Arial" w:cs="Arial" w:eastAsia="Arial" w:hAnsi="Arial"/>
          <w:b w:val="false"/>
          <w:bCs w:val="false"/>
          <w:sz w:val="20"/>
          <w:szCs w:val="20"/>
        </w:rPr>
        <w:t xml:space="preserve">matplotlib trend chart data available via API</w:t>
      </w:r>
    </w:p>
    <w:p>
      <w:pPr>
        <w:spacing w:after="200" w:before="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160"/>
        <w:gridCol w:w="1800"/>
        <w:gridCol w:w="1200"/>
      </w:tblGrid>
      <w:tr>
        <w:tc>
          <w:tcPr>
            <w:tcW w:type="dxa" w:w="1200"/>
            <w:tcBorders>
              <w:top w:val="single" w:color="DDDDDD" w:sz="1"/>
              <w:left w:val="single" w:color="DDDDDD" w:sz="1"/>
              <w:bottom w:val="single" w:color="DDDDDD" w:sz="1"/>
              <w:right w:val="single" w:color="DDDDDD" w:sz="1"/>
            </w:tcBorders>
            <w:shd w:fill="1B2A4A" w:val="clear"/>
            <w:tcMar>
              <w:top w:type="dxa" w:w="100"/>
              <w:left w:type="dxa" w:w="120"/>
              <w:bottom w:type="dxa" w:w="100"/>
              <w:right w:type="dxa" w:w="120"/>
            </w:tcMar>
          </w:tcPr>
          <w:p>
            <w:pPr>
              <w:jc w:val="center"/>
            </w:pPr>
            <w:r>
              <w:rPr>
                <w:rFonts w:ascii="Arial" w:cs="Arial" w:eastAsia="Arial" w:hAnsi="Arial"/>
                <w:color w:val="AACCDD"/>
                <w:sz w:val="16"/>
                <w:szCs w:val="16"/>
              </w:rPr>
              <w:t xml:space="preserve">Phase</w:t>
            </w:r>
          </w:p>
          <w:p>
            <w:pPr>
              <w:jc w:val="center"/>
            </w:pPr>
            <w:r>
              <w:rPr>
                <w:rFonts w:ascii="Arial" w:cs="Arial" w:eastAsia="Arial" w:hAnsi="Arial"/>
                <w:b/>
                <w:bCs/>
                <w:color w:val="FFFFFF"/>
                <w:sz w:val="48"/>
                <w:szCs w:val="48"/>
              </w:rPr>
              <w:t xml:space="preserve">2</w:t>
            </w:r>
          </w:p>
        </w:tc>
        <w:tc>
          <w:tcPr>
            <w:tcW w:type="dxa" w:w="5160"/>
            <w:tcBorders>
              <w:top w:val="single" w:color="DDDDDD" w:sz="1"/>
              <w:left w:val="single" w:color="DDDDDD" w:sz="1"/>
              <w:bottom w:val="single" w:color="DDDDDD" w:sz="1"/>
              <w:right w:val="single" w:color="DDDDDD" w:sz="1"/>
            </w:tcBorders>
            <w:shd w:fill="E8F8FA" w:val="clear"/>
            <w:tcMar>
              <w:top w:type="dxa" w:w="100"/>
              <w:left w:type="dxa" w:w="160"/>
              <w:bottom w:type="dxa" w:w="100"/>
              <w:right w:type="dxa" w:w="160"/>
            </w:tcMar>
          </w:tcPr>
          <w:p>
            <w:r>
              <w:rPr>
                <w:rFonts w:ascii="Arial" w:cs="Arial" w:eastAsia="Arial" w:hAnsi="Arial"/>
                <w:b/>
                <w:bCs/>
                <w:color w:val="1B2A4A"/>
                <w:sz w:val="26"/>
                <w:szCs w:val="26"/>
              </w:rPr>
              <w:t xml:space="preserve">Clinical Value Layer</w:t>
            </w:r>
          </w:p>
        </w:tc>
        <w:tc>
          <w:tcPr>
            <w:tcW w:type="dxa" w:w="1800"/>
            <w:tcBorders>
              <w:top w:val="single" w:color="DDDDDD" w:sz="1"/>
              <w:left w:val="single" w:color="DDDDDD" w:sz="1"/>
              <w:bottom w:val="single" w:color="DDDDDD" w:sz="1"/>
              <w:right w:val="single" w:color="DDDDDD" w:sz="1"/>
            </w:tcBorders>
            <w:shd w:fill="F5F5F5" w:val="clear"/>
            <w:tcMar>
              <w:top w:type="dxa" w:w="100"/>
              <w:left w:type="dxa" w:w="120"/>
              <w:bottom w:type="dxa" w:w="100"/>
              <w:right w:type="dxa" w:w="120"/>
            </w:tcMar>
          </w:tcPr>
          <w:p>
            <w:pPr>
              <w:jc w:val="center"/>
            </w:pPr>
            <w:r>
              <w:rPr>
                <w:rFonts w:ascii="Arial" w:cs="Arial" w:eastAsia="Arial" w:hAnsi="Arial"/>
                <w:color w:val="777777"/>
                <w:sz w:val="16"/>
                <w:szCs w:val="16"/>
              </w:rPr>
              <w:t xml:space="preserve">Timeline</w:t>
            </w:r>
          </w:p>
          <w:p>
            <w:pPr>
              <w:jc w:val="center"/>
            </w:pPr>
            <w:r>
              <w:rPr>
                <w:rFonts w:ascii="Arial" w:cs="Arial" w:eastAsia="Arial" w:hAnsi="Arial"/>
                <w:b/>
                <w:bCs/>
                <w:color w:val="1B2A4A"/>
                <w:sz w:val="20"/>
                <w:szCs w:val="20"/>
              </w:rPr>
              <w:t xml:space="preserve">May–Jun 2026</w:t>
            </w:r>
          </w:p>
        </w:tc>
        <w:tc>
          <w:tcPr>
            <w:tcW w:type="dxa" w:w="1200"/>
            <w:tcBorders>
              <w:top w:val="single" w:color="DDDDDD" w:sz="1"/>
              <w:left w:val="single" w:color="DDDDDD" w:sz="1"/>
              <w:bottom w:val="single" w:color="DDDDDD" w:sz="1"/>
              <w:right w:val="single" w:color="DDDDDD" w:sz="1"/>
            </w:tcBorders>
            <w:shd w:fill="F5F5F5" w:val="clear"/>
            <w:tcMar>
              <w:top w:type="dxa" w:w="100"/>
              <w:left w:type="dxa" w:w="120"/>
              <w:bottom w:type="dxa" w:w="100"/>
              <w:right w:type="dxa" w:w="120"/>
            </w:tcMar>
          </w:tcPr>
          <w:p>
            <w:pPr>
              <w:jc w:val="center"/>
            </w:pPr>
            <w:r>
              <w:rPr>
                <w:rFonts w:ascii="Arial" w:cs="Arial" w:eastAsia="Arial" w:hAnsi="Arial"/>
                <w:color w:val="777777"/>
                <w:sz w:val="16"/>
                <w:szCs w:val="16"/>
              </w:rPr>
              <w:t xml:space="preserve">Status</w:t>
            </w:r>
          </w:p>
          <w:p>
            <w:pPr>
              <w:jc w:val="center"/>
            </w:pPr>
            <w:r>
              <w:rPr>
                <w:rFonts w:ascii="Arial" w:cs="Arial" w:eastAsia="Arial" w:hAnsi="Arial"/>
                <w:b/>
                <w:bCs/>
                <w:color w:val="1565C0"/>
                <w:sz w:val="18"/>
                <w:szCs w:val="18"/>
              </w:rPr>
              <w:t xml:space="preserve">✅ Complete</w:t>
            </w:r>
          </w:p>
        </w:tc>
      </w:tr>
    </w:tbl>
    <w:p>
      <w:pPr>
        <w:spacing w:after="100" w:before="0"/>
      </w:pPr>
      <w:r>
        <w:t xml:space="preserve"/>
      </w:r>
    </w:p>
    <w:p>
      <w:pPr>
        <w:spacing w:after="60" w:before="180"/>
      </w:pPr>
      <w:r>
        <w:rPr>
          <w:rFonts w:ascii="Arial" w:cs="Arial" w:eastAsia="Arial" w:hAnsi="Arial"/>
          <w:b/>
          <w:bCs/>
          <w:color w:val="00B4C8"/>
          <w:sz w:val="22"/>
          <w:szCs w:val="22"/>
        </w:rPr>
        <w:t xml:space="preserve">Objective</w:t>
      </w:r>
    </w:p>
    <w:p>
      <w:pPr>
        <w:spacing w:after="60" w:before="60"/>
      </w:pPr>
      <w:r>
        <w:rPr>
          <w:rFonts w:ascii="Arial" w:cs="Arial" w:eastAsia="Arial" w:hAnsi="Arial"/>
          <w:sz w:val="20"/>
          <w:szCs w:val="20"/>
        </w:rPr>
        <w:t xml:space="preserve">Add the two data modules that transform Vitals from a blood pressure tracker into a caregiver platform: medication management and care team directory. These modules populate the PDF export and are the primary features that differentiate Vitals from every competitor in the market.</w:t>
      </w:r>
    </w:p>
    <w:p>
      <w:pPr>
        <w:spacing w:after="100" w:before="0"/>
      </w:pPr>
      <w:r>
        <w:t xml:space="preserve"/>
      </w:r>
    </w:p>
    <w:p>
      <w:pPr>
        <w:spacing w:after="60" w:before="180"/>
      </w:pPr>
      <w:r>
        <w:rPr>
          <w:rFonts w:ascii="Arial" w:cs="Arial" w:eastAsia="Arial" w:hAnsi="Arial"/>
          <w:b/>
          <w:bCs/>
          <w:color w:val="00B4C8"/>
          <w:sz w:val="22"/>
          <w:szCs w:val="22"/>
        </w:rPr>
        <w:t xml:space="preserve">Screens to Build</w:t>
      </w:r>
    </w:p>
    <w:p>
      <w:pPr>
        <w:pStyle w:val="ListParagraph"/>
        <w:numPr>
          <w:ilvl w:val="0"/>
          <w:numId w:val="2"/>
        </w:numPr>
        <w:spacing w:after="40" w:before="40"/>
      </w:pPr>
      <w:r>
        <w:rPr>
          <w:rFonts w:ascii="Arial" w:cs="Arial" w:eastAsia="Arial" w:hAnsi="Arial"/>
          <w:b w:val="false"/>
          <w:bCs w:val="false"/>
          <w:sz w:val="20"/>
          <w:szCs w:val="20"/>
        </w:rPr>
        <w:t xml:space="preserve">Medication List Screen — view all medications for selected patient</w:t>
      </w:r>
    </w:p>
    <w:p>
      <w:pPr>
        <w:pStyle w:val="ListParagraph"/>
        <w:numPr>
          <w:ilvl w:val="0"/>
          <w:numId w:val="2"/>
        </w:numPr>
        <w:spacing w:after="40" w:before="40"/>
      </w:pPr>
      <w:r>
        <w:rPr>
          <w:rFonts w:ascii="Arial" w:cs="Arial" w:eastAsia="Arial" w:hAnsi="Arial"/>
          <w:b w:val="false"/>
          <w:bCs w:val="false"/>
          <w:sz w:val="20"/>
          <w:szCs w:val="20"/>
        </w:rPr>
        <w:t xml:space="preserve">Add/Edit Medication Screen — name, dosage, frequency, prescribing physician, pharmacy, start date</w:t>
      </w:r>
    </w:p>
    <w:p>
      <w:pPr>
        <w:pStyle w:val="ListParagraph"/>
        <w:numPr>
          <w:ilvl w:val="0"/>
          <w:numId w:val="2"/>
        </w:numPr>
        <w:spacing w:after="40" w:before="40"/>
      </w:pPr>
      <w:r>
        <w:rPr>
          <w:rFonts w:ascii="Arial" w:cs="Arial" w:eastAsia="Arial" w:hAnsi="Arial"/>
          <w:b w:val="false"/>
          <w:bCs w:val="false"/>
          <w:sz w:val="20"/>
          <w:szCs w:val="20"/>
        </w:rPr>
        <w:t xml:space="preserve">Medication History — track changes over time (critical for medication timeline in clinical visualization)</w:t>
      </w:r>
    </w:p>
    <w:p>
      <w:pPr>
        <w:pStyle w:val="ListParagraph"/>
        <w:numPr>
          <w:ilvl w:val="0"/>
          <w:numId w:val="2"/>
        </w:numPr>
        <w:spacing w:after="40" w:before="40"/>
      </w:pPr>
      <w:r>
        <w:rPr>
          <w:rFonts w:ascii="Arial" w:cs="Arial" w:eastAsia="Arial" w:hAnsi="Arial"/>
          <w:b w:val="false"/>
          <w:bCs w:val="false"/>
          <w:sz w:val="20"/>
          <w:szCs w:val="20"/>
        </w:rPr>
        <w:t xml:space="preserve">Care Team Directory Screen — list of physicians and specialists</w:t>
      </w:r>
    </w:p>
    <w:p>
      <w:pPr>
        <w:pStyle w:val="ListParagraph"/>
        <w:numPr>
          <w:ilvl w:val="0"/>
          <w:numId w:val="2"/>
        </w:numPr>
        <w:spacing w:after="40" w:before="40"/>
      </w:pPr>
      <w:r>
        <w:rPr>
          <w:rFonts w:ascii="Arial" w:cs="Arial" w:eastAsia="Arial" w:hAnsi="Arial"/>
          <w:b w:val="false"/>
          <w:bCs w:val="false"/>
          <w:sz w:val="20"/>
          <w:szCs w:val="20"/>
        </w:rPr>
        <w:t xml:space="preserve">Add/Edit Provider Screen — name, specialty, practice, phone, address, last visit, next visit</w:t>
      </w:r>
    </w:p>
    <w:p>
      <w:pPr>
        <w:spacing w:after="100" w:before="0"/>
      </w:pPr>
      <w:r>
        <w:t xml:space="preserve"/>
      </w:r>
    </w:p>
    <w:p>
      <w:pPr>
        <w:spacing w:after="60" w:before="180"/>
      </w:pPr>
      <w:r>
        <w:rPr>
          <w:rFonts w:ascii="Arial" w:cs="Arial" w:eastAsia="Arial" w:hAnsi="Arial"/>
          <w:b/>
          <w:bCs/>
          <w:color w:val="00B4C8"/>
          <w:sz w:val="22"/>
          <w:szCs w:val="22"/>
        </w:rPr>
        <w:t xml:space="preserve">Definition of Done</w:t>
      </w:r>
    </w:p>
    <w:p>
      <w:pPr>
        <w:pStyle w:val="ListParagraph"/>
        <w:numPr>
          <w:ilvl w:val="0"/>
          <w:numId w:val="2"/>
        </w:numPr>
        <w:spacing w:after="40" w:before="40"/>
      </w:pPr>
      <w:r>
        <w:rPr>
          <w:rFonts w:ascii="Arial" w:cs="Arial" w:eastAsia="Arial" w:hAnsi="Arial"/>
          <w:b w:val="false"/>
          <w:bCs w:val="false"/>
          <w:sz w:val="20"/>
          <w:szCs w:val="20"/>
        </w:rPr>
        <w:t xml:space="preserve">User can add, edit, and delete medications with full detail</w:t>
      </w:r>
    </w:p>
    <w:p>
      <w:pPr>
        <w:pStyle w:val="ListParagraph"/>
        <w:numPr>
          <w:ilvl w:val="0"/>
          <w:numId w:val="2"/>
        </w:numPr>
        <w:spacing w:after="40" w:before="40"/>
      </w:pPr>
      <w:r>
        <w:rPr>
          <w:rFonts w:ascii="Arial" w:cs="Arial" w:eastAsia="Arial" w:hAnsi="Arial"/>
          <w:b w:val="false"/>
          <w:bCs w:val="false"/>
          <w:sz w:val="20"/>
          <w:szCs w:val="20"/>
        </w:rPr>
        <w:t xml:space="preserve">User can add, edit, and delete care team members</w:t>
      </w:r>
    </w:p>
    <w:p>
      <w:pPr>
        <w:pStyle w:val="ListParagraph"/>
        <w:numPr>
          <w:ilvl w:val="0"/>
          <w:numId w:val="2"/>
        </w:numPr>
        <w:spacing w:after="40" w:before="40"/>
      </w:pPr>
      <w:r>
        <w:rPr>
          <w:rFonts w:ascii="Arial" w:cs="Arial" w:eastAsia="Arial" w:hAnsi="Arial"/>
          <w:b w:val="false"/>
          <w:bCs w:val="false"/>
          <w:sz w:val="20"/>
          <w:szCs w:val="20"/>
        </w:rPr>
        <w:t xml:space="preserve">Data persists correctly and associates correctly with the selected patient</w:t>
      </w:r>
    </w:p>
    <w:p>
      <w:pPr>
        <w:pStyle w:val="ListParagraph"/>
        <w:numPr>
          <w:ilvl w:val="0"/>
          <w:numId w:val="2"/>
        </w:numPr>
        <w:spacing w:after="40" w:before="40"/>
      </w:pPr>
      <w:r>
        <w:rPr>
          <w:rFonts w:ascii="Arial" w:cs="Arial" w:eastAsia="Arial" w:hAnsi="Arial"/>
          <w:b w:val="false"/>
          <w:bCs w:val="false"/>
          <w:sz w:val="20"/>
          <w:szCs w:val="20"/>
        </w:rPr>
        <w:t xml:space="preserve">Medication data is available to the PDF export pipeline</w:t>
      </w:r>
    </w:p>
    <w:p>
      <w:pPr>
        <w:spacing w:after="100" w:before="0"/>
      </w:pPr>
      <w:r>
        <w:t xml:space="preserve"/>
      </w:r>
    </w:p>
    <w:p>
      <w:pPr>
        <w:spacing w:after="60" w:before="180"/>
      </w:pPr>
      <w:r>
        <w:rPr>
          <w:rFonts w:ascii="Arial" w:cs="Arial" w:eastAsia="Arial" w:hAnsi="Arial"/>
          <w:b/>
          <w:bCs/>
          <w:color w:val="00B4C8"/>
          <w:sz w:val="22"/>
          <w:szCs w:val="22"/>
        </w:rPr>
        <w:t xml:space="preserve">Strategic Rationale</w:t>
      </w:r>
    </w:p>
    <w:p>
      <w:pPr>
        <w:spacing w:after="60" w:before="60"/>
      </w:pPr>
      <w:r>
        <w:rPr>
          <w:rFonts w:ascii="Arial" w:cs="Arial" w:eastAsia="Arial" w:hAnsi="Arial"/>
          <w:sz w:val="20"/>
          <w:szCs w:val="20"/>
        </w:rPr>
        <w:t xml:space="preserve">Dr. Warren's requested distribution card cannot be designed until the PDF is complete. The PDF cannot be complete until medication and care team data exist in the app. Phase 2 unblocks Phase 3, which unblocks the physician distribution strategy.</w:t>
      </w:r>
    </w:p>
    <w:p>
      <w:pPr>
        <w:spacing w:after="100" w:before="0"/>
      </w:pPr>
      <w:r>
        <w:t xml:space="preserve"/>
      </w:r>
    </w:p>
    <w:p>
      <w:pPr>
        <w:spacing w:after="60" w:before="180"/>
      </w:pPr>
      <w:r>
        <w:rPr>
          <w:rFonts w:ascii="Arial" w:cs="Arial" w:eastAsia="Arial" w:hAnsi="Arial"/>
          <w:b/>
          <w:bCs/>
          <w:color w:val="00B4C8"/>
          <w:sz w:val="22"/>
          <w:szCs w:val="22"/>
        </w:rPr>
        <w:t xml:space="preserve">Pending Feature Decisions</w:t>
      </w:r>
    </w:p>
    <w:p>
      <w:pPr>
        <w:pStyle w:val="ListParagraph"/>
        <w:numPr>
          <w:ilvl w:val="0"/>
          <w:numId w:val="2"/>
        </w:numPr>
        <w:spacing w:after="40" w:before="40"/>
      </w:pPr>
      <w:r>
        <w:rPr>
          <w:rFonts w:ascii="Arial" w:cs="Arial" w:eastAsia="Arial" w:hAnsi="Arial"/>
          <w:b w:val="false"/>
          <w:bCs w:val="false"/>
          <w:sz w:val="20"/>
          <w:szCs w:val="20"/>
        </w:rPr>
        <w:t>Glucose tracking field (requested by Dr. Warren) - ✅ Complete and extended: patient-recorded glucose context, dedicated context-aware analysis, MAUI analysis UI, and clinician PDF reporting are implemented. See Phase 4, Glucose Analysis Extension.</w:t>
      </w:r>
    </w:p>
    <w:p>
      <w:pPr>
        <w:pStyle w:val="ListParagraph"/>
        <w:numPr>
          <w:ilvl w:val="0"/>
          <w:numId w:val="2"/>
        </w:numPr>
        <w:spacing w:after="40" w:before="40"/>
      </w:pPr>
      <w:r>
        <w:rPr>
          <w:rFonts w:ascii="Arial" w:cs="Arial" w:eastAsia="Arial" w:hAnsi="Arial"/>
          <w:b w:val="false"/>
          <w:bCs w:val="false"/>
          <w:sz w:val="20"/>
          <w:szCs w:val="20"/>
        </w:rPr>
        <w:t>Weight tracking field (requested by Amy RN) — ✅ Complete: weight entry, history, analysis, and clinician reporting are implemented.</w:t>
      </w:r>
    </w:p>
    <w:p>
      <w:pPr>
        <w:pStyle w:val="ListParagraph"/>
        <w:numPr>
          <w:ilvl w:val="0"/>
          <w:numId w:val="2"/>
        </w:numPr>
        <w:spacing w:after="40" w:before="40"/>
      </w:pPr>
      <w:r>
        <w:rPr>
          <w:rFonts w:ascii="Arial" w:cs="Arial" w:eastAsia="Arial" w:hAnsi="Arial"/>
          <w:b w:val="false"/>
          <w:bCs w:val="false"/>
          <w:sz w:val="20"/>
          <w:szCs w:val="20"/>
        </w:rPr>
        <w:t>Last Visit / Next Visit fields on provider screen (requested by Amy RN) — Deferred to the post-launch appointment/visit workflow; tracked under Post-Launch Development Priorities.</w:t>
      </w:r>
    </w:p>
    <w:p>
      <w:pPr>
        <w:spacing w:after="200" w:before="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160"/>
        <w:gridCol w:w="1800"/>
        <w:gridCol w:w="1200"/>
      </w:tblGrid>
      <w:tr>
        <w:tc>
          <w:tcPr>
            <w:tcW w:type="dxa" w:w="1200"/>
            <w:tcBorders>
              <w:top w:val="single" w:color="DDDDDD" w:sz="1"/>
              <w:left w:val="single" w:color="DDDDDD" w:sz="1"/>
              <w:bottom w:val="single" w:color="DDDDDD" w:sz="1"/>
              <w:right w:val="single" w:color="DDDDDD" w:sz="1"/>
            </w:tcBorders>
            <w:shd w:fill="1B2A4A" w:val="clear"/>
            <w:tcMar>
              <w:top w:type="dxa" w:w="100"/>
              <w:left w:type="dxa" w:w="120"/>
              <w:bottom w:type="dxa" w:w="100"/>
              <w:right w:type="dxa" w:w="120"/>
            </w:tcMar>
          </w:tcPr>
          <w:p>
            <w:pPr>
              <w:jc w:val="center"/>
            </w:pPr>
            <w:r>
              <w:rPr>
                <w:rFonts w:ascii="Arial" w:cs="Arial" w:eastAsia="Arial" w:hAnsi="Arial"/>
                <w:color w:val="AACCDD"/>
                <w:sz w:val="16"/>
                <w:szCs w:val="16"/>
              </w:rPr>
              <w:t xml:space="preserve">Phase</w:t>
            </w:r>
          </w:p>
          <w:p>
            <w:pPr>
              <w:jc w:val="center"/>
            </w:pPr>
            <w:r>
              <w:rPr>
                <w:rFonts w:ascii="Arial" w:cs="Arial" w:eastAsia="Arial" w:hAnsi="Arial"/>
                <w:b/>
                <w:bCs/>
                <w:color w:val="FFFFFF"/>
                <w:sz w:val="48"/>
                <w:szCs w:val="48"/>
              </w:rPr>
              <w:t xml:space="preserve">3</w:t>
            </w:r>
          </w:p>
        </w:tc>
        <w:tc>
          <w:tcPr>
            <w:tcW w:type="dxa" w:w="5160"/>
            <w:tcBorders>
              <w:top w:val="single" w:color="DDDDDD" w:sz="1"/>
              <w:left w:val="single" w:color="DDDDDD" w:sz="1"/>
              <w:bottom w:val="single" w:color="DDDDDD" w:sz="1"/>
              <w:right w:val="single" w:color="DDDDDD" w:sz="1"/>
            </w:tcBorders>
            <w:shd w:fill="E8F8FA" w:val="clear"/>
            <w:tcMar>
              <w:top w:type="dxa" w:w="100"/>
              <w:left w:type="dxa" w:w="160"/>
              <w:bottom w:type="dxa" w:w="100"/>
              <w:right w:type="dxa" w:w="160"/>
            </w:tcMar>
          </w:tcPr>
          <w:p>
            <w:r>
              <w:rPr>
                <w:rFonts w:ascii="Arial" w:cs="Arial" w:eastAsia="Arial" w:hAnsi="Arial"/>
                <w:b/>
                <w:bCs/>
                <w:color w:val="1B2A4A"/>
                <w:sz w:val="26"/>
                <w:szCs w:val="26"/>
              </w:rPr>
              <w:t xml:space="preserve">PDF Export on Mobile</w:t>
            </w:r>
          </w:p>
        </w:tc>
        <w:tc>
          <w:tcPr>
            <w:tcW w:type="dxa" w:w="1800"/>
            <w:tcBorders>
              <w:top w:val="single" w:color="DDDDDD" w:sz="1"/>
              <w:left w:val="single" w:color="DDDDDD" w:sz="1"/>
              <w:bottom w:val="single" w:color="DDDDDD" w:sz="1"/>
              <w:right w:val="single" w:color="DDDDDD" w:sz="1"/>
            </w:tcBorders>
            <w:shd w:fill="F5F5F5" w:val="clear"/>
            <w:tcMar>
              <w:top w:type="dxa" w:w="100"/>
              <w:left w:type="dxa" w:w="120"/>
              <w:bottom w:type="dxa" w:w="100"/>
              <w:right w:type="dxa" w:w="120"/>
            </w:tcMar>
          </w:tcPr>
          <w:p>
            <w:pPr>
              <w:jc w:val="center"/>
            </w:pPr>
            <w:r>
              <w:rPr>
                <w:rFonts w:ascii="Arial" w:cs="Arial" w:eastAsia="Arial" w:hAnsi="Arial"/>
                <w:color w:val="777777"/>
                <w:sz w:val="16"/>
                <w:szCs w:val="16"/>
              </w:rPr>
              <w:t xml:space="preserve">Timeline</w:t>
            </w:r>
          </w:p>
          <w:p>
            <w:pPr>
              <w:jc w:val="center"/>
            </w:pPr>
            <w:r>
              <w:rPr>
                <w:rFonts w:ascii="Arial" w:cs="Arial" w:eastAsia="Arial" w:hAnsi="Arial"/>
                <w:b/>
                <w:bCs/>
                <w:color w:val="1B2A4A"/>
                <w:sz w:val="20"/>
                <w:szCs w:val="20"/>
              </w:rPr>
              <w:t xml:space="preserve">Jun 2026</w:t>
            </w:r>
          </w:p>
        </w:tc>
        <w:tc>
          <w:tcPr>
            <w:tcW w:type="dxa" w:w="1200"/>
            <w:tcBorders>
              <w:top w:val="single" w:color="DDDDDD" w:sz="1"/>
              <w:left w:val="single" w:color="DDDDDD" w:sz="1"/>
              <w:bottom w:val="single" w:color="DDDDDD" w:sz="1"/>
              <w:right w:val="single" w:color="DDDDDD" w:sz="1"/>
            </w:tcBorders>
            <w:shd w:fill="F5F5F5" w:val="clear"/>
            <w:tcMar>
              <w:top w:type="dxa" w:w="100"/>
              <w:left w:type="dxa" w:w="120"/>
              <w:bottom w:type="dxa" w:w="100"/>
              <w:right w:type="dxa" w:w="120"/>
            </w:tcMar>
          </w:tcPr>
          <w:p>
            <w:pPr>
              <w:jc w:val="center"/>
            </w:pPr>
            <w:r>
              <w:rPr>
                <w:rFonts w:ascii="Arial" w:cs="Arial" w:eastAsia="Arial" w:hAnsi="Arial"/>
                <w:color w:val="777777"/>
                <w:sz w:val="16"/>
                <w:szCs w:val="16"/>
              </w:rPr>
              <w:t xml:space="preserve">Status</w:t>
            </w:r>
          </w:p>
          <w:p>
            <w:pPr>
              <w:jc w:val="center"/>
            </w:pPr>
            <w:r>
              <w:rPr>
                <w:rFonts w:ascii="Arial" w:cs="Arial" w:eastAsia="Arial" w:hAnsi="Arial"/>
                <w:b/>
                <w:bCs/>
                <w:color w:val="1565C0"/>
                <w:sz w:val="18"/>
                <w:szCs w:val="18"/>
              </w:rPr>
              <w:t xml:space="preserve">✅ Complete</w:t>
            </w:r>
          </w:p>
        </w:tc>
      </w:tr>
    </w:tbl>
    <w:p>
      <w:pPr>
        <w:spacing w:after="100" w:before="0"/>
      </w:pPr>
      <w:r>
        <w:t xml:space="preserve"/>
      </w:r>
    </w:p>
    <w:p>
      <w:pPr>
        <w:spacing w:after="60" w:before="180"/>
      </w:pPr>
      <w:r>
        <w:rPr>
          <w:rFonts w:ascii="Arial" w:cs="Arial" w:eastAsia="Arial" w:hAnsi="Arial"/>
          <w:b/>
          <w:bCs/>
          <w:color w:val="00B4C8"/>
          <w:sz w:val="22"/>
          <w:szCs w:val="22"/>
        </w:rPr>
        <w:t xml:space="preserve">Objective</w:t>
      </w:r>
    </w:p>
    <w:p>
      <w:pPr>
        <w:spacing w:after="60" w:before="60"/>
      </w:pPr>
      <w:r>
        <w:rPr>
          <w:rFonts w:ascii="Arial" w:cs="Arial" w:eastAsia="Arial" w:hAnsi="Arial"/>
          <w:sz w:val="20"/>
          <w:szCs w:val="20"/>
        </w:rPr>
        <w:t xml:space="preserve">Bring the physician-grade PDF export — already validated by six healthcare professionals — to the mobile application. This is the killer feature and the primary physician distribution tool. Dr. Warren cannot hand out distribution cards until the PDF works on mobile.</w:t>
      </w:r>
    </w:p>
    <w:p>
      <w:pPr>
        <w:spacing w:after="100" w:before="0"/>
      </w:pPr>
      <w:r>
        <w:t xml:space="preserve"/>
      </w:r>
    </w:p>
    <w:p>
      <w:pPr>
        <w:spacing w:after="60" w:before="180"/>
      </w:pPr>
      <w:r>
        <w:rPr>
          <w:rFonts w:ascii="Arial" w:cs="Arial" w:eastAsia="Arial" w:hAnsi="Arial"/>
          <w:b/>
          <w:bCs/>
          <w:color w:val="00B4C8"/>
          <w:sz w:val="22"/>
          <w:szCs w:val="22"/>
        </w:rPr>
        <w:t xml:space="preserve">Features to Build</w:t>
      </w:r>
    </w:p>
    <w:p>
      <w:pPr>
        <w:pStyle w:val="ListParagraph"/>
        <w:numPr>
          <w:ilvl w:val="0"/>
          <w:numId w:val="2"/>
        </w:numPr>
        <w:spacing w:after="40" w:before="40"/>
      </w:pPr>
      <w:r>
        <w:rPr>
          <w:rFonts w:ascii="Arial" w:cs="Arial" w:eastAsia="Arial" w:hAnsi="Arial"/>
          <w:b w:val="false"/>
          <w:bCs w:val="false"/>
          <w:sz w:val="20"/>
          <w:szCs w:val="20"/>
        </w:rPr>
        <w:t xml:space="preserve">PDF generation triggered from mobile app</w:t>
      </w:r>
    </w:p>
    <w:p>
      <w:pPr>
        <w:pStyle w:val="ListParagraph"/>
        <w:numPr>
          <w:ilvl w:val="0"/>
          <w:numId w:val="2"/>
        </w:numPr>
        <w:spacing w:after="40" w:before="40"/>
      </w:pPr>
      <w:r>
        <w:rPr>
          <w:rFonts w:ascii="Arial" w:cs="Arial" w:eastAsia="Arial" w:hAnsi="Arial"/>
          <w:b w:val="false"/>
          <w:bCs w:val="false"/>
          <w:sz w:val="20"/>
          <w:szCs w:val="20"/>
        </w:rPr>
        <w:t xml:space="preserve">Output includes: latest vitals, 15/30/45/60-day averages, basic trend charts, medication list, care team directory with contacts</w:t>
      </w:r>
    </w:p>
    <w:p>
      <w:pPr>
        <w:pStyle w:val="ListParagraph"/>
        <w:numPr>
          <w:ilvl w:val="0"/>
          <w:numId w:val="2"/>
        </w:numPr>
        <w:spacing w:after="40" w:before="40"/>
      </w:pPr>
      <w:r>
        <w:rPr>
          <w:rFonts w:ascii="Arial" w:cs="Arial" w:eastAsia="Arial" w:hAnsi="Arial"/>
          <w:b w:val="false"/>
          <w:bCs w:val="false"/>
          <w:sz w:val="20"/>
          <w:szCs w:val="20"/>
        </w:rPr>
        <w:t xml:space="preserve">Share sheet integration — share PDF via email, Messages, AirDrop, or save to Files</w:t>
      </w:r>
    </w:p>
    <w:p>
      <w:pPr>
        <w:pStyle w:val="ListParagraph"/>
        <w:numPr>
          <w:ilvl w:val="0"/>
          <w:numId w:val="2"/>
        </w:numPr>
        <w:spacing w:after="40" w:before="40"/>
      </w:pPr>
      <w:r>
        <w:rPr>
          <w:rFonts w:ascii="Arial" w:cs="Arial" w:eastAsia="Arial" w:hAnsi="Arial"/>
          <w:b w:val="false"/>
          <w:bCs w:val="false"/>
          <w:sz w:val="20"/>
          <w:szCs w:val="20"/>
        </w:rPr>
        <w:t xml:space="preserve">PDF branded with Vitals logo and vitals-wellness.com</w:t>
      </w:r>
    </w:p>
    <w:p>
      <w:pPr>
        <w:spacing w:after="100" w:before="0"/>
      </w:pPr>
      <w:r>
        <w:t xml:space="preserve"/>
      </w:r>
    </w:p>
    <w:p>
      <w:pPr>
        <w:spacing w:after="60" w:before="180"/>
      </w:pPr>
      <w:r>
        <w:rPr>
          <w:rFonts w:ascii="Arial" w:cs="Arial" w:eastAsia="Arial" w:hAnsi="Arial"/>
          <w:b/>
          <w:bCs/>
          <w:color w:val="00B4C8"/>
          <w:sz w:val="22"/>
          <w:szCs w:val="22"/>
        </w:rPr>
        <w:t xml:space="preserve">Definition of Done</w:t>
      </w:r>
    </w:p>
    <w:p>
      <w:pPr>
        <w:pStyle w:val="ListParagraph"/>
        <w:numPr>
          <w:ilvl w:val="0"/>
          <w:numId w:val="2"/>
        </w:numPr>
        <w:spacing w:after="40" w:before="40"/>
      </w:pPr>
      <w:r>
        <w:rPr>
          <w:rFonts w:ascii="Arial" w:cs="Arial" w:eastAsia="Arial" w:hAnsi="Arial"/>
          <w:b w:val="false"/>
          <w:bCs w:val="false"/>
          <w:sz w:val="20"/>
          <w:szCs w:val="20"/>
        </w:rPr>
        <w:t xml:space="preserve">User taps 'Generate PDF' and receives a complete clinical summary document</w:t>
      </w:r>
    </w:p>
    <w:p>
      <w:pPr>
        <w:pStyle w:val="ListParagraph"/>
        <w:numPr>
          <w:ilvl w:val="0"/>
          <w:numId w:val="2"/>
        </w:numPr>
        <w:spacing w:after="40" w:before="40"/>
      </w:pPr>
      <w:r>
        <w:rPr>
          <w:rFonts w:ascii="Arial" w:cs="Arial" w:eastAsia="Arial" w:hAnsi="Arial"/>
          <w:b w:val="false"/>
          <w:bCs w:val="false"/>
          <w:sz w:val="20"/>
          <w:szCs w:val="20"/>
        </w:rPr>
        <w:t xml:space="preserve">PDF renders correctly and professionally on all devices</w:t>
      </w:r>
    </w:p>
    <w:p>
      <w:pPr>
        <w:pStyle w:val="ListParagraph"/>
        <w:numPr>
          <w:ilvl w:val="0"/>
          <w:numId w:val="2"/>
        </w:numPr>
        <w:spacing w:after="40" w:before="40"/>
      </w:pPr>
      <w:r>
        <w:rPr>
          <w:rFonts w:ascii="Arial" w:cs="Arial" w:eastAsia="Arial" w:hAnsi="Arial"/>
          <w:b w:val="false"/>
          <w:bCs w:val="false"/>
          <w:sz w:val="20"/>
          <w:szCs w:val="20"/>
        </w:rPr>
        <w:t xml:space="preserve">PDF can be shared directly from the app via native share sheet</w:t>
      </w:r>
    </w:p>
    <w:p>
      <w:pPr>
        <w:pStyle w:val="ListParagraph"/>
        <w:numPr>
          <w:ilvl w:val="0"/>
          <w:numId w:val="2"/>
        </w:numPr>
        <w:spacing w:after="40" w:before="40"/>
      </w:pPr>
      <w:r>
        <w:rPr>
          <w:rFonts w:ascii="Arial" w:cs="Arial" w:eastAsia="Arial" w:hAnsi="Arial"/>
          <w:b w:val="false"/>
          <w:bCs w:val="false"/>
          <w:sz w:val="20"/>
          <w:szCs w:val="20"/>
        </w:rPr>
        <w:t xml:space="preserve">Output is consistent with the PDF already validated by Dr. Warren, Dr. Martinez, and other clinical endorsers</w:t>
      </w:r>
    </w:p>
    <w:p>
      <w:pPr>
        <w:spacing w:after="100" w:before="0"/>
      </w:pPr>
      <w:r>
        <w:t xml:space="preserve"/>
      </w:r>
    </w:p>
    <w:p>
      <w:pPr>
        <w:spacing w:after="60" w:before="180"/>
      </w:pPr>
      <w:r>
        <w:rPr>
          <w:rFonts w:ascii="Arial" w:cs="Arial" w:eastAsia="Arial" w:hAnsi="Arial"/>
          <w:b/>
          <w:bCs/>
          <w:color w:val="00B4C8"/>
          <w:sz w:val="22"/>
          <w:szCs w:val="22"/>
        </w:rPr>
        <w:t xml:space="preserve">Strategic Rationale</w:t>
      </w:r>
    </w:p>
    <w:p>
      <w:pPr>
        <w:spacing w:after="60" w:before="60"/>
      </w:pPr>
      <w:r>
        <w:rPr>
          <w:rFonts w:ascii="Arial" w:cs="Arial" w:eastAsia="Arial" w:hAnsi="Arial"/>
          <w:sz w:val="20"/>
          <w:szCs w:val="20"/>
        </w:rPr>
        <w:t xml:space="preserve">The PDF is what every physician who has seen Vitals has reacted to. It is the feature that gets scanned into official medical charts, shared with colleagues, and described as 'hospital grade.' Without it on mobile, Vitals is just another BP app. With it, Vitals is the tool Dr. Warren hands to her patients.</w:t>
      </w:r>
    </w:p>
    <w:p>
      <w:pPr>
        <w:spacing w:after="100" w:before="0"/>
      </w:pPr>
      <w:r>
        <w:t xml:space="preserve"/>
      </w:r>
    </w:p>
    <w:p>
      <w:pPr>
        <w:spacing w:after="60" w:before="180"/>
      </w:pPr>
      <w:r>
        <w:rPr>
          <w:rFonts w:ascii="Arial" w:cs="Arial" w:eastAsia="Arial" w:hAnsi="Arial"/>
          <w:b/>
          <w:bCs/>
          <w:color w:val="00B4C8"/>
          <w:sz w:val="22"/>
          <w:szCs w:val="22"/>
        </w:rPr>
        <w:t xml:space="preserve">Distribution Card Dependency</w:t>
      </w:r>
    </w:p>
    <w:p>
      <w:pPr>
        <w:spacing w:after="60" w:before="60"/>
      </w:pPr>
      <w:r>
        <w:rPr>
          <w:rFonts w:ascii="Arial" w:cs="Arial" w:eastAsia="Arial" w:hAnsi="Arial"/>
          <w:sz w:val="20"/>
          <w:szCs w:val="20"/>
        </w:rPr>
        <w:t>Once Phase 3 is complete, the Dr. Warren distribution card can be designed and printed. The card requires: a working app in the App Store and Google Play, a QR code linking to Vitals signup and the 30-day full-access trial, and the PDF export as the demonstrated value proposition. Phase 3 completion triggers the distribution card sprint.</w:t>
      </w:r>
    </w:p>
    <w:p>
      <w:pPr>
        <w:spacing w:after="200" w:before="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160"/>
        <w:gridCol w:w="1800"/>
        <w:gridCol w:w="1200"/>
      </w:tblGrid>
      <w:tr>
        <w:tc>
          <w:tcPr>
            <w:tcW w:type="dxa" w:w="1200"/>
            <w:tcBorders>
              <w:top w:val="single" w:color="DDDDDD" w:sz="1"/>
              <w:left w:val="single" w:color="DDDDDD" w:sz="1"/>
              <w:bottom w:val="single" w:color="DDDDDD" w:sz="1"/>
              <w:right w:val="single" w:color="DDDDDD" w:sz="1"/>
            </w:tcBorders>
            <w:shd w:fill="1B2A4A" w:val="clear"/>
            <w:tcMar>
              <w:top w:type="dxa" w:w="100"/>
              <w:left w:type="dxa" w:w="120"/>
              <w:bottom w:type="dxa" w:w="100"/>
              <w:right w:type="dxa" w:w="120"/>
            </w:tcMar>
          </w:tcPr>
          <w:p>
            <w:pPr>
              <w:jc w:val="center"/>
            </w:pPr>
            <w:r>
              <w:rPr>
                <w:rFonts w:ascii="Arial" w:cs="Arial" w:eastAsia="Arial" w:hAnsi="Arial"/>
                <w:color w:val="AACCDD"/>
                <w:sz w:val="16"/>
                <w:szCs w:val="16"/>
              </w:rPr>
              <w:t xml:space="preserve">Phase</w:t>
            </w:r>
          </w:p>
          <w:p>
            <w:pPr>
              <w:jc w:val="center"/>
            </w:pPr>
            <w:r>
              <w:rPr>
                <w:rFonts w:ascii="Arial" w:cs="Arial" w:eastAsia="Arial" w:hAnsi="Arial"/>
                <w:b/>
                <w:bCs/>
                <w:color w:val="FFFFFF"/>
                <w:sz w:val="48"/>
                <w:szCs w:val="48"/>
              </w:rPr>
              <w:t xml:space="preserve">4</w:t>
            </w:r>
          </w:p>
        </w:tc>
        <w:tc>
          <w:tcPr>
            <w:tcW w:type="dxa" w:w="5160"/>
            <w:tcBorders>
              <w:top w:val="single" w:color="DDDDDD" w:sz="1"/>
              <w:left w:val="single" w:color="DDDDDD" w:sz="1"/>
              <w:bottom w:val="single" w:color="DDDDDD" w:sz="1"/>
              <w:right w:val="single" w:color="DDDDDD" w:sz="1"/>
            </w:tcBorders>
            <w:shd w:fill="E8F8FA" w:val="clear"/>
            <w:tcMar>
              <w:top w:type="dxa" w:w="100"/>
              <w:left w:type="dxa" w:w="160"/>
              <w:bottom w:type="dxa" w:w="100"/>
              <w:right w:type="dxa" w:w="160"/>
            </w:tcMar>
          </w:tcPr>
          <w:p>
            <w:r>
              <w:rPr>
                <w:rFonts w:ascii="Arial" w:cs="Arial" w:eastAsia="Arial" w:hAnsi="Arial"/>
                <w:b/>
                <w:bCs/>
                <w:color w:val="1B2A4A"/>
                <w:sz w:val="26"/>
                <w:szCs w:val="26"/>
              </w:rPr>
              <w:t xml:space="preserve">Clinical Visualization Engine</w:t>
            </w:r>
          </w:p>
        </w:tc>
        <w:tc>
          <w:tcPr>
            <w:tcW w:type="dxa" w:w="1800"/>
            <w:tcBorders>
              <w:top w:val="single" w:color="DDDDDD" w:sz="1"/>
              <w:left w:val="single" w:color="DDDDDD" w:sz="1"/>
              <w:bottom w:val="single" w:color="DDDDDD" w:sz="1"/>
              <w:right w:val="single" w:color="DDDDDD" w:sz="1"/>
            </w:tcBorders>
            <w:shd w:fill="F5F5F5" w:val="clear"/>
            <w:tcMar>
              <w:top w:type="dxa" w:w="100"/>
              <w:left w:type="dxa" w:w="120"/>
              <w:bottom w:type="dxa" w:w="100"/>
              <w:right w:type="dxa" w:w="120"/>
            </w:tcMar>
          </w:tcPr>
          <w:p>
            <w:pPr>
              <w:jc w:val="center"/>
            </w:pPr>
            <w:r>
              <w:rPr>
                <w:rFonts w:ascii="Arial" w:cs="Arial" w:eastAsia="Arial" w:hAnsi="Arial"/>
                <w:color w:val="777777"/>
                <w:sz w:val="16"/>
                <w:szCs w:val="16"/>
              </w:rPr>
              <w:t xml:space="preserve">Timeline</w:t>
            </w:r>
          </w:p>
          <w:p>
            <w:pPr>
              <w:jc w:val="center"/>
            </w:pPr>
            <w:r>
              <w:rPr>
                <w:rFonts w:ascii="Arial" w:cs="Arial" w:eastAsia="Arial" w:hAnsi="Arial"/>
                <w:b/>
                <w:bCs/>
                <w:color w:val="1B2A4A"/>
                <w:sz w:val="20"/>
                <w:szCs w:val="20"/>
              </w:rPr>
              <w:t xml:space="preserve">Jun–Jul 2026</w:t>
            </w:r>
          </w:p>
        </w:tc>
        <w:tc>
          <w:tcPr>
            <w:tcW w:type="dxa" w:w="1200"/>
            <w:tcBorders>
              <w:top w:val="single" w:color="DDDDDD" w:sz="1"/>
              <w:left w:val="single" w:color="DDDDDD" w:sz="1"/>
              <w:bottom w:val="single" w:color="DDDDDD" w:sz="1"/>
              <w:right w:val="single" w:color="DDDDDD" w:sz="1"/>
            </w:tcBorders>
            <w:shd w:fill="F5F5F5" w:val="clear"/>
            <w:tcMar>
              <w:top w:type="dxa" w:w="100"/>
              <w:left w:type="dxa" w:w="120"/>
              <w:bottom w:type="dxa" w:w="100"/>
              <w:right w:type="dxa" w:w="120"/>
            </w:tcMar>
          </w:tcPr>
          <w:p>
            <w:pPr>
              <w:jc w:val="center"/>
            </w:pPr>
            <w:r>
              <w:rPr>
                <w:rFonts w:ascii="Arial" w:cs="Arial" w:eastAsia="Arial" w:hAnsi="Arial"/>
                <w:color w:val="777777"/>
                <w:sz w:val="16"/>
                <w:szCs w:val="16"/>
              </w:rPr>
              <w:t xml:space="preserve">Status</w:t>
            </w:r>
          </w:p>
          <w:p>
            <w:pPr>
              <w:jc w:val="center"/>
            </w:pPr>
            <w:r>
              <w:rPr>
                <w:rFonts w:ascii="Arial" w:cs="Arial" w:eastAsia="Arial" w:hAnsi="Arial"/>
                <w:b/>
                <w:bCs/>
                <w:color w:val="1565C0"/>
                <w:sz w:val="18"/>
                <w:szCs w:val="18"/>
              </w:rPr>
              <w:t xml:space="preserve">✅ Complete</w:t>
            </w:r>
          </w:p>
        </w:tc>
      </w:tr>
    </w:tbl>
    <w:p>
      <w:pPr>
        <w:spacing w:after="100" w:before="0"/>
      </w:pPr>
      <w:r>
        <w:t xml:space="preserve"/>
      </w:r>
    </w:p>
    <w:p>
      <w:pPr>
        <w:spacing w:after="60" w:before="180"/>
      </w:pPr>
      <w:r>
        <w:rPr>
          <w:rFonts w:ascii="Arial" w:cs="Arial" w:eastAsia="Arial" w:hAnsi="Arial"/>
          <w:b/>
          <w:bCs/>
          <w:color w:val="00B4C8"/>
          <w:sz w:val="22"/>
          <w:szCs w:val="22"/>
        </w:rPr>
        <w:t xml:space="preserve">Objective</w:t>
      </w:r>
    </w:p>
    <w:p>
      <w:pPr>
        <w:spacing w:after="60" w:before="60"/>
      </w:pPr>
      <w:r>
        <w:rPr>
          <w:rFonts w:ascii="Arial" w:cs="Arial" w:eastAsia="Arial" w:hAnsi="Arial"/>
          <w:sz w:val="20"/>
          <w:szCs w:val="20"/>
        </w:rPr>
        <w:t xml:space="preserve">Implement the mathematical visualization layer that elevates Vitals from a well-designed consumer app to a clinically rigorous platform. This is the white paper feature set — the capability that enables physician co-authorship, journal submission, and the physician distribution network.</w:t>
      </w:r>
    </w:p>
    <w:p>
      <w:pPr>
        <w:spacing w:after="100" w:before="0"/>
      </w:pPr>
      <w:r>
        <w:t xml:space="preserve"/>
      </w:r>
    </w:p>
    <w:p>
      <w:pPr>
        <w:spacing w:after="60" w:before="180"/>
      </w:pPr>
      <w:r>
        <w:rPr>
          <w:rFonts w:ascii="Arial" w:cs="Arial" w:eastAsia="Arial" w:hAnsi="Arial"/>
          <w:b/>
          <w:bCs/>
          <w:color w:val="00B4C8"/>
          <w:sz w:val="22"/>
          <w:szCs w:val="22"/>
        </w:rPr>
        <w:t xml:space="preserve">Mathematical Framework — Four Layers</w:t>
      </w:r>
    </w:p>
    <w:p>
      <w:pPr>
        <w:pStyle w:val="ListParagraph"/>
        <w:numPr>
          <w:ilvl w:val="0"/>
          <w:numId w:val="2"/>
        </w:numPr>
        <w:spacing w:after="40" w:before="40"/>
      </w:pPr>
      <w:r>
        <w:rPr>
          <w:rFonts w:ascii="Arial" w:cs="Arial" w:eastAsia="Arial" w:hAnsi="Arial"/>
          <w:b w:val="false"/>
          <w:bCs w:val="false"/>
          <w:sz w:val="20"/>
          <w:szCs w:val="20"/>
        </w:rPr>
        <w:t xml:space="preserve">Layer 1 — LOESS Smoothing: Locally Weighted Scatterplot Smoothing applied to raw vital sign data. Produces a smooth trend curve that eliminates measurement noise while preserving clinically relevant patterns. Validated by Shaffer et al. (2019) and Koopman et al. (2020).</w:t>
      </w:r>
    </w:p>
    <w:p>
      <w:pPr>
        <w:pStyle w:val="ListParagraph"/>
        <w:numPr>
          <w:ilvl w:val="0"/>
          <w:numId w:val="2"/>
        </w:numPr>
        <w:spacing w:after="40" w:before="40"/>
      </w:pPr>
      <w:r>
        <w:rPr>
          <w:rFonts w:ascii="Arial" w:cs="Arial" w:eastAsia="Arial" w:hAnsi="Arial"/>
          <w:b w:val="false"/>
          <w:bCs w:val="false"/>
          <w:sz w:val="20"/>
          <w:szCs w:val="20"/>
        </w:rPr>
        <w:t xml:space="preserve">Layer 2 — OLS Linear Regression with Statistical Significance: Slope coefficient (mmHg/day), R-squared (trend consistency/variability indicator), p-value (whether trend is statistically significant or noise). Applied across 7, 15, 30, 45, 60-day windows.</w:t>
      </w:r>
    </w:p>
    <w:p>
      <w:pPr>
        <w:pStyle w:val="ListParagraph"/>
        <w:numPr>
          <w:ilvl w:val="0"/>
          <w:numId w:val="2"/>
        </w:numPr>
        <w:spacing w:after="40" w:before="40"/>
      </w:pPr>
      <w:r>
        <w:rPr>
          <w:rFonts w:ascii="Arial" w:cs="Arial" w:eastAsia="Arial" w:hAnsi="Arial"/>
          <w:b w:val="false"/>
          <w:bCs w:val="false"/>
          <w:sz w:val="20"/>
          <w:szCs w:val="20"/>
        </w:rPr>
        <w:t xml:space="preserve">Layer 3 — First and Second Order Derivatives: Finite difference approximations. First derivative = rate of change. Second derivative = acceleration of change. Detects medication losing effectiveness before averages show it.</w:t>
      </w:r>
    </w:p>
    <w:p>
      <w:pPr>
        <w:pStyle w:val="ListParagraph"/>
        <w:numPr>
          <w:ilvl w:val="0"/>
          <w:numId w:val="2"/>
        </w:numPr>
        <w:spacing w:after="40" w:before="40"/>
      </w:pPr>
      <w:r>
        <w:rPr>
          <w:rFonts w:ascii="Arial" w:cs="Arial" w:eastAsia="Arial" w:hAnsi="Arial"/>
          <w:b w:val="false"/>
          <w:bCs w:val="false"/>
          <w:sz w:val="20"/>
          <w:szCs w:val="20"/>
        </w:rPr>
        <w:t xml:space="preserve">Layer 4 — Trapezoidal Integration: Area under the curve = cumulative BP burden over time. More predictive of end-organ damage than average readings alone.</w:t>
      </w:r>
    </w:p>
    <w:p>
      <w:pPr>
        <w:spacing w:after="100" w:before="0"/>
      </w:pPr>
      <w:r>
        <w:t xml:space="preserve"/>
      </w:r>
    </w:p>
    <w:p>
      <w:pPr>
        <w:spacing w:after="60" w:before="180"/>
      </w:pPr>
      <w:r>
        <w:rPr>
          <w:rFonts w:ascii="Arial" w:cs="Arial" w:eastAsia="Arial" w:hAnsi="Arial"/>
          <w:b/>
          <w:bCs/>
          <w:color w:val="00B4C8"/>
          <w:sz w:val="22"/>
          <w:szCs w:val="22"/>
        </w:rPr>
        <w:t xml:space="preserve">Visual Presentation Layer</w:t>
      </w:r>
    </w:p>
    <w:p>
      <w:pPr>
        <w:pStyle w:val="ListParagraph"/>
        <w:numPr>
          <w:ilvl w:val="0"/>
          <w:numId w:val="2"/>
        </w:numPr>
        <w:spacing w:after="40" w:before="40"/>
      </w:pPr>
      <w:r>
        <w:rPr>
          <w:rFonts w:ascii="Arial" w:cs="Arial" w:eastAsia="Arial" w:hAnsi="Arial"/>
          <w:b w:val="false"/>
          <w:bCs w:val="false"/>
          <w:sz w:val="20"/>
          <w:szCs w:val="20"/>
        </w:rPr>
        <w:t xml:space="preserve">Smoothed LOESS curve overlaid on raw scatter points with confidence interval shading</w:t>
      </w:r>
    </w:p>
    <w:p>
      <w:pPr>
        <w:pStyle w:val="ListParagraph"/>
        <w:numPr>
          <w:ilvl w:val="0"/>
          <w:numId w:val="2"/>
        </w:numPr>
        <w:spacing w:after="40" w:before="40"/>
      </w:pPr>
      <w:r>
        <w:rPr>
          <w:rFonts w:ascii="Arial" w:cs="Arial" w:eastAsia="Arial" w:hAnsi="Arial"/>
          <w:b w:val="false"/>
          <w:bCs w:val="false"/>
          <w:sz w:val="20"/>
          <w:szCs w:val="20"/>
        </w:rPr>
        <w:t xml:space="preserve">Goal range bands: Normal (&lt;120/80 green), Elevated (120-129 yellow), Stage 1 (130-139 orange), Stage 2 (140+ red). ACC/AHA guidelines. Customizable per patient.</w:t>
      </w:r>
    </w:p>
    <w:p>
      <w:pPr>
        <w:pStyle w:val="ListParagraph"/>
        <w:numPr>
          <w:ilvl w:val="0"/>
          <w:numId w:val="2"/>
        </w:numPr>
        <w:spacing w:after="40" w:before="40"/>
      </w:pPr>
      <w:r>
        <w:rPr>
          <w:rFonts w:ascii="Arial" w:cs="Arial" w:eastAsia="Arial" w:hAnsi="Arial"/>
          <w:b w:val="false"/>
          <w:bCs w:val="false"/>
          <w:sz w:val="20"/>
          <w:szCs w:val="20"/>
        </w:rPr>
        <w:t xml:space="preserve">Medication timeline: Horizontal bar chart below the BP chart. Correlates medication changes with BP response.</w:t>
      </w:r>
    </w:p>
    <w:p>
      <w:pPr>
        <w:pStyle w:val="ListParagraph"/>
        <w:numPr>
          <w:ilvl w:val="0"/>
          <w:numId w:val="2"/>
        </w:numPr>
        <w:spacing w:after="40" w:before="40"/>
      </w:pPr>
      <w:r>
        <w:rPr>
          <w:rFonts w:ascii="Arial" w:cs="Arial" w:eastAsia="Arial" w:hAnsi="Arial"/>
          <w:b w:val="false"/>
          <w:bCs w:val="false"/>
          <w:sz w:val="20"/>
          <w:szCs w:val="20"/>
        </w:rPr>
        <w:t xml:space="preserve">Annotations: Date-stamped notes on chart. Patient-entered and auto-generated from medication history.</w:t>
      </w:r>
    </w:p>
    <w:p>
      <w:pPr>
        <w:spacing w:after="100" w:before="0"/>
      </w:pPr>
      <w:r>
        <w:t xml:space="preserve"/>
      </w:r>
    </w:p>
    <w:p>
      <w:pPr>
        <w:spacing w:after="60" w:before="180"/>
      </w:pPr>
      <w:r>
        <w:rPr>
          <w:rFonts w:ascii="Arial" w:cs="Arial" w:eastAsia="Arial" w:hAnsi="Arial"/>
          <w:b/>
          <w:bCs/>
          <w:color w:val="00B4C8"/>
          <w:sz w:val="22"/>
          <w:szCs w:val="22"/>
        </w:rPr>
        <w:t xml:space="preserve">Patient-Facing Plain Language Layer</w:t>
      </w:r>
    </w:p>
    <w:p>
      <w:pPr>
        <w:pStyle w:val="ListParagraph"/>
        <w:numPr>
          <w:ilvl w:val="0"/>
          <w:numId w:val="2"/>
        </w:numPr>
        <w:spacing w:after="40" w:before="40"/>
      </w:pPr>
      <w:r>
        <w:rPr>
          <w:rFonts w:ascii="Arial" w:cs="Arial" w:eastAsia="Arial" w:hAnsi="Arial"/>
          <w:b w:val="false"/>
          <w:bCs w:val="false"/>
          <w:sz w:val="20"/>
          <w:szCs w:val="20"/>
        </w:rPr>
        <w:t xml:space="preserve">Trend indicator: Directional arrow + color + plain English. 'Your blood pressure has been rising at a statistically significant rate over the past 30 days.'</w:t>
      </w:r>
    </w:p>
    <w:p>
      <w:pPr>
        <w:pStyle w:val="ListParagraph"/>
        <w:numPr>
          <w:ilvl w:val="0"/>
          <w:numId w:val="2"/>
        </w:numPr>
        <w:spacing w:after="40" w:before="40"/>
      </w:pPr>
      <w:r>
        <w:rPr>
          <w:rFonts w:ascii="Arial" w:cs="Arial" w:eastAsia="Arial" w:hAnsi="Arial"/>
          <w:b w:val="false"/>
          <w:bCs w:val="false"/>
          <w:sz w:val="20"/>
          <w:szCs w:val="20"/>
        </w:rPr>
        <w:t xml:space="preserve">Variability indicator: 'Your readings are inconsistent. Try measuring at the same time each day.'</w:t>
      </w:r>
    </w:p>
    <w:p>
      <w:pPr>
        <w:pStyle w:val="ListParagraph"/>
        <w:numPr>
          <w:ilvl w:val="0"/>
          <w:numId w:val="2"/>
        </w:numPr>
        <w:spacing w:after="40" w:before="40"/>
      </w:pPr>
      <w:r>
        <w:rPr>
          <w:rFonts w:ascii="Arial" w:cs="Arial" w:eastAsia="Arial" w:hAnsi="Arial"/>
          <w:b w:val="false"/>
          <w:bCs w:val="false"/>
          <w:sz w:val="20"/>
          <w:szCs w:val="20"/>
        </w:rPr>
        <w:t xml:space="preserve">Momentum indicator: 'Your medication appears to be working better each week.' or 'Your improvement is slowing down.'</w:t>
      </w:r>
    </w:p>
    <w:p>
      <w:pPr>
        <w:pStyle w:val="ListParagraph"/>
        <w:numPr>
          <w:ilvl w:val="0"/>
          <w:numId w:val="2"/>
        </w:numPr>
        <w:spacing w:after="40" w:before="40"/>
      </w:pPr>
      <w:r>
        <w:rPr>
          <w:rFonts w:ascii="Arial" w:cs="Arial" w:eastAsia="Arial" w:hAnsi="Arial"/>
          <w:b w:val="false"/>
          <w:bCs w:val="false"/>
          <w:sz w:val="20"/>
          <w:szCs w:val="20"/>
        </w:rPr>
        <w:t xml:space="preserve">Burden indicator: 'You spent 68% of the past 30 days with systolic blood pressure above 130 mmHg.'</w:t>
      </w:r>
    </w:p>
    <w:p>
      <w:pPr>
        <w:spacing w:after="100" w:before="0"/>
      </w:pPr>
      <w:r>
        <w:t xml:space="preserve"/>
      </w:r>
    </w:p>
    <w:p>
      <w:pPr>
        <w:spacing w:after="60" w:before="180"/>
      </w:pPr>
      <w:r>
        <w:rPr>
          <w:rFonts w:ascii="Arial" w:cs="Arial" w:eastAsia="Arial" w:hAnsi="Arial"/>
          <w:b/>
          <w:bCs/>
          <w:color w:val="00B4C8"/>
          <w:sz w:val="22"/>
          <w:szCs w:val="22"/>
        </w:rPr>
        <w:t xml:space="preserve">Applicability</w:t>
      </w:r>
    </w:p>
    <w:p>
      <w:pPr>
        <w:spacing w:after="60" w:before="60"/>
      </w:pPr>
      <w:r>
        <w:rPr>
          <w:rFonts w:ascii="Arial" w:cs="Arial" w:eastAsia="Arial" w:hAnsi="Arial"/>
          <w:sz w:val="20"/>
          <w:szCs w:val="20"/>
        </w:rPr>
        <w:t>The visualization framework is reusable across tracked metrics, but each metric applies clinical constraints appropriate to its data. Blood pressure retains the four-layer framework above. Glucose now uses a dedicated context-aware contract so fasting, meal-related, bedtime, random, and unknown-context readings are not treated as one interchangeable time series.</w:t>
      </w:r>
    </w:p>
    <w:p>
      <w:pPr>
        <w:spacing w:after="100" w:before="0"/>
      </w:pPr>
      <w:r>
        <w:t xml:space="preserve"/>
      </w:r>
    </w:p>
    <w:p>
      <w:pPr>
        <w:keepNext/>
        <w:keepLines/>
        <w:spacing w:after="60" w:before="180"/>
      </w:pPr>
      <w:r>
        <w:rPr>
          <w:rFonts w:ascii="Arial" w:cs="Arial" w:eastAsia="Arial" w:hAnsi="Arial"/>
          <w:b/>
          <w:bCs/>
          <w:color w:val="00B4C8"/>
          <w:sz w:val="22"/>
          <w:szCs w:val="22"/>
        </w:rPr>
        <w:t>Glucose Analysis Extension - Part A (Complete, Oct 2, 2026)</w:t>
      </w:r>
    </w:p>
    <w:p>
      <w:pPr>
        <w:keepLines/>
        <w:spacing w:after="60" w:before="60"/>
      </w:pPr>
      <w:r>
        <w:rPr>
          <w:rFonts w:ascii="Arial" w:cs="Arial" w:eastAsia="Arial" w:hAnsi="Arial"/>
          <w:sz w:val="20"/>
          <w:szCs w:val="20"/>
        </w:rPr>
        <w:t>Part A is the production implementation for patient-recorded blood glucose. It adds measurement context, a dedicated analysis contract, patient-facing analysis, and clinician PDF reporting while preserving legacy glucose rows and keeping unsupported clinical conclusions explicitly gated.</w:t>
      </w:r>
    </w:p>
    <w:p>
      <w:pPr>
        <w:keepNext/>
        <w:keepLines/>
        <w:spacing w:after="60" w:before="180"/>
      </w:pPr>
      <w:r>
        <w:rPr>
          <w:rFonts w:ascii="Arial" w:cs="Arial" w:eastAsia="Arial" w:hAnsi="Arial"/>
          <w:b/>
          <w:bCs/>
          <w:color w:val="00B4C8"/>
          <w:sz w:val="22"/>
          <w:szCs w:val="22"/>
        </w:rPr>
        <w:t>Implemented Data Foundation</w:t>
      </w:r>
    </w:p>
    <w:p>
      <w:pPr>
        <w:pStyle w:val="ListParagraph"/>
        <w:keepLines/>
        <w:numPr>
          <w:ilvl w:val="0"/>
          <w:numId w:val="2"/>
        </w:numPr>
        <w:spacing w:after="40" w:before="40"/>
      </w:pPr>
      <w:r>
        <w:rPr>
          <w:rFonts w:ascii="Arial" w:cs="Arial" w:eastAsia="Arial" w:hAnsi="Arial"/>
          <w:b w:val="false"/>
          <w:bCs w:val="false"/>
          <w:sz w:val="20"/>
          <w:szCs w:val="20"/>
        </w:rPr>
        <w:t>Normalized glucose remains in vitals.blood_glucose (mg/dL). Context metadata is stored one-to-one in glucose_context keyed by vital_id.</w:t>
      </w:r>
    </w:p>
    <w:p>
      <w:pPr>
        <w:pStyle w:val="ListParagraph"/>
        <w:keepLines/>
        <w:numPr>
          <w:ilvl w:val="0"/>
          <w:numId w:val="2"/>
        </w:numPr>
        <w:spacing w:after="40" w:before="40"/>
      </w:pPr>
      <w:r>
        <w:rPr>
          <w:rFonts w:ascii="Arial" w:cs="Arial" w:eastAsia="Arial" w:hAnsi="Arial"/>
          <w:b w:val="false"/>
          <w:bCs w:val="false"/>
          <w:sz w:val="20"/>
          <w:szCs w:val="20"/>
        </w:rPr>
        <w:t>Recorded contexts: fasting, pre-meal, post-meal, bedtime, random, other, and unknown. Meal-related readings can also record breakfast/lunch/dinner/snack and optional minutes after the meal.</w:t>
      </w:r>
    </w:p>
    <w:p>
      <w:pPr>
        <w:pStyle w:val="ListParagraph"/>
        <w:keepLines/>
        <w:numPr>
          <w:ilvl w:val="0"/>
          <w:numId w:val="2"/>
        </w:numPr>
        <w:spacing w:after="40" w:before="40"/>
      </w:pPr>
      <w:r>
        <w:rPr>
          <w:rFonts w:ascii="Arial" w:cs="Arial" w:eastAsia="Arial" w:hAnsi="Arial"/>
          <w:b w:val="false"/>
          <w:bCs w:val="false"/>
          <w:sz w:val="20"/>
          <w:szCs w:val="20"/>
        </w:rPr>
        <w:t>Source metadata supports manual/BGM now and preserves contract space for CGM, import, other source types, original value/unit, and source device.</w:t>
      </w:r>
    </w:p>
    <w:p>
      <w:pPr>
        <w:pStyle w:val="ListParagraph"/>
        <w:keepLines/>
        <w:numPr>
          <w:ilvl w:val="0"/>
          <w:numId w:val="2"/>
        </w:numPr>
        <w:spacing w:after="40" w:before="40"/>
      </w:pPr>
      <w:r>
        <w:rPr>
          <w:rFonts w:ascii="Arial" w:cs="Arial" w:eastAsia="Arial" w:hAnsi="Arial"/>
          <w:b w:val="false"/>
          <w:bCs w:val="false"/>
          <w:sz w:val="20"/>
          <w:szCs w:val="20"/>
        </w:rPr>
        <w:t>Legacy readings without a glucose_context row remain visible and are treated as unknown context rather than discarded.</w:t>
      </w:r>
    </w:p>
    <w:p>
      <w:pPr>
        <w:pStyle w:val="ListParagraph"/>
        <w:keepLines/>
        <w:numPr>
          <w:ilvl w:val="0"/>
          <w:numId w:val="2"/>
        </w:numPr>
        <w:spacing w:after="40" w:before="40"/>
      </w:pPr>
      <w:r>
        <w:rPr>
          <w:rFonts w:ascii="Arial" w:cs="Arial" w:eastAsia="Arial" w:hAnsi="Arial"/>
          <w:b w:val="false"/>
          <w:bCs w:val="false"/>
          <w:sz w:val="20"/>
          <w:szCs w:val="20"/>
        </w:rPr>
        <w:t>The dedicated Glucose analysis contract is version 2. Cache versioning forces stale generic Glucose analysis JSON to recompute under the new contract.</w:t>
      </w:r>
    </w:p>
    <w:p>
      <w:pPr>
        <w:pStyle w:val="ListParagraph"/>
        <w:keepLines/>
        <w:numPr>
          <w:ilvl w:val="0"/>
          <w:numId w:val="2"/>
        </w:numPr>
        <w:spacing w:after="40" w:before="40"/>
      </w:pPr>
      <w:r>
        <w:rPr>
          <w:rFonts w:ascii="Arial" w:cs="Arial" w:eastAsia="Arial" w:hAnsi="Arial"/>
          <w:b w:val="false"/>
          <w:bCs w:val="false"/>
          <w:sz w:val="20"/>
          <w:szCs w:val="20"/>
        </w:rPr>
        <w:t>Patient-scoped show_glucose preference is the source of truth for Dashboard, Vitals Entry, Vitals Analysis, and clinician PDF inclusion.</w:t>
      </w:r>
    </w:p>
    <w:p>
      <w:pPr>
        <w:keepNext/>
        <w:keepLines/>
        <w:spacing w:after="60" w:before="180"/>
      </w:pPr>
      <w:r>
        <w:rPr>
          <w:rFonts w:ascii="Arial" w:cs="Arial" w:eastAsia="Arial" w:hAnsi="Arial"/>
          <w:b/>
          <w:bCs/>
          <w:color w:val="00B4C8"/>
          <w:sz w:val="22"/>
          <w:szCs w:val="22"/>
        </w:rPr>
        <w:t>Glucose Mathematics and Analysis Contract</w:t>
      </w:r>
    </w:p>
    <w:p>
      <w:pPr>
        <w:pStyle w:val="ListParagraph"/>
        <w:keepLines/>
        <w:numPr>
          <w:ilvl w:val="0"/>
          <w:numId w:val="2"/>
        </w:numPr>
        <w:spacing w:after="40" w:before="40"/>
      </w:pPr>
      <w:r>
        <w:rPr>
          <w:rFonts w:ascii="Arial" w:cs="Arial" w:eastAsia="Arial" w:hAnsi="Arial"/>
          <w:b w:val="false"/>
          <w:bCs w:val="false"/>
          <w:sz w:val="20"/>
          <w:szCs w:val="20"/>
        </w:rPr>
        <w:t>Overall descriptive summary: Mean, median, minimum, and maximum are calculated across logged readings, but this mixed-context block is intentionally neutral and is never interpreted as a universal glucose target.</w:t>
      </w:r>
    </w:p>
    <w:p>
      <w:pPr>
        <w:pStyle w:val="ListParagraph"/>
        <w:keepLines/>
        <w:numPr>
          <w:ilvl w:val="0"/>
          <w:numId w:val="2"/>
        </w:numPr>
        <w:spacing w:after="40" w:before="40"/>
      </w:pPr>
      <w:r>
        <w:rPr>
          <w:rFonts w:ascii="Arial" w:cs="Arial" w:eastAsia="Arial" w:hAnsi="Arial"/>
          <w:b w:val="false"/>
          <w:bCs w:val="false"/>
          <w:sz w:val="20"/>
          <w:szCs w:val="20"/>
        </w:rPr>
        <w:t>Context-specific descriptive summary: A fasting/pre-meal/post-meal/bedtime/random context becomes available at &gt;=3 readings in that same context. Output includes n, distinct days, observed span, mean, median, minimum, and maximum.</w:t>
      </w:r>
    </w:p>
    <w:p>
      <w:pPr>
        <w:pStyle w:val="ListParagraph"/>
        <w:keepLines/>
        <w:numPr>
          <w:ilvl w:val="0"/>
          <w:numId w:val="2"/>
        </w:numPr>
        <w:spacing w:after="40" w:before="40"/>
      </w:pPr>
      <w:r>
        <w:rPr>
          <w:rFonts w:ascii="Arial" w:cs="Arial" w:eastAsia="Arial" w:hAnsi="Arial"/>
          <w:b w:val="false"/>
          <w:bCs w:val="false"/>
          <w:sz w:val="20"/>
          <w:szCs w:val="20"/>
        </w:rPr>
        <w:t>Context-specific OLS trend: Directional trend becomes available at &gt;=5 same-context readings across at least 2 distinct days and &gt;=7 days of observed span. OLS returns slope in mg/dL/day, modeled change across the observed span, and R-squared when calculable.</w:t>
      </w:r>
    </w:p>
    <w:p>
      <w:pPr>
        <w:pStyle w:val="ListParagraph"/>
        <w:keepLines/>
        <w:numPr>
          <w:ilvl w:val="0"/>
          <w:numId w:val="2"/>
        </w:numPr>
        <w:spacing w:after="40" w:before="40"/>
      </w:pPr>
      <w:r>
        <w:rPr>
          <w:rFonts w:ascii="Arial" w:cs="Arial" w:eastAsia="Arial" w:hAnsi="Arial"/>
          <w:b w:val="false"/>
          <w:bCs w:val="false"/>
          <w:sz w:val="20"/>
          <w:szCs w:val="20"/>
        </w:rPr>
        <w:t>Regression significance gate: p-value is exposed only when the same context has &gt;=10 readings and &gt;=14 days of span. Direction/slope can be shown with less support; statistical significance cannot.</w:t>
      </w:r>
    </w:p>
    <w:p>
      <w:pPr>
        <w:pStyle w:val="ListParagraph"/>
        <w:keepLines/>
        <w:numPr>
          <w:ilvl w:val="0"/>
          <w:numId w:val="2"/>
        </w:numPr>
        <w:spacing w:after="40" w:before="40"/>
      </w:pPr>
      <w:r>
        <w:rPr>
          <w:rFonts w:ascii="Arial" w:cs="Arial" w:eastAsia="Arial" w:hAnsi="Arial"/>
          <w:b w:val="false"/>
          <w:bCs w:val="false"/>
          <w:sz w:val="20"/>
          <w:szCs w:val="20"/>
        </w:rPr>
        <w:t>LOESS: Each qualifying context receives a separate LOESS curve using frac=0.6. No LOESS or OLS fit is run through a mixture of fasting, meal-related, bedtime, and random values.</w:t>
      </w:r>
    </w:p>
    <w:p>
      <w:pPr>
        <w:pStyle w:val="ListParagraph"/>
        <w:keepLines/>
        <w:numPr>
          <w:ilvl w:val="0"/>
          <w:numId w:val="2"/>
        </w:numPr>
        <w:spacing w:after="40" w:before="40"/>
      </w:pPr>
      <w:r>
        <w:rPr>
          <w:rFonts w:ascii="Arial" w:cs="Arial" w:eastAsia="Arial" w:hAnsi="Arial"/>
          <w:b w:val="false"/>
          <w:bCs w:val="false"/>
          <w:sz w:val="20"/>
          <w:szCs w:val="20"/>
        </w:rPr>
        <w:t>Low-glucose observations: Level 1 is 54-69 mg/dL and Level 2 is &lt;54 mg/dL. Counts and events are reported directly from recorded values. The engine does not infer symptoms or numeric "Level 3" severity.</w:t>
      </w:r>
    </w:p>
    <w:p>
      <w:pPr>
        <w:pStyle w:val="ListParagraph"/>
        <w:keepLines/>
        <w:numPr>
          <w:ilvl w:val="0"/>
          <w:numId w:val="2"/>
        </w:numPr>
        <w:spacing w:after="40" w:before="40"/>
      </w:pPr>
      <w:r>
        <w:rPr>
          <w:rFonts w:ascii="Arial" w:cs="Arial" w:eastAsia="Arial" w:hAnsi="Arial"/>
          <w:b w:val="false"/>
          <w:bCs w:val="false"/>
          <w:sz w:val="20"/>
          <w:szCs w:val="20"/>
        </w:rPr>
        <w:t>Meal excursion pairing: Prefer an explicit meal_event_id. A fallback pair is allowed only when there is exactly one pre-meal and one post-meal reading for the same local date and meal, the post-meal reading occurs later, and post-meal minutes are recorded.</w:t>
      </w:r>
    </w:p>
    <w:p>
      <w:pPr>
        <w:pStyle w:val="ListParagraph"/>
        <w:keepLines/>
        <w:numPr>
          <w:ilvl w:val="0"/>
          <w:numId w:val="2"/>
        </w:numPr>
        <w:spacing w:after="40" w:before="40"/>
      </w:pPr>
      <w:r>
        <w:rPr>
          <w:rFonts w:ascii="Arial" w:cs="Arial" w:eastAsia="Arial" w:hAnsi="Arial"/>
          <w:b w:val="false"/>
          <w:bCs w:val="false"/>
          <w:sz w:val="20"/>
          <w:szCs w:val="20"/>
        </w:rPr>
        <w:t>Meal excursion summaries: Excursion = post-meal glucose - pre-meal glucose. Different post-meal intervals are not averaged together; meal type plus exact minutes-after-meal is the grouping key. Mean/median/range summaries require &gt;=3 comparable pairs.</w:t>
      </w:r>
    </w:p>
    <w:p>
      <w:pPr>
        <w:pStyle w:val="ListParagraph"/>
        <w:keepLines/>
        <w:numPr>
          <w:ilvl w:val="0"/>
          <w:numId w:val="2"/>
        </w:numPr>
        <w:spacing w:after="40" w:before="40"/>
      </w:pPr>
      <w:r>
        <w:rPr>
          <w:rFonts w:ascii="Arial" w:cs="Arial" w:eastAsia="Arial" w:hAnsi="Arial"/>
          <w:b w:val="false"/>
          <w:bCs w:val="false"/>
          <w:sz w:val="20"/>
          <w:szCs w:val="20"/>
        </w:rPr>
        <w:t>Variability by context: &gt;=5 comparable readings enables descriptive SD, IQR, minimum, and maximum. Coefficient of variation is calculated only at &gt;=10 readings and is presented descriptively, not against CGM CV targets.</w:t>
      </w:r>
    </w:p>
    <w:p>
      <w:pPr>
        <w:pStyle w:val="ListParagraph"/>
        <w:keepLines/>
        <w:numPr>
          <w:ilvl w:val="0"/>
          <w:numId w:val="2"/>
        </w:numPr>
        <w:spacing w:after="40" w:before="40"/>
      </w:pPr>
      <w:r>
        <w:rPr>
          <w:rFonts w:ascii="Arial" w:cs="Arial" w:eastAsia="Arial" w:hAnsi="Arial"/>
          <w:b w:val="false"/>
          <w:bCs w:val="false"/>
          <w:sz w:val="20"/>
          <w:szCs w:val="20"/>
        </w:rPr>
        <w:t>Time-of-day analysis: Local-time buckets are morning 04:00-11:59, afternoon 12:00-16:59, evening 17:00-21:59, and overnight otherwise. A bucket requires &gt;=3 same-context readings; pattern comparison requires at least 2 qualifying buckets.</w:t>
      </w:r>
    </w:p>
    <w:p>
      <w:pPr>
        <w:pStyle w:val="ListParagraph"/>
        <w:keepLines/>
        <w:numPr>
          <w:ilvl w:val="0"/>
          <w:numId w:val="2"/>
        </w:numPr>
        <w:spacing w:after="40" w:before="40"/>
      </w:pPr>
      <w:r>
        <w:rPr>
          <w:rFonts w:ascii="Arial" w:cs="Arial" w:eastAsia="Arial" w:hAnsi="Arial"/>
          <w:b w:val="false"/>
          <w:bCs w:val="false"/>
          <w:sz w:val="20"/>
          <w:szCs w:val="20"/>
        </w:rPr>
        <w:t>Medication-change association: For each recorded medication change, the engine compares the same glucose context during the 14 days before versus the 14 days after. Both sides require &gt;=5 readings. Output includes mean/median deltas and before/after OLS slopes. This is observational association, not causation.</w:t>
      </w:r>
    </w:p>
    <w:p>
      <w:pPr>
        <w:pStyle w:val="ListParagraph"/>
        <w:keepLines/>
        <w:numPr>
          <w:ilvl w:val="0"/>
          <w:numId w:val="2"/>
        </w:numPr>
        <w:spacing w:after="40" w:before="40"/>
      </w:pPr>
      <w:r>
        <w:rPr>
          <w:rFonts w:ascii="Arial" w:cs="Arial" w:eastAsia="Arial" w:hAnsi="Arial"/>
          <w:b w:val="false"/>
          <w:bCs w:val="false"/>
          <w:sz w:val="20"/>
          <w:szCs w:val="20"/>
        </w:rPr>
        <w:t>Data-support state: snapshot, descriptive, or trend support is returned with n, distinct days, span, context completeness, explicit unavailable-analysis reason codes, and interpretation limitations.</w:t>
      </w:r>
    </w:p>
    <w:p>
      <w:pPr>
        <w:keepNext/>
        <w:keepLines/>
        <w:spacing w:after="60" w:before="180"/>
      </w:pPr>
      <w:r>
        <w:rPr>
          <w:rFonts w:ascii="Arial" w:cs="Arial" w:eastAsia="Arial" w:hAnsi="Arial"/>
          <w:b/>
          <w:bCs/>
          <w:color w:val="00B4C8"/>
          <w:sz w:val="22"/>
          <w:szCs w:val="22"/>
        </w:rPr>
        <w:t>GMI and Capability Gating</w:t>
      </w:r>
    </w:p>
    <w:p>
      <w:pPr>
        <w:pStyle w:val="ListParagraph"/>
        <w:keepLines/>
        <w:numPr>
          <w:ilvl w:val="0"/>
          <w:numId w:val="2"/>
        </w:numPr>
        <w:spacing w:after="40" w:before="40"/>
      </w:pPr>
      <w:r>
        <w:rPr>
          <w:rFonts w:ascii="Arial" w:cs="Arial" w:eastAsia="Arial" w:hAnsi="Arial"/>
          <w:b w:val="false"/>
          <w:bCs w:val="false"/>
          <w:sz w:val="20"/>
          <w:szCs w:val="20"/>
        </w:rPr>
        <w:t>GMI formula is defined as: GMI (%) = 3.31 + 0.02392 x mean CGM glucose (mg/dL).</w:t>
      </w:r>
    </w:p>
    <w:p>
      <w:pPr>
        <w:pStyle w:val="ListParagraph"/>
        <w:keepLines/>
        <w:numPr>
          <w:ilvl w:val="0"/>
          <w:numId w:val="2"/>
        </w:numPr>
        <w:spacing w:after="40" w:before="40"/>
      </w:pPr>
      <w:r>
        <w:rPr>
          <w:rFonts w:ascii="Arial" w:cs="Arial" w:eastAsia="Arial" w:hAnsi="Arial"/>
          <w:b w:val="false"/>
          <w:bCs w:val="false"/>
          <w:sz w:val="20"/>
          <w:szCs w:val="20"/>
        </w:rPr>
        <w:t>Manual/BGM spot readings are never used to calculate GMI. GMI requires qualified dense CGM data with at least 14 days represented and &gt;=70% active coverage.</w:t>
      </w:r>
    </w:p>
    <w:p>
      <w:pPr>
        <w:pStyle w:val="ListParagraph"/>
        <w:keepLines/>
        <w:numPr>
          <w:ilvl w:val="0"/>
          <w:numId w:val="2"/>
        </w:numPr>
        <w:spacing w:after="40" w:before="40"/>
      </w:pPr>
      <w:r>
        <w:rPr>
          <w:rFonts w:ascii="Arial" w:cs="Arial" w:eastAsia="Arial" w:hAnsi="Arial"/>
          <w:b w:val="false"/>
          <w:bCs w:val="false"/>
          <w:sz w:val="20"/>
          <w:szCs w:val="20"/>
        </w:rPr>
        <w:t>The GMI block remains visible even when unavailable so the app and PDF can explain what is required. It explicitly states that GMI is not a laboratory A1C and may differ from measured A1C.</w:t>
      </w:r>
    </w:p>
    <w:p>
      <w:pPr>
        <w:pStyle w:val="ListParagraph"/>
        <w:keepLines/>
        <w:numPr>
          <w:ilvl w:val="0"/>
          <w:numId w:val="2"/>
        </w:numPr>
        <w:spacing w:after="40" w:before="40"/>
      </w:pPr>
      <w:r>
        <w:rPr>
          <w:rFonts w:ascii="Arial" w:cs="Arial" w:eastAsia="Arial" w:hAnsi="Arial"/>
          <w:b w:val="false"/>
          <w:bCs w:val="false"/>
          <w:sz w:val="20"/>
          <w:szCs w:val="20"/>
        </w:rPr>
        <w:t>Current limitation: the contract and UI/PDF readiness state are implemented, but standardized CGM/GMI calculation remains unavailable until CGM ingestion includes active-coverage metadata.</w:t>
      </w:r>
    </w:p>
    <w:p>
      <w:pPr>
        <w:pStyle w:val="ListParagraph"/>
        <w:keepLines/>
        <w:numPr>
          <w:ilvl w:val="0"/>
          <w:numId w:val="2"/>
        </w:numPr>
        <w:spacing w:after="40" w:before="40"/>
      </w:pPr>
      <w:r>
        <w:rPr>
          <w:rFonts w:ascii="Arial" w:cs="Arial" w:eastAsia="Arial" w:hAnsi="Arial"/>
          <w:b w:val="false"/>
          <w:bCs w:val="false"/>
          <w:sz w:val="20"/>
          <w:szCs w:val="20"/>
        </w:rPr>
        <w:t>Logged Readings in Target is deliberately unavailable until a patient-specific glucose target profile exists. Sparse manual readings are not labeled CGM Time in Range and are not classified against a universal high/out-of-target threshold.</w:t>
      </w:r>
    </w:p>
    <w:p>
      <w:pPr>
        <w:keepNext/>
        <w:keepLines/>
        <w:spacing w:after="60" w:before="180"/>
      </w:pPr>
      <w:r>
        <w:rPr>
          <w:rFonts w:ascii="Arial" w:cs="Arial" w:eastAsia="Arial" w:hAnsi="Arial"/>
          <w:b/>
          <w:bCs/>
          <w:color w:val="00B4C8"/>
          <w:sz w:val="22"/>
          <w:szCs w:val="22"/>
        </w:rPr>
        <w:t>Patient and Clinician Presentation</w:t>
      </w:r>
    </w:p>
    <w:p>
      <w:pPr>
        <w:pStyle w:val="ListParagraph"/>
        <w:keepLines/>
        <w:numPr>
          <w:ilvl w:val="0"/>
          <w:numId w:val="2"/>
        </w:numPr>
        <w:spacing w:after="40" w:before="40"/>
      </w:pPr>
      <w:r>
        <w:rPr>
          <w:rFonts w:ascii="Arial" w:cs="Arial" w:eastAsia="Arial" w:hAnsi="Arial"/>
          <w:b w:val="false"/>
          <w:bCs w:val="false"/>
          <w:sz w:val="20"/>
          <w:szCs w:val="20"/>
        </w:rPr>
        <w:t>Vitals Analysis uses a dedicated GlucoseAnalysis model and shows the latest value with measurement context, meal/timing, and source; context completeness; context summaries; context trends; low-glucose observations; GMI readiness; data confidence; unavailable analyses; and interpretation limits.</w:t>
      </w:r>
    </w:p>
    <w:p>
      <w:pPr>
        <w:pStyle w:val="ListParagraph"/>
        <w:keepLines/>
        <w:numPr>
          <w:ilvl w:val="0"/>
          <w:numId w:val="2"/>
        </w:numPr>
        <w:spacing w:after="40" w:before="40"/>
      </w:pPr>
      <w:r>
        <w:rPr>
          <w:rFonts w:ascii="Arial" w:cs="Arial" w:eastAsia="Arial" w:hAnsi="Arial"/>
          <w:b w:val="false"/>
          <w:bCs w:val="false"/>
          <w:sz w:val="20"/>
          <w:szCs w:val="20"/>
        </w:rPr>
        <w:t>Logged Reading Summary uses a compact Mean / Median / Min / Max layout with mg/dL shown once. Mixed-context values remain visually neutral.</w:t>
      </w:r>
    </w:p>
    <w:p>
      <w:pPr>
        <w:pStyle w:val="ListParagraph"/>
        <w:keepLines/>
        <w:numPr>
          <w:ilvl w:val="0"/>
          <w:numId w:val="2"/>
        </w:numPr>
        <w:spacing w:after="40" w:before="40"/>
      </w:pPr>
      <w:r>
        <w:rPr>
          <w:rFonts w:ascii="Arial" w:cs="Arial" w:eastAsia="Arial" w:hAnsi="Arial"/>
          <w:b w:val="false"/>
          <w:bCs w:val="false"/>
          <w:sz w:val="20"/>
          <w:szCs w:val="20"/>
        </w:rPr>
        <w:t>Low-glucose risk styling is used only where the engine has explicit numeric support: Level 1 receives amber emphasis and Level 2 red emphasis, with text labels so color is never the only signal.</w:t>
      </w:r>
    </w:p>
    <w:p>
      <w:pPr>
        <w:pStyle w:val="ListParagraph"/>
        <w:keepLines/>
        <w:numPr>
          <w:ilvl w:val="0"/>
          <w:numId w:val="2"/>
        </w:numPr>
        <w:spacing w:after="40" w:before="40"/>
      </w:pPr>
      <w:r>
        <w:rPr>
          <w:rFonts w:ascii="Arial" w:cs="Arial" w:eastAsia="Arial" w:hAnsi="Arial"/>
          <w:b w:val="false"/>
          <w:bCs w:val="false"/>
          <w:sz w:val="20"/>
          <w:szCs w:val="20"/>
        </w:rPr>
        <w:t>The clinician PDF has a dedicated Blood Glucose Clinical Analysis section using the same v2 contract: latest/context/source, report window, source/context coverage, descriptive and context-specific tables, trends, low events, meal excursions, medication-change comparisons, GMI readiness, support state, and limitations.</w:t>
      </w:r>
    </w:p>
    <w:p>
      <w:pPr>
        <w:pStyle w:val="ListParagraph"/>
        <w:keepLines/>
        <w:numPr>
          <w:ilvl w:val="0"/>
          <w:numId w:val="2"/>
        </w:numPr>
        <w:spacing w:after="40" w:before="40"/>
      </w:pPr>
      <w:r>
        <w:rPr>
          <w:rFonts w:ascii="Arial" w:cs="Arial" w:eastAsia="Arial" w:hAnsi="Arial"/>
          <w:b w:val="false"/>
          <w:bCs w:val="false"/>
          <w:sz w:val="20"/>
          <w:szCs w:val="20"/>
        </w:rPr>
        <w:t>When Glucose is enabled but no readings exist, the PDF renders an explicit No Glucose Data Yet section rather than silently omitting Glucose.</w:t>
      </w:r>
    </w:p>
    <w:p>
      <w:pPr>
        <w:pStyle w:val="ListParagraph"/>
        <w:keepLines/>
        <w:numPr>
          <w:ilvl w:val="0"/>
          <w:numId w:val="2"/>
        </w:numPr>
        <w:spacing w:after="40" w:before="40"/>
      </w:pPr>
      <w:r>
        <w:rPr>
          <w:rFonts w:ascii="Arial" w:cs="Arial" w:eastAsia="Arial" w:hAnsi="Arial"/>
          <w:b w:val="false"/>
          <w:bCs w:val="false"/>
          <w:sz w:val="20"/>
          <w:szCs w:val="20"/>
        </w:rPr>
        <w:t>Production verification (Oct 2, 2026): merged Glucose work was deployed and a generated clinician PDF was confirmed to reflect the Glucose analysis data.</w:t>
      </w:r>
    </w:p>
    <w:p>
      <w:pPr>
        <w:keepNext/>
        <w:keepLines/>
        <w:spacing w:after="60" w:before="180"/>
      </w:pPr>
      <w:r>
        <w:rPr>
          <w:rFonts w:ascii="Arial" w:cs="Arial" w:eastAsia="Arial" w:hAnsi="Arial"/>
          <w:b/>
          <w:bCs/>
          <w:color w:val="00B4C8"/>
          <w:sz w:val="22"/>
          <w:szCs w:val="22"/>
        </w:rPr>
        <w:t>Implementation Record</w:t>
      </w:r>
    </w:p>
    <w:p>
      <w:pPr>
        <w:pStyle w:val="ListParagraph"/>
        <w:keepLines/>
        <w:numPr>
          <w:ilvl w:val="0"/>
          <w:numId w:val="2"/>
        </w:numPr>
        <w:spacing w:after="40" w:before="40"/>
      </w:pPr>
      <w:r>
        <w:rPr>
          <w:rFonts w:ascii="Arial" w:cs="Arial" w:eastAsia="Arial" w:hAnsi="Arial"/>
          <w:b w:val="false"/>
          <w:bCs w:val="false"/>
          <w:sz w:val="20"/>
          <w:szCs w:val="20"/>
        </w:rPr>
        <w:t>PR #23 - glucose_context data foundation and Vitals Entry context capture - merged.</w:t>
      </w:r>
    </w:p>
    <w:p>
      <w:pPr>
        <w:pStyle w:val="ListParagraph"/>
        <w:keepLines/>
        <w:numPr>
          <w:ilvl w:val="0"/>
          <w:numId w:val="2"/>
        </w:numPr>
        <w:spacing w:after="40" w:before="40"/>
      </w:pPr>
      <w:r>
        <w:rPr>
          <w:rFonts w:ascii="Arial" w:cs="Arial" w:eastAsia="Arial" w:hAnsi="Arial"/>
          <w:b w:val="false"/>
          <w:bCs w:val="false"/>
          <w:sz w:val="20"/>
          <w:szCs w:val="20"/>
        </w:rPr>
        <w:t>PR #24 - dedicated context-aware Glucose analysis engine - merged.</w:t>
      </w:r>
    </w:p>
    <w:p>
      <w:pPr>
        <w:pStyle w:val="ListParagraph"/>
        <w:keepLines/>
        <w:numPr>
          <w:ilvl w:val="0"/>
          <w:numId w:val="2"/>
        </w:numPr>
        <w:spacing w:after="40" w:before="40"/>
      </w:pPr>
      <w:r>
        <w:rPr>
          <w:rFonts w:ascii="Arial" w:cs="Arial" w:eastAsia="Arial" w:hAnsi="Arial"/>
          <w:b w:val="false"/>
          <w:bCs w:val="false"/>
          <w:sz w:val="20"/>
          <w:szCs w:val="20"/>
        </w:rPr>
        <w:t>PR #25 - GMI readiness state, qualification requirement, disclosure, and analysis contract v2 - merged.</w:t>
      </w:r>
    </w:p>
    <w:p>
      <w:pPr>
        <w:pStyle w:val="ListParagraph"/>
        <w:keepLines/>
        <w:numPr>
          <w:ilvl w:val="0"/>
          <w:numId w:val="2"/>
        </w:numPr>
        <w:spacing w:after="40" w:before="40"/>
      </w:pPr>
      <w:r>
        <w:rPr>
          <w:rFonts w:ascii="Arial" w:cs="Arial" w:eastAsia="Arial" w:hAnsi="Arial"/>
          <w:b w:val="false"/>
          <w:bCs w:val="false"/>
          <w:sz w:val="20"/>
          <w:szCs w:val="20"/>
        </w:rPr>
        <w:t>PR #26 - dedicated MAUI Glucose Analysis model/view and patient-facing presentation - merged.</w:t>
      </w:r>
    </w:p>
    <w:p>
      <w:pPr>
        <w:pStyle w:val="ListParagraph"/>
        <w:keepLines/>
        <w:numPr>
          <w:ilvl w:val="0"/>
          <w:numId w:val="2"/>
        </w:numPr>
        <w:spacing w:after="40" w:before="40"/>
      </w:pPr>
      <w:r>
        <w:rPr>
          <w:rFonts w:ascii="Arial" w:cs="Arial" w:eastAsia="Arial" w:hAnsi="Arial"/>
          <w:b w:val="false"/>
          <w:bCs w:val="false"/>
          <w:sz w:val="20"/>
          <w:szCs w:val="20"/>
        </w:rPr>
        <w:t>PR #27 - logged-summary presentation refinement and explicit Level 1/Level 2 low-glucose styling - merged.</w:t>
      </w:r>
    </w:p>
    <w:p>
      <w:pPr>
        <w:pStyle w:val="ListParagraph"/>
        <w:keepLines/>
        <w:numPr>
          <w:ilvl w:val="0"/>
          <w:numId w:val="2"/>
        </w:numPr>
        <w:spacing w:after="40" w:before="40"/>
      </w:pPr>
      <w:r>
        <w:rPr>
          <w:rFonts w:ascii="Arial" w:cs="Arial" w:eastAsia="Arial" w:hAnsi="Arial"/>
          <w:b w:val="false"/>
          <w:bCs w:val="false"/>
          <w:sz w:val="20"/>
          <w:szCs w:val="20"/>
        </w:rPr>
        <w:t>PR #28 - dedicated clinician PDF Glucose analysis renderer - merged and production-verified.</w:t>
      </w:r>
    </w:p>
    <w:p>
      <w:pPr>
        <w:keepNext/>
        <w:keepLines/>
        <w:spacing w:after="60" w:before="180"/>
      </w:pPr>
      <w:r>
        <w:rPr>
          <w:rFonts w:ascii="Arial" w:cs="Arial" w:eastAsia="Arial" w:hAnsi="Arial"/>
          <w:b/>
          <w:bCs/>
          <w:color w:val="00B4C8"/>
          <w:sz w:val="22"/>
          <w:szCs w:val="22"/>
        </w:rPr>
        <w:t>Glucose Part B - Clinical Results / Doctor Visit (Deferred Post-Launch - Nice to Have)</w:t>
      </w:r>
    </w:p>
    <w:p>
      <w:pPr>
        <w:keepLines/>
        <w:spacing w:after="60" w:before="60"/>
      </w:pPr>
      <w:r>
        <w:rPr>
          <w:rFonts w:ascii="Arial" w:cs="Arial" w:eastAsia="Arial" w:hAnsi="Arial"/>
          <w:sz w:val="20"/>
          <w:szCs w:val="20"/>
        </w:rPr>
        <w:t>Product decision (Oct 3, 2026): Part B is a nice-to-have post-launch enhancement, not a minimum product requirement and not a blocker for Phase 6 closure, Phase 7, or the Android MVP launch. The engineering specification is retained below so this capability can be implemented later without rediscovering the data model, API, MAUI, analysis, PDF, security, and deployment requirements. When implemented, Part B will add physician- and laboratory-reported clinical results to the existing Visit Log while keeping those results distinct from patient-recorded home glucose and allowing dated laboratory checkpoints - especially A1C - to appear alongside the Glucose analysis and clinician PDF.</w:t>
      </w:r>
    </w:p>
    <w:p>
      <w:pPr>
        <w:keepNext/>
        <w:keepLines/>
        <w:spacing w:after="60" w:before="180"/>
      </w:pPr>
      <w:r>
        <w:rPr>
          <w:rFonts w:ascii="Arial" w:cs="Arial" w:eastAsia="Arial" w:hAnsi="Arial"/>
          <w:b/>
          <w:bCs/>
          <w:color w:val="00B4C8"/>
          <w:sz w:val="22"/>
          <w:szCs w:val="22"/>
        </w:rPr>
        <w:t>Part B Result Scope</w:t>
      </w:r>
    </w:p>
    <w:p>
      <w:pPr>
        <w:pStyle w:val="ListParagraph"/>
        <w:keepLines/>
        <w:numPr>
          <w:ilvl w:val="0"/>
          <w:numId w:val="2"/>
        </w:numPr>
        <w:spacing w:after="40" w:before="40"/>
      </w:pPr>
      <w:r>
        <w:rPr>
          <w:rFonts w:ascii="Arial" w:cs="Arial" w:eastAsia="Arial" w:hAnsi="Arial"/>
          <w:b w:val="false"/>
          <w:bCs w:val="false"/>
          <w:sz w:val="20"/>
          <w:szCs w:val="20"/>
        </w:rPr>
        <w:t>A1C / HbA1c.</w:t>
      </w:r>
    </w:p>
    <w:p>
      <w:pPr>
        <w:pStyle w:val="ListParagraph"/>
        <w:keepLines/>
        <w:numPr>
          <w:ilvl w:val="0"/>
          <w:numId w:val="2"/>
        </w:numPr>
        <w:spacing w:after="40" w:before="40"/>
      </w:pPr>
      <w:r>
        <w:rPr>
          <w:rFonts w:ascii="Arial" w:cs="Arial" w:eastAsia="Arial" w:hAnsi="Arial"/>
          <w:b w:val="false"/>
          <w:bCs w:val="false"/>
          <w:sz w:val="20"/>
          <w:szCs w:val="20"/>
        </w:rPr>
        <w:t>Cholesterol / lipid panel: total cholesterol, LDL-C, HDL-C, triglycerides.</w:t>
      </w:r>
    </w:p>
    <w:p>
      <w:pPr>
        <w:pStyle w:val="ListParagraph"/>
        <w:keepLines/>
        <w:numPr>
          <w:ilvl w:val="0"/>
          <w:numId w:val="2"/>
        </w:numPr>
        <w:spacing w:after="40" w:before="40"/>
      </w:pPr>
      <w:r>
        <w:rPr>
          <w:rFonts w:ascii="Arial" w:cs="Arial" w:eastAsia="Arial" w:hAnsi="Arial"/>
          <w:b w:val="false"/>
          <w:bCs w:val="false"/>
          <w:sz w:val="20"/>
          <w:szCs w:val="20"/>
        </w:rPr>
        <w:t>Glucose laboratory results: fasting plasma glucose and other physician/lab-reported glucose values.</w:t>
      </w:r>
    </w:p>
    <w:p>
      <w:pPr>
        <w:pStyle w:val="ListParagraph"/>
        <w:keepLines/>
        <w:numPr>
          <w:ilvl w:val="0"/>
          <w:numId w:val="2"/>
        </w:numPr>
        <w:spacing w:after="40" w:before="40"/>
      </w:pPr>
      <w:r>
        <w:rPr>
          <w:rFonts w:ascii="Arial" w:cs="Arial" w:eastAsia="Arial" w:hAnsi="Arial"/>
          <w:b w:val="false"/>
          <w:bCs w:val="false"/>
          <w:sz w:val="20"/>
          <w:szCs w:val="20"/>
        </w:rPr>
        <w:t>Kidney labs: creatinine, eGFR, BUN, and urine albumin/creatinine ratio when reported.</w:t>
      </w:r>
    </w:p>
    <w:p>
      <w:pPr>
        <w:pStyle w:val="ListParagraph"/>
        <w:keepLines/>
        <w:numPr>
          <w:ilvl w:val="0"/>
          <w:numId w:val="2"/>
        </w:numPr>
        <w:spacing w:after="40" w:before="40"/>
      </w:pPr>
      <w:r>
        <w:rPr>
          <w:rFonts w:ascii="Arial" w:cs="Arial" w:eastAsia="Arial" w:hAnsi="Arial"/>
          <w:b w:val="false"/>
          <w:bCs w:val="false"/>
          <w:sz w:val="20"/>
          <w:szCs w:val="20"/>
        </w:rPr>
        <w:t>Liver labs: ALT, AST, alkaline phosphatase, total bilirubin.</w:t>
      </w:r>
    </w:p>
    <w:p>
      <w:pPr>
        <w:pStyle w:val="ListParagraph"/>
        <w:keepLines/>
        <w:numPr>
          <w:ilvl w:val="0"/>
          <w:numId w:val="2"/>
        </w:numPr>
        <w:spacing w:after="40" w:before="40"/>
      </w:pPr>
      <w:r>
        <w:rPr>
          <w:rFonts w:ascii="Arial" w:cs="Arial" w:eastAsia="Arial" w:hAnsi="Arial"/>
          <w:b w:val="false"/>
          <w:bCs w:val="false"/>
          <w:sz w:val="20"/>
          <w:szCs w:val="20"/>
        </w:rPr>
        <w:t>CBC: WBC, RBC, hemoglobin, hematocrit, platelets.</w:t>
      </w:r>
    </w:p>
    <w:p>
      <w:pPr>
        <w:pStyle w:val="ListParagraph"/>
        <w:keepLines/>
        <w:numPr>
          <w:ilvl w:val="0"/>
          <w:numId w:val="2"/>
        </w:numPr>
        <w:spacing w:after="40" w:before="40"/>
      </w:pPr>
      <w:r>
        <w:rPr>
          <w:rFonts w:ascii="Arial" w:cs="Arial" w:eastAsia="Arial" w:hAnsi="Arial"/>
          <w:b w:val="false"/>
          <w:bCs w:val="false"/>
          <w:sz w:val="20"/>
          <w:szCs w:val="20"/>
        </w:rPr>
        <w:t>Thyroid: TSH and free T4.</w:t>
      </w:r>
    </w:p>
    <w:p>
      <w:pPr>
        <w:pStyle w:val="ListParagraph"/>
        <w:keepLines/>
        <w:numPr>
          <w:ilvl w:val="0"/>
          <w:numId w:val="2"/>
        </w:numPr>
        <w:spacing w:after="40" w:before="40"/>
      </w:pPr>
      <w:r>
        <w:rPr>
          <w:rFonts w:ascii="Arial" w:cs="Arial" w:eastAsia="Arial" w:hAnsi="Arial"/>
          <w:b w:val="false"/>
          <w:bCs w:val="false"/>
          <w:sz w:val="20"/>
          <w:szCs w:val="20"/>
        </w:rPr>
        <w:t>Other physician-reported test results through an extensible custom test name/code rather than a closed hard-coded list.</w:t>
      </w:r>
    </w:p>
    <w:p>
      <w:pPr>
        <w:keepNext/>
        <w:keepLines/>
        <w:spacing w:after="60" w:before="180"/>
      </w:pPr>
      <w:r>
        <w:rPr>
          <w:rFonts w:ascii="Arial" w:cs="Arial" w:eastAsia="Arial" w:hAnsi="Arial"/>
          <w:b/>
          <w:bCs/>
          <w:color w:val="00B4C8"/>
          <w:sz w:val="22"/>
          <w:szCs w:val="22"/>
        </w:rPr>
        <w:t>Existing Visit Foundation to Reuse</w:t>
      </w:r>
    </w:p>
    <w:p>
      <w:pPr>
        <w:pStyle w:val="ListParagraph"/>
        <w:keepLines/>
        <w:numPr>
          <w:ilvl w:val="0"/>
          <w:numId w:val="2"/>
        </w:numPr>
        <w:spacing w:after="40" w:before="40"/>
      </w:pPr>
      <w:r>
        <w:rPr>
          <w:rFonts w:ascii="Arial" w:cs="Arial" w:eastAsia="Arial" w:hAnsi="Arial"/>
          <w:b w:val="false"/>
          <w:bCs w:val="false"/>
          <w:sz w:val="20"/>
          <w:szCs w:val="20"/>
        </w:rPr>
        <w:t>visit_logs already exists with patient_id, household_id, doctor_id, visit date/time, reason, notes, follow-up date, timestamps, and soft-active state.</w:t>
      </w:r>
    </w:p>
    <w:p>
      <w:pPr>
        <w:pStyle w:val="ListParagraph"/>
        <w:keepLines/>
        <w:numPr>
          <w:ilvl w:val="0"/>
          <w:numId w:val="2"/>
        </w:numPr>
        <w:spacing w:after="40" w:before="40"/>
      </w:pPr>
      <w:r>
        <w:rPr>
          <w:rFonts w:ascii="Arial" w:cs="Arial" w:eastAsia="Arial" w:hAnsi="Arial"/>
          <w:b w:val="false"/>
          <w:bCs w:val="false"/>
          <w:sz w:val="20"/>
          <w:szCs w:val="20"/>
        </w:rPr>
        <w:t>Existing endpoints already provide GET /api/visits, POST /api/visits, PATCH /api/visits/{visit_id}, and GET /api/visits/latest with household/patient scoping.</w:t>
      </w:r>
    </w:p>
    <w:p>
      <w:pPr>
        <w:pStyle w:val="ListParagraph"/>
        <w:keepLines/>
        <w:numPr>
          <w:ilvl w:val="0"/>
          <w:numId w:val="2"/>
        </w:numPr>
        <w:spacing w:after="40" w:before="40"/>
      </w:pPr>
      <w:r>
        <w:rPr>
          <w:rFonts w:ascii="Arial" w:cs="Arial" w:eastAsia="Arial" w:hAnsi="Arial"/>
          <w:b w:val="false"/>
          <w:bCs w:val="false"/>
          <w:sz w:val="20"/>
          <w:szCs w:val="20"/>
        </w:rPr>
        <w:t>The MAUI Visit Log, visit detail popup, doctor picker, follow-up fields, and optional office vitals snapshot are already operational. Part B should extend this workflow rather than create a duplicate visit subsystem.</w:t>
      </w:r>
    </w:p>
    <w:p>
      <w:pPr>
        <w:pStyle w:val="ListParagraph"/>
        <w:keepLines/>
        <w:numPr>
          <w:ilvl w:val="0"/>
          <w:numId w:val="2"/>
        </w:numPr>
        <w:spacing w:after="40" w:before="40"/>
      </w:pPr>
      <w:r>
        <w:rPr>
          <w:rFonts w:ascii="Arial" w:cs="Arial" w:eastAsia="Arial" w:hAnsi="Arial"/>
          <w:b w:val="false"/>
          <w:bCs w:val="false"/>
          <w:sz w:val="20"/>
          <w:szCs w:val="20"/>
        </w:rPr>
        <w:t>Use visit_logs as the canonical encounter table. The older doctor_visits table should not become a second source of truth for Part B.</w:t>
      </w:r>
    </w:p>
    <w:p>
      <w:pPr>
        <w:keepNext/>
        <w:keepLines/>
        <w:spacing w:after="60" w:before="180"/>
      </w:pPr>
      <w:r>
        <w:rPr>
          <w:rFonts w:ascii="Arial" w:cs="Arial" w:eastAsia="Arial" w:hAnsi="Arial"/>
          <w:b/>
          <w:bCs/>
          <w:color w:val="00B4C8"/>
          <w:sz w:val="22"/>
          <w:szCs w:val="22"/>
        </w:rPr>
        <w:t>New clinical_results Data Model</w:t>
      </w:r>
    </w:p>
    <w:p>
      <w:pPr>
        <w:pStyle w:val="ListParagraph"/>
        <w:keepLines/>
        <w:numPr>
          <w:ilvl w:val="0"/>
          <w:numId w:val="2"/>
        </w:numPr>
        <w:spacing w:after="40" w:before="40"/>
      </w:pPr>
      <w:r>
        <w:rPr>
          <w:rFonts w:ascii="Arial" w:cs="Arial" w:eastAsia="Arial" w:hAnsi="Arial"/>
          <w:b w:val="false"/>
          <w:bCs w:val="false"/>
          <w:sz w:val="20"/>
          <w:szCs w:val="20"/>
        </w:rPr>
        <w:t>Create public.clinical_results with result_id UUID primary key; patient_id and household_id required; visit_id optional foreign key to visit_logs; doctor_id optional for results entered without a linked visit.</w:t>
      </w:r>
    </w:p>
    <w:p>
      <w:pPr>
        <w:pStyle w:val="ListParagraph"/>
        <w:keepLines/>
        <w:numPr>
          <w:ilvl w:val="0"/>
          <w:numId w:val="2"/>
        </w:numPr>
        <w:spacing w:after="40" w:before="40"/>
      </w:pPr>
      <w:r>
        <w:rPr>
          <w:rFonts w:ascii="Arial" w:cs="Arial" w:eastAsia="Arial" w:hAnsi="Arial"/>
          <w:b w:val="false"/>
          <w:bCs w:val="false"/>
          <w:sz w:val="20"/>
          <w:szCs w:val="20"/>
        </w:rPr>
        <w:t>Result identity fields: category/panel, canonical test_code, display test_name, and result_date/observed_at. Canonical codes drive analysis; display names preserve human-readable lab wording.</w:t>
      </w:r>
    </w:p>
    <w:p>
      <w:pPr>
        <w:pStyle w:val="ListParagraph"/>
        <w:keepLines/>
        <w:numPr>
          <w:ilvl w:val="0"/>
          <w:numId w:val="2"/>
        </w:numPr>
        <w:spacing w:after="40" w:before="40"/>
      </w:pPr>
      <w:r>
        <w:rPr>
          <w:rFonts w:ascii="Arial" w:cs="Arial" w:eastAsia="Arial" w:hAnsi="Arial"/>
          <w:b w:val="false"/>
          <w:bCs w:val="false"/>
          <w:sz w:val="20"/>
          <w:szCs w:val="20"/>
        </w:rPr>
        <w:t>Value fields: value_numeric and value_text (at least one required), reported unit, optional reference_low/reference_high and reference_text, and optional abnormal_flag/status as reported by the lab.</w:t>
      </w:r>
    </w:p>
    <w:p>
      <w:pPr>
        <w:pStyle w:val="ListParagraph"/>
        <w:keepLines/>
        <w:numPr>
          <w:ilvl w:val="0"/>
          <w:numId w:val="2"/>
        </w:numPr>
        <w:spacing w:after="40" w:before="40"/>
      </w:pPr>
      <w:r>
        <w:rPr>
          <w:rFonts w:ascii="Arial" w:cs="Arial" w:eastAsia="Arial" w:hAnsi="Arial"/>
          <w:b w:val="false"/>
          <w:bCs w:val="false"/>
          <w:sz w:val="20"/>
          <w:szCs w:val="20"/>
        </w:rPr>
        <w:t>Preserve provenance: original_value/original_unit when normalization occurs, normalized_value/normalized_unit when a safe canonical conversion exists, source_type (manual, portal, lab report, import), optional source_lab, and notes.</w:t>
      </w:r>
    </w:p>
    <w:p>
      <w:pPr>
        <w:pStyle w:val="ListParagraph"/>
        <w:keepLines/>
        <w:numPr>
          <w:ilvl w:val="0"/>
          <w:numId w:val="2"/>
        </w:numPr>
        <w:spacing w:after="40" w:before="40"/>
      </w:pPr>
      <w:r>
        <w:rPr>
          <w:rFonts w:ascii="Arial" w:cs="Arial" w:eastAsia="Arial" w:hAnsi="Arial"/>
          <w:b w:val="false"/>
          <w:bCs w:val="false"/>
          <w:sz w:val="20"/>
          <w:szCs w:val="20"/>
        </w:rPr>
        <w:t>Audit fields: created_by_user_id, created_at, updated_at, is_active. Corrections should update or supersede the prior record without destroying auditability.</w:t>
      </w:r>
    </w:p>
    <w:p>
      <w:pPr>
        <w:pStyle w:val="ListParagraph"/>
        <w:keepLines/>
        <w:numPr>
          <w:ilvl w:val="0"/>
          <w:numId w:val="2"/>
        </w:numPr>
        <w:spacing w:after="40" w:before="40"/>
      </w:pPr>
      <w:r>
        <w:rPr>
          <w:rFonts w:ascii="Arial" w:cs="Arial" w:eastAsia="Arial" w:hAnsi="Arial"/>
          <w:b w:val="false"/>
          <w:bCs w:val="false"/>
          <w:sz w:val="20"/>
          <w:szCs w:val="20"/>
        </w:rPr>
        <w:t>Indexes required at minimum: (patient_id, result_date), (patient_id, test_code, result_date), visit_id, and household_id. Foreign keys should cascade or set null deliberately so patient/household ownership cannot orphan records.</w:t>
      </w:r>
    </w:p>
    <w:p>
      <w:pPr>
        <w:pStyle w:val="ListParagraph"/>
        <w:keepLines/>
        <w:numPr>
          <w:ilvl w:val="0"/>
          <w:numId w:val="2"/>
        </w:numPr>
        <w:spacing w:after="40" w:before="40"/>
      </w:pPr>
      <w:r>
        <w:rPr>
          <w:rFonts w:ascii="Arial" w:cs="Arial" w:eastAsia="Arial" w:hAnsi="Arial"/>
          <w:b w:val="false"/>
          <w:bCs w:val="false"/>
          <w:sz w:val="20"/>
          <w:szCs w:val="20"/>
        </w:rPr>
        <w:t>No automatic backfill should parse old free-text visit notes into lab results. Existing visit history remains valid and Part B starts with structured results entered after deployment unless a deliberate migration is later approved.</w:t>
      </w:r>
    </w:p>
    <w:p>
      <w:pPr>
        <w:keepNext/>
        <w:keepLines/>
        <w:spacing w:after="60" w:before="180"/>
      </w:pPr>
      <w:r>
        <w:rPr>
          <w:rFonts w:ascii="Arial" w:cs="Arial" w:eastAsia="Arial" w:hAnsi="Arial"/>
          <w:b/>
          <w:bCs/>
          <w:color w:val="00B4C8"/>
          <w:sz w:val="22"/>
          <w:szCs w:val="22"/>
        </w:rPr>
        <w:t>Part B API Requirements</w:t>
      </w:r>
    </w:p>
    <w:p>
      <w:pPr>
        <w:pStyle w:val="ListParagraph"/>
        <w:keepLines/>
        <w:numPr>
          <w:ilvl w:val="0"/>
          <w:numId w:val="2"/>
        </w:numPr>
        <w:spacing w:after="40" w:before="40"/>
      </w:pPr>
      <w:r>
        <w:rPr>
          <w:rFonts w:ascii="Arial" w:cs="Arial" w:eastAsia="Arial" w:hAnsi="Arial"/>
          <w:b w:val="false"/>
          <w:bCs w:val="false"/>
          <w:sz w:val="20"/>
          <w:szCs w:val="20"/>
        </w:rPr>
        <w:t>Add ClinicalResultCreate / ClinicalResultUpdate request models with server-side validation for patient, visit, result type, numeric/text value, units, dates, reference range, provenance, and active state.</w:t>
      </w:r>
    </w:p>
    <w:p>
      <w:pPr>
        <w:pStyle w:val="ListParagraph"/>
        <w:keepLines/>
        <w:numPr>
          <w:ilvl w:val="0"/>
          <w:numId w:val="2"/>
        </w:numPr>
        <w:spacing w:after="40" w:before="40"/>
      </w:pPr>
      <w:r>
        <w:rPr>
          <w:rFonts w:ascii="Arial" w:cs="Arial" w:eastAsia="Arial" w:hAnsi="Arial"/>
          <w:b w:val="false"/>
          <w:bCs w:val="false"/>
          <w:sz w:val="20"/>
          <w:szCs w:val="20"/>
        </w:rPr>
        <w:t>Add GET /api/clinical-results?patient_id=... with optional visit_id, category/test_code, and date filters; POST /api/clinical-results; PATCH /api/clinical-results/{result_id}; and soft-delete/deactivate support.</w:t>
      </w:r>
    </w:p>
    <w:p>
      <w:pPr>
        <w:pStyle w:val="ListParagraph"/>
        <w:keepLines/>
        <w:numPr>
          <w:ilvl w:val="0"/>
          <w:numId w:val="2"/>
        </w:numPr>
        <w:spacing w:after="40" w:before="40"/>
      </w:pPr>
      <w:r>
        <w:rPr>
          <w:rFonts w:ascii="Arial" w:cs="Arial" w:eastAsia="Arial" w:hAnsi="Arial"/>
          <w:b w:val="false"/>
          <w:bCs w:val="false"/>
          <w:sz w:val="20"/>
          <w:szCs w:val="20"/>
        </w:rPr>
        <w:t>Add visit-detail retrieval that can return the visit plus its clinical_results, or provide an equivalent visit_id filter that the MAUI detail view can load in one predictable workflow.</w:t>
      </w:r>
    </w:p>
    <w:p>
      <w:pPr>
        <w:pStyle w:val="ListParagraph"/>
        <w:keepLines/>
        <w:numPr>
          <w:ilvl w:val="0"/>
          <w:numId w:val="2"/>
        </w:numPr>
        <w:spacing w:after="40" w:before="40"/>
      </w:pPr>
      <w:r>
        <w:rPr>
          <w:rFonts w:ascii="Arial" w:cs="Arial" w:eastAsia="Arial" w:hAnsi="Arial"/>
          <w:b w:val="false"/>
          <w:bCs w:val="false"/>
          <w:sz w:val="20"/>
          <w:szCs w:val="20"/>
        </w:rPr>
        <w:t>Allow POST /api/visits to accept an optional clinical_results collection and persist the visit plus submitted results in one database transaction. Direct result endpoints remain necessary for results received or corrected after the visit.</w:t>
      </w:r>
    </w:p>
    <w:p>
      <w:pPr>
        <w:pStyle w:val="ListParagraph"/>
        <w:keepLines/>
        <w:numPr>
          <w:ilvl w:val="0"/>
          <w:numId w:val="2"/>
        </w:numPr>
        <w:spacing w:after="40" w:before="40"/>
      </w:pPr>
      <w:r>
        <w:rPr>
          <w:rFonts w:ascii="Arial" w:cs="Arial" w:eastAsia="Arial" w:hAnsi="Arial"/>
          <w:b w:val="false"/>
          <w:bCs w:val="false"/>
          <w:sz w:val="20"/>
          <w:szCs w:val="20"/>
        </w:rPr>
        <w:t>Every result operation must verify that patient_id belongs to the authenticated household and that any linked visit_id belongs to that same patient and household. Record IDs alone are never sufficient authorization.</w:t>
      </w:r>
    </w:p>
    <w:p>
      <w:pPr>
        <w:pStyle w:val="ListParagraph"/>
        <w:keepLines/>
        <w:numPr>
          <w:ilvl w:val="0"/>
          <w:numId w:val="2"/>
        </w:numPr>
        <w:spacing w:after="40" w:before="40"/>
      </w:pPr>
      <w:r>
        <w:rPr>
          <w:rFonts w:ascii="Arial" w:cs="Arial" w:eastAsia="Arial" w:hAnsi="Arial"/>
          <w:b w:val="false"/>
          <w:bCs w:val="false"/>
          <w:sz w:val="20"/>
          <w:szCs w:val="20"/>
        </w:rPr>
        <w:t>Only normalize units when the conversion is explicit and lossless for the canonical test. Always retain the originally reported value/unit. Unknown/custom tests remain reportable even when no normalization rule exists.</w:t>
      </w:r>
    </w:p>
    <w:p>
      <w:pPr>
        <w:pStyle w:val="ListParagraph"/>
        <w:keepLines/>
        <w:numPr>
          <w:ilvl w:val="0"/>
          <w:numId w:val="2"/>
        </w:numPr>
        <w:spacing w:after="40" w:before="40"/>
      </w:pPr>
      <w:r>
        <w:rPr>
          <w:rFonts w:ascii="Arial" w:cs="Arial" w:eastAsia="Arial" w:hAnsi="Arial"/>
          <w:b w:val="false"/>
          <w:bCs w:val="false"/>
          <w:sz w:val="20"/>
          <w:szCs w:val="20"/>
        </w:rPr>
        <w:t>If A1C or Glucose analysis begins consuming clinical_results, create/update/deactivate operations must invalidate the affected patient Glucose analysis cache and bump the Glucose analysis contract version so stale cached output cannot survive a schema/contract change.</w:t>
      </w:r>
    </w:p>
    <w:p>
      <w:pPr>
        <w:keepNext/>
        <w:keepLines/>
        <w:spacing w:after="60" w:before="180"/>
      </w:pPr>
      <w:r>
        <w:rPr>
          <w:rFonts w:ascii="Arial" w:cs="Arial" w:eastAsia="Arial" w:hAnsi="Arial"/>
          <w:b/>
          <w:bCs/>
          <w:color w:val="00B4C8"/>
          <w:sz w:val="22"/>
          <w:szCs w:val="22"/>
        </w:rPr>
        <w:t>Part B MAUI Requirements</w:t>
      </w:r>
    </w:p>
    <w:p>
      <w:pPr>
        <w:pStyle w:val="ListParagraph"/>
        <w:keepLines/>
        <w:numPr>
          <w:ilvl w:val="0"/>
          <w:numId w:val="2"/>
        </w:numPr>
        <w:spacing w:after="40" w:before="40"/>
      </w:pPr>
      <w:r>
        <w:rPr>
          <w:rFonts w:ascii="Arial" w:cs="Arial" w:eastAsia="Arial" w:hAnsi="Arial"/>
          <w:b w:val="false"/>
          <w:bCs w:val="false"/>
          <w:sz w:val="20"/>
          <w:szCs w:val="20"/>
        </w:rPr>
        <w:t>Add ClinicalResult and response/request models plus ApiService methods for patient result history and visit-linked CRUD.</w:t>
      </w:r>
    </w:p>
    <w:p>
      <w:pPr>
        <w:pStyle w:val="ListParagraph"/>
        <w:keepLines/>
        <w:numPr>
          <w:ilvl w:val="0"/>
          <w:numId w:val="2"/>
        </w:numPr>
        <w:spacing w:after="40" w:before="40"/>
      </w:pPr>
      <w:r>
        <w:rPr>
          <w:rFonts w:ascii="Arial" w:cs="Arial" w:eastAsia="Arial" w:hAnsi="Arial"/>
          <w:b w:val="false"/>
          <w:bCs w:val="false"/>
          <w:sz w:val="20"/>
          <w:szCs w:val="20"/>
        </w:rPr>
        <w:t>Extend VisitDetailViewModel / VisitDetailPopup with a Clinical Results section that loads existing results and supports add, edit, and deactivate/delete actions.</w:t>
      </w:r>
    </w:p>
    <w:p>
      <w:pPr>
        <w:pStyle w:val="ListParagraph"/>
        <w:keepLines/>
        <w:numPr>
          <w:ilvl w:val="0"/>
          <w:numId w:val="2"/>
        </w:numPr>
        <w:spacing w:after="40" w:before="40"/>
      </w:pPr>
      <w:r>
        <w:rPr>
          <w:rFonts w:ascii="Arial" w:cs="Arial" w:eastAsia="Arial" w:hAnsi="Arial"/>
          <w:b w:val="false"/>
          <w:bCs w:val="false"/>
          <w:sz w:val="20"/>
          <w:szCs w:val="20"/>
        </w:rPr>
        <w:t>Provide fast structured entry for common panels while retaining a custom Other result path. Required entry fields are result/test, date, value, and unit when applicable; visit/provider, reference range, abnormal flag, source lab, and notes are optional.</w:t>
      </w:r>
    </w:p>
    <w:p>
      <w:pPr>
        <w:pStyle w:val="ListParagraph"/>
        <w:keepLines/>
        <w:numPr>
          <w:ilvl w:val="0"/>
          <w:numId w:val="2"/>
        </w:numPr>
        <w:spacing w:after="40" w:before="40"/>
      </w:pPr>
      <w:r>
        <w:rPr>
          <w:rFonts w:ascii="Arial" w:cs="Arial" w:eastAsia="Arial" w:hAnsi="Arial"/>
          <w:b w:val="false"/>
          <w:bCs w:val="false"/>
          <w:sz w:val="20"/>
          <w:szCs w:val="20"/>
        </w:rPr>
        <w:t>A1C should be a first-class quick-entry choice. Lipids, kidney, liver, CBC, and thyroid panels should offer known test rows so users do not repeatedly type common analyte names.</w:t>
      </w:r>
    </w:p>
    <w:p>
      <w:pPr>
        <w:pStyle w:val="ListParagraph"/>
        <w:keepLines/>
        <w:numPr>
          <w:ilvl w:val="0"/>
          <w:numId w:val="2"/>
        </w:numPr>
        <w:spacing w:after="40" w:before="40"/>
      </w:pPr>
      <w:r>
        <w:rPr>
          <w:rFonts w:ascii="Arial" w:cs="Arial" w:eastAsia="Arial" w:hAnsi="Arial"/>
          <w:b w:val="false"/>
          <w:bCs w:val="false"/>
          <w:sz w:val="20"/>
          <w:szCs w:val="20"/>
        </w:rPr>
        <w:t>Provide patient-level Clinical Results history accessible from the Visit Log workflow so serial A1C or other repeated tests can be reviewed without opening every encounter individually.</w:t>
      </w:r>
    </w:p>
    <w:p>
      <w:pPr>
        <w:pStyle w:val="ListParagraph"/>
        <w:keepLines/>
        <w:numPr>
          <w:ilvl w:val="0"/>
          <w:numId w:val="2"/>
        </w:numPr>
        <w:spacing w:after="40" w:before="40"/>
      </w:pPr>
      <w:r>
        <w:rPr>
          <w:rFonts w:ascii="Arial" w:cs="Arial" w:eastAsia="Arial" w:hAnsi="Arial"/>
          <w:b w:val="false"/>
          <w:bCs w:val="false"/>
          <w:sz w:val="20"/>
          <w:szCs w:val="20"/>
        </w:rPr>
        <w:t>The visit list/detail should make it visible when structured clinical results are attached, including result count and the most clinically relevant dated summary when space permits.</w:t>
      </w:r>
    </w:p>
    <w:p>
      <w:pPr>
        <w:pStyle w:val="ListParagraph"/>
        <w:keepLines/>
        <w:numPr>
          <w:ilvl w:val="0"/>
          <w:numId w:val="2"/>
        </w:numPr>
        <w:spacing w:after="40" w:before="40"/>
      </w:pPr>
      <w:r>
        <w:rPr>
          <w:rFonts w:ascii="Arial" w:cs="Arial" w:eastAsia="Arial" w:hAnsi="Arial"/>
          <w:b w:val="false"/>
          <w:bCs w:val="false"/>
          <w:sz w:val="20"/>
          <w:szCs w:val="20"/>
        </w:rPr>
        <w:t>Do not reuse the home Blood Glucose entry control for laboratory glucose. A lab glucose belongs in clinical_results. The existing office vitals snapshot may continue to record point-of-care vitals, but it must remain distinguishable from laboratory results.</w:t>
      </w:r>
    </w:p>
    <w:p>
      <w:pPr>
        <w:keepNext/>
        <w:keepLines/>
        <w:spacing w:after="60" w:before="180"/>
      </w:pPr>
      <w:r>
        <w:rPr>
          <w:rFonts w:ascii="Arial" w:cs="Arial" w:eastAsia="Arial" w:hAnsi="Arial"/>
          <w:b/>
          <w:bCs/>
          <w:color w:val="00B4C8"/>
          <w:sz w:val="22"/>
          <w:szCs w:val="22"/>
        </w:rPr>
        <w:t>Part B Glucose Analysis and PDF Integration</w:t>
      </w:r>
    </w:p>
    <w:p>
      <w:pPr>
        <w:pStyle w:val="ListParagraph"/>
        <w:keepLines/>
        <w:numPr>
          <w:ilvl w:val="0"/>
          <w:numId w:val="2"/>
        </w:numPr>
        <w:spacing w:after="40" w:before="40"/>
      </w:pPr>
      <w:r>
        <w:rPr>
          <w:rFonts w:ascii="Arial" w:cs="Arial" w:eastAsia="Arial" w:hAnsi="Arial"/>
          <w:b w:val="false"/>
          <w:bCs w:val="false"/>
          <w:sz w:val="20"/>
          <w:szCs w:val="20"/>
        </w:rPr>
        <w:t>Laboratory A1C is a dated clinical checkpoint and must never be inserted into vitals.blood_glucose or mixed into fasting/pre-meal/post-meal home-reading OLS/LOESS calculations.</w:t>
      </w:r>
    </w:p>
    <w:p>
      <w:pPr>
        <w:pStyle w:val="ListParagraph"/>
        <w:keepLines/>
        <w:numPr>
          <w:ilvl w:val="0"/>
          <w:numId w:val="2"/>
        </w:numPr>
        <w:spacing w:after="40" w:before="40"/>
      </w:pPr>
      <w:r>
        <w:rPr>
          <w:rFonts w:ascii="Arial" w:cs="Arial" w:eastAsia="Arial" w:hAnsi="Arial"/>
          <w:b w:val="false"/>
          <w:bCs w:val="false"/>
          <w:sz w:val="20"/>
          <w:szCs w:val="20"/>
        </w:rPr>
        <w:t>Expose latest A1C and prior A1C history to the Glucose analysis contract with result date and provenance. At minimum show latest, previous, absolute change, and elapsed time when two comparable results exist.</w:t>
      </w:r>
    </w:p>
    <w:p>
      <w:pPr>
        <w:pStyle w:val="ListParagraph"/>
        <w:keepLines/>
        <w:numPr>
          <w:ilvl w:val="0"/>
          <w:numId w:val="2"/>
        </w:numPr>
        <w:spacing w:after="40" w:before="40"/>
      </w:pPr>
      <w:r>
        <w:rPr>
          <w:rFonts w:ascii="Arial" w:cs="Arial" w:eastAsia="Arial" w:hAnsi="Arial"/>
          <w:b w:val="false"/>
          <w:bCs w:val="false"/>
          <w:sz w:val="20"/>
          <w:szCs w:val="20"/>
        </w:rPr>
        <w:t>If qualified CGM data later produces GMI, display GMI and laboratory A1C side by side with their dates/basis and preserve the disclosure that GMI is an estimate from mean CGM glucose, not a laboratory A1C.</w:t>
      </w:r>
    </w:p>
    <w:p>
      <w:pPr>
        <w:pStyle w:val="ListParagraph"/>
        <w:keepLines/>
        <w:numPr>
          <w:ilvl w:val="0"/>
          <w:numId w:val="2"/>
        </w:numPr>
        <w:spacing w:after="40" w:before="40"/>
      </w:pPr>
      <w:r>
        <w:rPr>
          <w:rFonts w:ascii="Arial" w:cs="Arial" w:eastAsia="Arial" w:hAnsi="Arial"/>
          <w:b w:val="false"/>
          <w:bCs w:val="false"/>
          <w:sz w:val="20"/>
          <w:szCs w:val="20"/>
        </w:rPr>
        <w:t>Physician/lab glucose values remain separate clinical_results. They may be shown as dated chart annotations/checkpoints, but they are not blended into the home-reading trend unless a future clinically reviewed rule explicitly defines such a comparison.</w:t>
      </w:r>
    </w:p>
    <w:p>
      <w:pPr>
        <w:pStyle w:val="ListParagraph"/>
        <w:keepLines/>
        <w:numPr>
          <w:ilvl w:val="0"/>
          <w:numId w:val="2"/>
        </w:numPr>
        <w:spacing w:after="40" w:before="40"/>
      </w:pPr>
      <w:r>
        <w:rPr>
          <w:rFonts w:ascii="Arial" w:cs="Arial" w:eastAsia="Arial" w:hAnsi="Arial"/>
          <w:b w:val="false"/>
          <w:bCs w:val="false"/>
          <w:sz w:val="20"/>
          <w:szCs w:val="20"/>
        </w:rPr>
        <w:t>The clinician PDF should add a Clinical Results section containing test date, test/panel, value/unit, reference range or reported flag when available, linked provider/visit, and notes/provenance as appropriate.</w:t>
      </w:r>
    </w:p>
    <w:p>
      <w:pPr>
        <w:pStyle w:val="ListParagraph"/>
        <w:keepLines/>
        <w:numPr>
          <w:ilvl w:val="0"/>
          <w:numId w:val="2"/>
        </w:numPr>
        <w:spacing w:after="40" w:before="40"/>
      </w:pPr>
      <w:r>
        <w:rPr>
          <w:rFonts w:ascii="Arial" w:cs="Arial" w:eastAsia="Arial" w:hAnsi="Arial"/>
          <w:b w:val="false"/>
          <w:bCs w:val="false"/>
          <w:sz w:val="20"/>
          <w:szCs w:val="20"/>
        </w:rPr>
        <w:t>The dedicated Blood Glucose Clinical Analysis PDF section should surface the latest laboratory A1C (and prior A1C/change when available) so the clinician can see home glucose patterns and laboratory glycemic checkpoints in the same report without conflating them.</w:t>
      </w:r>
    </w:p>
    <w:p>
      <w:pPr>
        <w:pStyle w:val="ListParagraph"/>
        <w:keepLines/>
        <w:numPr>
          <w:ilvl w:val="0"/>
          <w:numId w:val="2"/>
        </w:numPr>
        <w:spacing w:after="40" w:before="40"/>
      </w:pPr>
      <w:r>
        <w:rPr>
          <w:rFonts w:ascii="Arial" w:cs="Arial" w:eastAsia="Arial" w:hAnsi="Arial"/>
          <w:b w:val="false"/>
          <w:bCs w:val="false"/>
          <w:sz w:val="20"/>
          <w:szCs w:val="20"/>
        </w:rPr>
        <w:t>For non-glucose result families, the initial Part B implementation should provide structured capture, history, and report presentation. Do not infer diagnoses or apply universal abnormal thresholds when the lab has not supplied a reference range/flag.</w:t>
      </w:r>
    </w:p>
    <w:p>
      <w:pPr>
        <w:keepNext/>
        <w:keepLines/>
        <w:spacing w:after="60" w:before="180"/>
      </w:pPr>
      <w:r>
        <w:rPr>
          <w:rFonts w:ascii="Arial" w:cs="Arial" w:eastAsia="Arial" w:hAnsi="Arial"/>
          <w:b/>
          <w:bCs/>
          <w:color w:val="00B4C8"/>
          <w:sz w:val="22"/>
          <w:szCs w:val="22"/>
        </w:rPr>
        <w:t>Part B Security, Integrity, and Validation</w:t>
      </w:r>
    </w:p>
    <w:p>
      <w:pPr>
        <w:pStyle w:val="ListParagraph"/>
        <w:keepLines/>
        <w:numPr>
          <w:ilvl w:val="0"/>
          <w:numId w:val="2"/>
        </w:numPr>
        <w:spacing w:after="40" w:before="40"/>
      </w:pPr>
      <w:r>
        <w:rPr>
          <w:rFonts w:ascii="Arial" w:cs="Arial" w:eastAsia="Arial" w:hAnsi="Arial"/>
          <w:b w:val="false"/>
          <w:bCs w:val="false"/>
          <w:sz w:val="20"/>
          <w:szCs w:val="20"/>
        </w:rPr>
        <w:t>Maintain the existing cross-household isolation rule for all clinical_results reads and writes. Add explicit tests proving one household cannot fetch or modify another household's result by result_id, patient_id, or visit_id.</w:t>
      </w:r>
    </w:p>
    <w:p>
      <w:pPr>
        <w:pStyle w:val="ListParagraph"/>
        <w:keepLines/>
        <w:numPr>
          <w:ilvl w:val="0"/>
          <w:numId w:val="2"/>
        </w:numPr>
        <w:spacing w:after="40" w:before="40"/>
      </w:pPr>
      <w:r>
        <w:rPr>
          <w:rFonts w:ascii="Arial" w:cs="Arial" w:eastAsia="Arial" w:hAnsi="Arial"/>
          <w:b w:val="false"/>
          <w:bCs w:val="false"/>
          <w:sz w:val="20"/>
          <w:szCs w:val="20"/>
        </w:rPr>
        <w:t>Validate dates, numeric ranges where medically/technically safe, allowed source types, and required unit semantics for canonical tests. Do not silently coerce an unknown unit into a normalized value.</w:t>
      </w:r>
    </w:p>
    <w:p>
      <w:pPr>
        <w:pStyle w:val="ListParagraph"/>
        <w:keepLines/>
        <w:numPr>
          <w:ilvl w:val="0"/>
          <w:numId w:val="2"/>
        </w:numPr>
        <w:spacing w:after="40" w:before="40"/>
      </w:pPr>
      <w:r>
        <w:rPr>
          <w:rFonts w:ascii="Arial" w:cs="Arial" w:eastAsia="Arial" w:hAnsi="Arial"/>
          <w:b w:val="false"/>
          <w:bCs w:val="false"/>
          <w:sz w:val="20"/>
          <w:szCs w:val="20"/>
        </w:rPr>
        <w:t>Prevent a clinical_result from linking to a visit belonging to a different patient. If visit_id is supplied, patient_id and household_id must match the visit before insert/update.</w:t>
      </w:r>
    </w:p>
    <w:p>
      <w:pPr>
        <w:pStyle w:val="ListParagraph"/>
        <w:keepLines/>
        <w:numPr>
          <w:ilvl w:val="0"/>
          <w:numId w:val="2"/>
        </w:numPr>
        <w:spacing w:after="40" w:before="40"/>
      </w:pPr>
      <w:r>
        <w:rPr>
          <w:rFonts w:ascii="Arial" w:cs="Arial" w:eastAsia="Arial" w:hAnsi="Arial"/>
          <w:b w:val="false"/>
          <w:bCs w:val="false"/>
          <w:sz w:val="20"/>
          <w:szCs w:val="20"/>
        </w:rPr>
        <w:t>Use soft deactivation/audit semantics for corrected or removed results so a mistaken lab entry can be corrected without losing provenance.</w:t>
      </w:r>
    </w:p>
    <w:p>
      <w:pPr>
        <w:pStyle w:val="ListParagraph"/>
        <w:keepLines/>
        <w:numPr>
          <w:ilvl w:val="0"/>
          <w:numId w:val="2"/>
        </w:numPr>
        <w:spacing w:after="40" w:before="40"/>
      </w:pPr>
      <w:r>
        <w:rPr>
          <w:rFonts w:ascii="Arial" w:cs="Arial" w:eastAsia="Arial" w:hAnsi="Arial"/>
          <w:b w:val="false"/>
          <w:bCs w:val="false"/>
          <w:sz w:val="20"/>
          <w:szCs w:val="20"/>
        </w:rPr>
        <w:t>Add API tests for CRUD, filters, authorization, visit/result transaction rollback, unit normalization, cache invalidation, and legacy visits with no clinical results.</w:t>
      </w:r>
    </w:p>
    <w:p>
      <w:pPr>
        <w:pStyle w:val="ListParagraph"/>
        <w:keepLines/>
        <w:numPr>
          <w:ilvl w:val="0"/>
          <w:numId w:val="2"/>
        </w:numPr>
        <w:spacing w:after="40" w:before="40"/>
      </w:pPr>
      <w:r>
        <w:rPr>
          <w:rFonts w:ascii="Arial" w:cs="Arial" w:eastAsia="Arial" w:hAnsi="Arial"/>
          <w:b w:val="false"/>
          <w:bCs w:val="false"/>
          <w:sz w:val="20"/>
          <w:szCs w:val="20"/>
        </w:rPr>
        <w:t>Add MAUI smoke tests on Android and iOS for adding a visit with multiple results, editing a result, viewing result history, patient switching, offline/error handling, and PDF parity.</w:t>
      </w:r>
    </w:p>
    <w:p>
      <w:pPr>
        <w:keepNext/>
        <w:keepLines/>
        <w:spacing w:after="60" w:before="180"/>
      </w:pPr>
      <w:r>
        <w:rPr>
          <w:rFonts w:ascii="Arial" w:cs="Arial" w:eastAsia="Arial" w:hAnsi="Arial"/>
          <w:b/>
          <w:bCs/>
          <w:color w:val="00B4C8"/>
          <w:sz w:val="22"/>
          <w:szCs w:val="22"/>
        </w:rPr>
        <w:t>Part B Migration and Deployment Order</w:t>
      </w:r>
    </w:p>
    <w:p>
      <w:pPr>
        <w:pStyle w:val="ListParagraph"/>
        <w:keepLines/>
        <w:numPr>
          <w:ilvl w:val="0"/>
          <w:numId w:val="2"/>
        </w:numPr>
        <w:spacing w:after="40" w:before="40"/>
      </w:pPr>
      <w:r>
        <w:rPr>
          <w:rFonts w:ascii="Arial" w:cs="Arial" w:eastAsia="Arial" w:hAnsi="Arial"/>
          <w:b w:val="false"/>
          <w:bCs w:val="false"/>
          <w:sz w:val="20"/>
          <w:szCs w:val="20"/>
        </w:rPr>
        <w:t>1. Add SQL migration for clinical_results, constraints, foreign keys, grants, and indexes; update SQL/VitalsDB.sql schema snapshot.</w:t>
      </w:r>
    </w:p>
    <w:p>
      <w:pPr>
        <w:pStyle w:val="ListParagraph"/>
        <w:keepLines/>
        <w:numPr>
          <w:ilvl w:val="0"/>
          <w:numId w:val="2"/>
        </w:numPr>
        <w:spacing w:after="40" w:before="40"/>
      </w:pPr>
      <w:r>
        <w:rPr>
          <w:rFonts w:ascii="Arial" w:cs="Arial" w:eastAsia="Arial" w:hAnsi="Arial"/>
          <w:b w:val="false"/>
          <w:bCs w:val="false"/>
          <w:sz w:val="20"/>
          <w:szCs w:val="20"/>
        </w:rPr>
        <w:t>2. Deploy database migration before API code that writes clinical_results.</w:t>
      </w:r>
    </w:p>
    <w:p>
      <w:pPr>
        <w:pStyle w:val="ListParagraph"/>
        <w:keepLines/>
        <w:numPr>
          <w:ilvl w:val="0"/>
          <w:numId w:val="2"/>
        </w:numPr>
        <w:spacing w:after="40" w:before="40"/>
      </w:pPr>
      <w:r>
        <w:rPr>
          <w:rFonts w:ascii="Arial" w:cs="Arial" w:eastAsia="Arial" w:hAnsi="Arial"/>
          <w:b w:val="false"/>
          <w:bCs w:val="false"/>
          <w:sz w:val="20"/>
          <w:szCs w:val="20"/>
        </w:rPr>
        <w:t>3. Deploy API models/endpoints, visit integration, result serialization, analysis/cache changes, and PDF rendering; restart vitals-api.</w:t>
      </w:r>
    </w:p>
    <w:p>
      <w:pPr>
        <w:pStyle w:val="ListParagraph"/>
        <w:keepLines/>
        <w:numPr>
          <w:ilvl w:val="0"/>
          <w:numId w:val="2"/>
        </w:numPr>
        <w:spacing w:after="40" w:before="40"/>
      </w:pPr>
      <w:r>
        <w:rPr>
          <w:rFonts w:ascii="Arial" w:cs="Arial" w:eastAsia="Arial" w:hAnsi="Arial"/>
          <w:b w:val="false"/>
          <w:bCs w:val="false"/>
          <w:sz w:val="20"/>
          <w:szCs w:val="20"/>
        </w:rPr>
        <w:t>4. Rebuild/reinstall the MAUI app with ClinicalResult models, ApiService methods, Visit Log/result UI, and Glucose/A1C presentation.</w:t>
      </w:r>
    </w:p>
    <w:p>
      <w:pPr>
        <w:pStyle w:val="ListParagraph"/>
        <w:keepLines/>
        <w:numPr>
          <w:ilvl w:val="0"/>
          <w:numId w:val="2"/>
        </w:numPr>
        <w:spacing w:after="40" w:before="40"/>
      </w:pPr>
      <w:r>
        <w:rPr>
          <w:rFonts w:ascii="Arial" w:cs="Arial" w:eastAsia="Arial" w:hAnsi="Arial"/>
          <w:b w:val="false"/>
          <w:bCs w:val="false"/>
          <w:sz w:val="20"/>
          <w:szCs w:val="20"/>
        </w:rPr>
        <w:t>5. Production smoke test: create a doctor visit, enter A1C plus at least one additional panel result, reopen the visit, edit one value, confirm household isolation, confirm A1C appears in Glucose analysis where designed, and generate a PDF showing the same result/provenance.</w:t>
      </w:r>
    </w:p>
    <w:p>
      <w:pPr>
        <w:keepNext/>
        <w:keepLines/>
        <w:spacing w:after="60" w:before="180"/>
      </w:pPr>
      <w:r>
        <w:rPr>
          <w:rFonts w:ascii="Arial" w:cs="Arial" w:eastAsia="Arial" w:hAnsi="Arial"/>
          <w:b/>
          <w:bCs/>
          <w:color w:val="00B4C8"/>
          <w:sz w:val="22"/>
          <w:szCs w:val="22"/>
        </w:rPr>
        <w:t>Part B Definition of Done</w:t>
      </w:r>
    </w:p>
    <w:p>
      <w:pPr>
        <w:pStyle w:val="ListParagraph"/>
        <w:keepLines/>
        <w:numPr>
          <w:ilvl w:val="0"/>
          <w:numId w:val="2"/>
        </w:numPr>
        <w:spacing w:after="40" w:before="40"/>
      </w:pPr>
      <w:r>
        <w:rPr>
          <w:rFonts w:ascii="Arial" w:cs="Arial" w:eastAsia="Arial" w:hAnsi="Arial"/>
          <w:b w:val="false"/>
          <w:bCs w:val="false"/>
          <w:sz w:val="20"/>
          <w:szCs w:val="20"/>
        </w:rPr>
        <w:t>A user can log a doctor visit and attach one or many structured clinical results, including A1C, lipids, glucose labs, kidney, liver, CBC, thyroid, and custom results.</w:t>
      </w:r>
    </w:p>
    <w:p>
      <w:pPr>
        <w:pStyle w:val="ListParagraph"/>
        <w:keepLines/>
        <w:numPr>
          <w:ilvl w:val="0"/>
          <w:numId w:val="2"/>
        </w:numPr>
        <w:spacing w:after="40" w:before="40"/>
      </w:pPr>
      <w:r>
        <w:rPr>
          <w:rFonts w:ascii="Arial" w:cs="Arial" w:eastAsia="Arial" w:hAnsi="Arial"/>
          <w:b w:val="false"/>
          <w:bCs w:val="false"/>
          <w:sz w:val="20"/>
          <w:szCs w:val="20"/>
        </w:rPr>
        <w:t>Results persist with patient/household/visit ownership, provenance, units, reference information, audit timestamps, and safe correction/deactivation behavior.</w:t>
      </w:r>
    </w:p>
    <w:p>
      <w:pPr>
        <w:pStyle w:val="ListParagraph"/>
        <w:keepLines/>
        <w:numPr>
          <w:ilvl w:val="0"/>
          <w:numId w:val="2"/>
        </w:numPr>
        <w:spacing w:after="40" w:before="40"/>
      </w:pPr>
      <w:r>
        <w:rPr>
          <w:rFonts w:ascii="Arial" w:cs="Arial" w:eastAsia="Arial" w:hAnsi="Arial"/>
          <w:b w:val="false"/>
          <w:bCs w:val="false"/>
          <w:sz w:val="20"/>
          <w:szCs w:val="20"/>
        </w:rPr>
        <w:t>Results can be retrieved longitudinally by patient and within a specific visit; patient switching never leaks another patient or household's data.</w:t>
      </w:r>
    </w:p>
    <w:p>
      <w:pPr>
        <w:pStyle w:val="ListParagraph"/>
        <w:keepLines/>
        <w:numPr>
          <w:ilvl w:val="0"/>
          <w:numId w:val="2"/>
        </w:numPr>
        <w:spacing w:after="40" w:before="40"/>
      </w:pPr>
      <w:r>
        <w:rPr>
          <w:rFonts w:ascii="Arial" w:cs="Arial" w:eastAsia="Arial" w:hAnsi="Arial"/>
          <w:b w:val="false"/>
          <w:bCs w:val="false"/>
          <w:sz w:val="20"/>
          <w:szCs w:val="20"/>
        </w:rPr>
        <w:t>Laboratory A1C is visible as a dated Glucose clinical checkpoint without being mixed into the home glucose time series. Lab glucose is likewise kept separate from home BGM/CGM analysis.</w:t>
      </w:r>
    </w:p>
    <w:p>
      <w:pPr>
        <w:pStyle w:val="ListParagraph"/>
        <w:keepLines/>
        <w:numPr>
          <w:ilvl w:val="0"/>
          <w:numId w:val="2"/>
        </w:numPr>
        <w:spacing w:after="40" w:before="40"/>
      </w:pPr>
      <w:r>
        <w:rPr>
          <w:rFonts w:ascii="Arial" w:cs="Arial" w:eastAsia="Arial" w:hAnsi="Arial"/>
          <w:b w:val="false"/>
          <w:bCs w:val="false"/>
          <w:sz w:val="20"/>
          <w:szCs w:val="20"/>
        </w:rPr>
        <w:t>Vitals Analysis and the clinician PDF show the same supported A1C/clinical-result information with matching dates, values, units, and provenance.</w:t>
      </w:r>
    </w:p>
    <w:p>
      <w:pPr>
        <w:pStyle w:val="ListParagraph"/>
        <w:keepLines/>
        <w:numPr>
          <w:ilvl w:val="0"/>
          <w:numId w:val="2"/>
        </w:numPr>
        <w:spacing w:after="40" w:before="40"/>
      </w:pPr>
      <w:r>
        <w:rPr>
          <w:rFonts w:ascii="Arial" w:cs="Arial" w:eastAsia="Arial" w:hAnsi="Arial"/>
          <w:b w:val="false"/>
          <w:bCs w:val="false"/>
          <w:sz w:val="20"/>
          <w:szCs w:val="20"/>
        </w:rPr>
        <w:t>Any analysis contract/cache changes are versioned and invalidated correctly after clinical-result create/update/deactivate actions.</w:t>
      </w:r>
    </w:p>
    <w:p>
      <w:pPr>
        <w:pStyle w:val="ListParagraph"/>
        <w:keepLines/>
        <w:numPr>
          <w:ilvl w:val="0"/>
          <w:numId w:val="2"/>
        </w:numPr>
        <w:spacing w:after="40" w:before="40"/>
      </w:pPr>
      <w:r>
        <w:rPr>
          <w:rFonts w:ascii="Arial" w:cs="Arial" w:eastAsia="Arial" w:hAnsi="Arial"/>
          <w:b w:val="false"/>
          <w:bCs w:val="false"/>
          <w:sz w:val="20"/>
          <w:szCs w:val="20"/>
        </w:rPr>
        <w:t>End-to-end physical-device and generated-PDF smoke tests pass before Part B is marked complete.</w:t>
      </w:r>
    </w:p>
    <w:p>
      <w:pPr>
        <w:spacing w:after="100" w:before="0"/>
      </w:pPr>
    </w:p>
    <w:p>
      <w:pPr>
        <w:spacing w:after="60" w:before="180"/>
      </w:pPr>
      <w:r>
        <w:rPr>
          <w:rFonts w:ascii="Arial" w:cs="Arial" w:eastAsia="Arial" w:hAnsi="Arial"/>
          <w:b/>
          <w:bCs/>
          <w:color w:val="00B4C8"/>
          <w:sz w:val="22"/>
          <w:szCs w:val="22"/>
        </w:rPr>
        <w:t xml:space="preserve">Definition of Done</w:t>
      </w:r>
    </w:p>
    <w:p>
      <w:pPr>
        <w:pStyle w:val="ListParagraph"/>
        <w:numPr>
          <w:ilvl w:val="0"/>
          <w:numId w:val="2"/>
        </w:numPr>
        <w:spacing w:after="40" w:before="40"/>
      </w:pPr>
      <w:r>
        <w:rPr>
          <w:rFonts w:ascii="Arial" w:cs="Arial" w:eastAsia="Arial" w:hAnsi="Arial"/>
          <w:b w:val="false"/>
          <w:bCs w:val="false"/>
          <w:sz w:val="20"/>
          <w:szCs w:val="20"/>
        </w:rPr>
        <w:t xml:space="preserve">Smoothed trend line renders correctly on all chart types</w:t>
      </w:r>
    </w:p>
    <w:p>
      <w:pPr>
        <w:pStyle w:val="ListParagraph"/>
        <w:numPr>
          <w:ilvl w:val="0"/>
          <w:numId w:val="2"/>
        </w:numPr>
        <w:spacing w:after="40" w:before="40"/>
      </w:pPr>
      <w:r>
        <w:rPr>
          <w:rFonts w:ascii="Arial" w:cs="Arial" w:eastAsia="Arial" w:hAnsi="Arial"/>
          <w:b w:val="false"/>
          <w:bCs w:val="false"/>
          <w:sz w:val="20"/>
          <w:szCs w:val="20"/>
        </w:rPr>
        <w:t xml:space="preserve">Regression outputs (slope, R-squared, p-value) calculate correctly and display in plain language</w:t>
      </w:r>
    </w:p>
    <w:p>
      <w:pPr>
        <w:pStyle w:val="ListParagraph"/>
        <w:numPr>
          <w:ilvl w:val="0"/>
          <w:numId w:val="2"/>
        </w:numPr>
        <w:spacing w:after="40" w:before="40"/>
      </w:pPr>
      <w:r>
        <w:rPr>
          <w:rFonts w:ascii="Arial" w:cs="Arial" w:eastAsia="Arial" w:hAnsi="Arial"/>
          <w:b w:val="false"/>
          <w:bCs w:val="false"/>
          <w:sz w:val="20"/>
          <w:szCs w:val="20"/>
        </w:rPr>
        <w:t xml:space="preserve">Goal range bands render correctly and update when customized</w:t>
      </w:r>
    </w:p>
    <w:p>
      <w:pPr>
        <w:pStyle w:val="ListParagraph"/>
        <w:numPr>
          <w:ilvl w:val="0"/>
          <w:numId w:val="2"/>
        </w:numPr>
        <w:spacing w:after="40" w:before="40"/>
      </w:pPr>
      <w:r>
        <w:rPr>
          <w:rFonts w:ascii="Arial" w:cs="Arial" w:eastAsia="Arial" w:hAnsi="Arial"/>
          <w:b w:val="false"/>
          <w:bCs w:val="false"/>
          <w:sz w:val="20"/>
          <w:szCs w:val="20"/>
        </w:rPr>
        <w:t xml:space="preserve">Medication timeline correctly maps to BP chart timeline</w:t>
      </w:r>
    </w:p>
    <w:p>
      <w:pPr>
        <w:pStyle w:val="ListParagraph"/>
        <w:numPr>
          <w:ilvl w:val="0"/>
          <w:numId w:val="2"/>
        </w:numPr>
        <w:spacing w:after="40" w:before="40"/>
      </w:pPr>
      <w:r>
        <w:rPr>
          <w:rFonts w:ascii="Arial" w:cs="Arial" w:eastAsia="Arial" w:hAnsi="Arial"/>
          <w:b w:val="false"/>
          <w:bCs w:val="false"/>
          <w:sz w:val="20"/>
          <w:szCs w:val="20"/>
        </w:rPr>
        <w:t xml:space="preserve">All mathematical outputs match expected values against test data set</w:t>
      </w:r>
    </w:p>
    <w:p>
      <w:pPr>
        <w:spacing w:after="200" w:before="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160"/>
        <w:gridCol w:w="1800"/>
        <w:gridCol w:w="1200"/>
      </w:tblGrid>
      <w:tr>
        <w:tc>
          <w:tcPr>
            <w:tcW w:type="dxa" w:w="1200"/>
            <w:tcBorders>
              <w:top w:val="single" w:color="DDDDDD" w:sz="1"/>
              <w:left w:val="single" w:color="DDDDDD" w:sz="1"/>
              <w:bottom w:val="single" w:color="DDDDDD" w:sz="1"/>
              <w:right w:val="single" w:color="DDDDDD" w:sz="1"/>
            </w:tcBorders>
            <w:shd w:fill="1B2A4A" w:val="clear"/>
            <w:tcMar>
              <w:top w:type="dxa" w:w="100"/>
              <w:left w:type="dxa" w:w="120"/>
              <w:bottom w:type="dxa" w:w="100"/>
              <w:right w:type="dxa" w:w="120"/>
            </w:tcMar>
          </w:tcPr>
          <w:p>
            <w:pPr>
              <w:jc w:val="center"/>
            </w:pPr>
            <w:r>
              <w:rPr>
                <w:rFonts w:ascii="Arial" w:cs="Arial" w:eastAsia="Arial" w:hAnsi="Arial"/>
                <w:color w:val="AACCDD"/>
                <w:sz w:val="16"/>
                <w:szCs w:val="16"/>
              </w:rPr>
              <w:t xml:space="preserve">Phase</w:t>
            </w:r>
          </w:p>
          <w:p>
            <w:pPr>
              <w:jc w:val="center"/>
            </w:pPr>
            <w:r>
              <w:rPr>
                <w:rFonts w:ascii="Arial" w:cs="Arial" w:eastAsia="Arial" w:hAnsi="Arial"/>
                <w:b/>
                <w:bCs/>
                <w:color w:val="FFFFFF"/>
                <w:sz w:val="48"/>
                <w:szCs w:val="48"/>
              </w:rPr>
              <w:t xml:space="preserve">5</w:t>
            </w:r>
          </w:p>
        </w:tc>
        <w:tc>
          <w:tcPr>
            <w:tcW w:type="dxa" w:w="5160"/>
            <w:tcBorders>
              <w:top w:val="single" w:color="DDDDDD" w:sz="1"/>
              <w:left w:val="single" w:color="DDDDDD" w:sz="1"/>
              <w:bottom w:val="single" w:color="DDDDDD" w:sz="1"/>
              <w:right w:val="single" w:color="DDDDDD" w:sz="1"/>
            </w:tcBorders>
            <w:shd w:fill="E8F8FA" w:val="clear"/>
            <w:tcMar>
              <w:top w:type="dxa" w:w="100"/>
              <w:left w:type="dxa" w:w="160"/>
              <w:bottom w:type="dxa" w:w="100"/>
              <w:right w:type="dxa" w:w="160"/>
            </w:tcMar>
          </w:tcPr>
          <w:p>
            <w:r>
              <w:rPr>
                <w:rFonts w:ascii="Arial" w:cs="Arial" w:eastAsia="Arial" w:hAnsi="Arial"/>
                <w:b/>
                <w:bCs/>
                <w:color w:val="1B2A4A"/>
                <w:sz w:val="26"/>
                <w:szCs w:val="26"/>
              </w:rPr>
              <w:t xml:space="preserve">Authentication &amp; Multi-Patient</w:t>
            </w:r>
          </w:p>
        </w:tc>
        <w:tc>
          <w:tcPr>
            <w:tcW w:type="dxa" w:w="1800"/>
            <w:tcBorders>
              <w:top w:val="single" w:color="DDDDDD" w:sz="1"/>
              <w:left w:val="single" w:color="DDDDDD" w:sz="1"/>
              <w:bottom w:val="single" w:color="DDDDDD" w:sz="1"/>
              <w:right w:val="single" w:color="DDDDDD" w:sz="1"/>
            </w:tcBorders>
            <w:shd w:fill="F5F5F5" w:val="clear"/>
            <w:tcMar>
              <w:top w:type="dxa" w:w="100"/>
              <w:left w:type="dxa" w:w="120"/>
              <w:bottom w:type="dxa" w:w="100"/>
              <w:right w:type="dxa" w:w="120"/>
            </w:tcMar>
          </w:tcPr>
          <w:p>
            <w:r>
              <w:t>Timeline Jul–Oct 2026</w:t>
            </w:r>
          </w:p>
        </w:tc>
        <w:tc>
          <w:tcPr>
            <w:tcW w:type="dxa" w:w="1200"/>
            <w:tcBorders>
              <w:top w:val="single" w:color="DDDDDD" w:sz="1"/>
              <w:left w:val="single" w:color="DDDDDD" w:sz="1"/>
              <w:bottom w:val="single" w:color="DDDDDD" w:sz="1"/>
              <w:right w:val="single" w:color="DDDDDD" w:sz="1"/>
            </w:tcBorders>
            <w:shd w:fill="F5F5F5" w:val="clear"/>
            <w:tcMar>
              <w:top w:type="dxa" w:w="100"/>
              <w:left w:type="dxa" w:w="120"/>
              <w:bottom w:type="dxa" w:w="100"/>
              <w:right w:type="dxa" w:w="120"/>
            </w:tcMar>
          </w:tcPr>
          <w:p>
            <w:r>
              <w:t>Status ✅ Complete</w:t>
            </w:r>
          </w:p>
        </w:tc>
      </w:tr>
    </w:tbl>
    <w:p>
      <w:pPr>
        <w:spacing w:after="100" w:before="0"/>
      </w:pPr>
      <w:r>
        <w:t xml:space="preserve"/>
      </w:r>
    </w:p>
    <w:p>
      <w:pPr>
        <w:spacing w:after="60" w:before="180"/>
      </w:pPr>
      <w:r>
        <w:rPr>
          <w:rFonts w:ascii="Arial" w:cs="Arial" w:eastAsia="Arial" w:hAnsi="Arial"/>
          <w:b/>
          <w:bCs/>
          <w:color w:val="00B4C8"/>
          <w:sz w:val="22"/>
          <w:szCs w:val="22"/>
        </w:rPr>
        <w:t xml:space="preserve">Objective</w:t>
      </w:r>
    </w:p>
    <w:p>
      <w:pPr>
        <w:spacing w:after="60" w:before="60"/>
      </w:pPr>
      <w:r>
        <w:rPr>
          <w:rFonts w:ascii="Arial" w:cs="Arial" w:eastAsia="Arial" w:hAnsi="Arial"/>
          <w:sz w:val="20"/>
          <w:szCs w:val="20"/>
        </w:rPr>
        <w:t xml:space="preserve">Implement user accounts, secure authentication, and multi-patient support. This phase is a prerequisite for taking payments — you cannot charge a subscriber without knowing who they are. Authentication is placed late in the roadmap deliberately: building auth early creates complexity that slows every other phase.</w:t>
      </w:r>
    </w:p>
    <w:p>
      <w:pPr>
        <w:spacing w:after="100" w:before="0"/>
      </w:pPr>
      <w:r>
        <w:t xml:space="preserve"/>
      </w:r>
    </w:p>
    <w:p>
      <w:pPr>
        <w:spacing w:after="60" w:before="180"/>
      </w:pPr>
      <w:r>
        <w:rPr>
          <w:rFonts w:ascii="Arial" w:cs="Arial" w:eastAsia="Arial" w:hAnsi="Arial"/>
          <w:b/>
          <w:bCs/>
          <w:color w:val="00B4C8"/>
          <w:sz w:val="22"/>
          <w:szCs w:val="22"/>
        </w:rPr>
        <w:t xml:space="preserve">Features to Build</w:t>
      </w:r>
    </w:p>
    <w:p>
      <w:pPr>
        <w:spacing w:after="60" w:before="180"/>
      </w:pPr>
      <w:r>
        <w:rPr>
          <w:rFonts w:ascii="Arial" w:cs="Arial" w:eastAsia="Arial" w:hAnsi="Arial"/>
          <w:b/>
          <w:bCs/>
          <w:color w:val="2E7D32"/>
          <w:sz w:val="18"/>
          <w:szCs w:val="22"/>
        </w:rPr>
        <w:t>✅ Authentication complete (Oct 6, 2026): email/password with verification, Google OAuth, and native Sign in with Apple are implemented end to end. Apple supports verified-email account linking and first-time account creation/onboarding; production iOS Keychain/SecureStorage persistence was validated on a physical iPad running iPadOS 17.7.11.</w:t>
      </w:r>
    </w:p>
    <w:p>
      <w:pPr>
        <w:pStyle w:val="ListParagraph"/>
        <w:numPr>
          <w:ilvl w:val="0"/>
          <w:numId w:val="2"/>
        </w:numPr>
        <w:spacing w:after="40" w:before="40"/>
      </w:pPr>
      <w:r>
        <w:rPr>
          <w:rFonts w:ascii="Arial" w:cs="Arial" w:eastAsia="Arial" w:hAnsi="Arial"/>
          <w:b w:val="false"/>
          <w:bCs w:val="false"/>
          <w:sz w:val="20"/>
          <w:szCs w:val="20"/>
        </w:rPr>
        <w:t xml:space="preserve">User registration and login — email/password with email verification</w:t>
      </w:r>
    </w:p>
    <w:p>
      <w:pPr>
        <w:pStyle w:val="ListParagraph"/>
        <w:numPr>
          <w:ilvl w:val="1"/>
          <w:numId w:val="2"/>
        </w:numPr>
        <w:spacing w:after="40" w:before="40"/>
      </w:pPr>
      <w:r>
        <w:rPr>
          <w:rFonts w:ascii="Arial" w:cs="Arial" w:eastAsia="Arial" w:hAnsi="Arial"/>
          <w:b/>
          <w:bCs/>
          <w:color w:val="2E7D32"/>
          <w:sz w:val="18"/>
          <w:szCs w:val="18"/>
        </w:rPr>
        <w:t xml:space="preserve">✅ Update: originally flagged as never built (only Google OAuth existed). Now fully implemented — register/login/email-verification endpoints, bcrypt password hashing, an "unverified until confirmed" flow, and a branded verification email (via Resend) and confirmation page matching the vitals-wellness.com site. Login/Sign Up screens' email/password fields are fully functional, not placeholders.</w:t>
      </w:r>
    </w:p>
    <w:p>
      <w:pPr>
        <w:pStyle w:val="ListParagraph"/>
        <w:numPr>
          <w:ilvl w:val="0"/>
          <w:numId w:val="2"/>
        </w:numPr>
        <w:spacing w:after="40" w:before="40"/>
      </w:pPr>
      <w:r>
        <w:rPr>
          <w:rFonts w:ascii="Arial" w:cs="Arial" w:eastAsia="Arial" w:hAnsi="Arial"/>
          <w:b w:val="false"/>
          <w:bCs w:val="false"/>
          <w:sz w:val="20"/>
          <w:szCs w:val="20"/>
        </w:rPr>
        <w:t>JWT/bearer token authentication — ✅ Complete and enforced across authenticated API requests</w:t>
      </w:r>
    </w:p>
    <w:p>
      <w:pPr>
        <w:pStyle w:val="ListParagraph"/>
        <w:numPr>
          <w:ilvl w:val="0"/>
          <w:numId w:val="2"/>
        </w:numPr>
        <w:spacing w:after="40" w:before="40"/>
      </w:pPr>
      <w:r>
        <w:rPr>
          <w:rFonts w:ascii="Arial" w:cs="Arial" w:eastAsia="Arial" w:hAnsi="Arial"/>
          <w:b w:val="false"/>
          <w:bCs w:val="false"/>
          <w:sz w:val="20"/>
          <w:szCs w:val="20"/>
        </w:rPr>
        <w:t>SecureStorage for token persistence on device — ✅ Complete; physical iOS Keychain persistence validated after app termination/relaunch</w:t>
      </w:r>
    </w:p>
    <w:p>
      <w:pPr>
        <w:pStyle w:val="ListParagraph"/>
        <w:numPr>
          <w:ilvl w:val="0"/>
          <w:numId w:val="2"/>
        </w:numPr>
        <w:spacing w:after="40" w:before="40"/>
      </w:pPr>
      <w:r>
        <w:rPr>
          <w:rFonts w:ascii="Arial" w:cs="Arial" w:eastAsia="Arial" w:hAnsi="Arial"/>
          <w:b w:val="false"/>
          <w:bCs w:val="false"/>
          <w:sz w:val="20"/>
          <w:szCs w:val="20"/>
        </w:rPr>
        <w:t>Password reset / account recovery — Deferred from Phase 5 completion; remains a pre-launch account-readiness task.</w:t>
      </w:r>
    </w:p>
    <w:p>
      <w:pPr>
        <w:pStyle w:val="ListParagraph"/>
        <w:numPr>
          <w:ilvl w:val="0"/>
          <w:numId w:val="2"/>
        </w:numPr>
        <w:spacing w:after="40" w:before="40"/>
      </w:pPr>
      <w:r>
        <w:rPr>
          <w:rFonts w:ascii="Arial" w:cs="Arial" w:eastAsia="Arial" w:hAnsi="Arial"/>
          <w:b w:val="false"/>
          <w:bCs w:val="false"/>
          <w:sz w:val="20"/>
          <w:szCs w:val="20"/>
        </w:rPr>
        <w:t>Account management — current identity/provider display is implemented; password/email change and subscription-management UI remain Phase 7/account-readiness work.</w:t>
      </w:r>
    </w:p>
    <w:p>
      <w:pPr>
        <w:pStyle w:val="ListParagraph"/>
        <w:numPr>
          <w:ilvl w:val="0"/>
          <w:numId w:val="2"/>
        </w:numPr>
        <w:spacing w:after="40" w:before="40"/>
      </w:pPr>
      <w:r>
        <w:rPr>
          <w:rFonts w:ascii="Arial" w:cs="Arial" w:eastAsia="Arial" w:hAnsi="Arial"/>
          <w:b w:val="false"/>
          <w:bCs w:val="false"/>
          <w:sz w:val="20"/>
          <w:szCs w:val="20"/>
        </w:rPr>
        <w:t xml:space="preserve">Multi-patient support — Family tier allows up to 5 patients per account</w:t>
      </w:r>
    </w:p>
    <w:p>
      <w:pPr>
        <w:pStyle w:val="ListParagraph"/>
        <w:numPr>
          <w:ilvl w:val="0"/>
          <w:numId w:val="2"/>
        </w:numPr>
        <w:spacing w:after="40" w:before="40"/>
      </w:pPr>
      <w:r>
        <w:rPr>
          <w:rFonts w:ascii="Arial" w:cs="Arial" w:eastAsia="Arial" w:hAnsi="Arial"/>
          <w:b w:val="false"/>
          <w:bCs w:val="false"/>
          <w:sz w:val="20"/>
          <w:szCs w:val="20"/>
        </w:rPr>
        <w:t xml:space="preserve">Patient switching — seamless switch between managed patients in the app</w:t>
      </w:r>
    </w:p>
    <w:p>
      <w:pPr>
        <w:pStyle w:val="ListParagraph"/>
        <w:numPr>
          <w:ilvl w:val="0"/>
          <w:numId w:val="2"/>
        </w:numPr>
        <w:spacing w:after="40" w:before="40"/>
      </w:pPr>
      <w:r>
        <w:rPr>
          <w:rFonts w:ascii="Arial" w:cs="Arial" w:eastAsia="Arial" w:hAnsi="Arial"/>
          <w:b w:val="false"/>
          <w:bCs w:val="false"/>
          <w:sz w:val="20"/>
          <w:szCs w:val="20"/>
        </w:rPr>
        <w:t>Legacy local-data migration — not required for Phase 5 acceptance; authenticated production clinical data remains server/household scoped. Revisit only if a future client-side clinical datastore is introduced.</w:t>
      </w:r>
    </w:p>
    <w:p>
      <w:pPr>
        <w:spacing w:after="100" w:before="0"/>
      </w:pPr>
      <w:r>
        <w:t xml:space="preserve"/>
      </w:r>
    </w:p>
    <w:p>
      <w:pPr>
        <w:spacing w:after="60" w:before="180"/>
      </w:pPr>
      <w:r>
        <w:rPr>
          <w:rFonts w:ascii="Arial" w:cs="Arial" w:eastAsia="Arial" w:hAnsi="Arial"/>
          <w:b/>
          <w:bCs/>
          <w:color w:val="00B4C8"/>
          <w:sz w:val="22"/>
          <w:szCs w:val="22"/>
        </w:rPr>
        <w:t xml:space="preserve">Backend Requirements</w:t>
      </w:r>
    </w:p>
    <w:p>
      <w:pPr>
        <w:pStyle w:val="ListParagraph"/>
        <w:numPr>
          <w:ilvl w:val="0"/>
          <w:numId w:val="2"/>
        </w:numPr>
        <w:spacing w:after="40" w:before="40"/>
      </w:pPr>
      <w:r>
        <w:rPr>
          <w:rFonts w:ascii="Arial" w:cs="Arial" w:eastAsia="Arial" w:hAnsi="Arial"/>
          <w:b w:val="false"/>
          <w:bCs w:val="false"/>
          <w:sz w:val="20"/>
          <w:szCs w:val="20"/>
        </w:rPr>
        <w:t xml:space="preserve">User table in PostgreSQL with hashed credentials</w:t>
      </w:r>
    </w:p>
    <w:p>
      <w:pPr>
        <w:pStyle w:val="ListParagraph"/>
        <w:numPr>
          <w:ilvl w:val="0"/>
          <w:numId w:val="2"/>
        </w:numPr>
        <w:spacing w:after="40" w:before="40"/>
      </w:pPr>
      <w:r>
        <w:rPr>
          <w:rFonts w:ascii="Arial" w:cs="Arial" w:eastAsia="Arial" w:hAnsi="Arial"/>
          <w:b w:val="false"/>
          <w:bCs w:val="false"/>
          <w:sz w:val="20"/>
          <w:szCs w:val="20"/>
        </w:rPr>
        <w:t xml:space="preserve">Patient-to-user relationship table — one user can own multiple patient profiles</w:t>
      </w:r>
    </w:p>
    <w:p>
      <w:pPr>
        <w:pStyle w:val="ListParagraph"/>
        <w:numPr>
          <w:ilvl w:val="0"/>
          <w:numId w:val="2"/>
        </w:numPr>
        <w:spacing w:after="40" w:before="40"/>
      </w:pPr>
      <w:r>
        <w:rPr>
          <w:rFonts w:ascii="Arial" w:cs="Arial" w:eastAsia="Arial" w:hAnsi="Arial"/>
          <w:b w:val="false"/>
          <w:bCs w:val="false"/>
          <w:sz w:val="20"/>
          <w:szCs w:val="20"/>
        </w:rPr>
        <w:t xml:space="preserve">API authentication middleware — all endpoints require valid JWT</w:t>
      </w:r>
    </w:p>
    <w:p>
      <w:pPr>
        <w:pStyle w:val="ListParagraph"/>
        <w:numPr>
          <w:ilvl w:val="0"/>
          <w:numId w:val="2"/>
        </w:numPr>
        <w:spacing w:after="40" w:before="40"/>
      </w:pPr>
      <w:r>
        <w:rPr>
          <w:rFonts w:ascii="Arial" w:cs="Arial" w:eastAsia="Arial" w:hAnsi="Arial"/>
          <w:b w:val="false"/>
          <w:bCs w:val="false"/>
          <w:sz w:val="20"/>
          <w:szCs w:val="20"/>
        </w:rPr>
        <w:t xml:space="preserve">DigitalOcean Droplet migration — Pi 3B+ not suitable for paying subscribers. Nginx + FastAPI + PostgreSQL on cloud infrastructure.</w:t>
      </w:r>
    </w:p>
    <w:p>
      <w:pPr>
        <w:pStyle w:val="ListParagraph"/>
        <w:numPr>
          <w:ilvl w:val="0"/>
          <w:numId w:val="2"/>
        </w:numPr>
        <w:spacing w:after="40" w:before="40"/>
      </w:pPr>
      <w:r>
        <w:rPr>
          <w:rFonts w:ascii="Arial" w:cs="Arial" w:eastAsia="Arial" w:hAnsi="Arial"/>
          <w:b w:val="false"/>
          <w:bCs w:val="false"/>
          <w:sz w:val="20"/>
          <w:szCs w:val="20"/>
        </w:rPr>
        <w:t xml:space="preserve">Cross-household data isolation audit — </w:t>
      </w:r>
      <w:r>
        <w:rPr>
          <w:rFonts w:ascii="Arial" w:cs="Arial" w:eastAsia="Arial" w:hAnsi="Arial"/>
          <w:b/>
          <w:bCs/>
          <w:color w:val="2E7D32"/>
          <w:sz w:val="20"/>
          <w:szCs w:val="20"/>
        </w:rPr>
        <w:t xml:space="preserve">✅ Complete: </w:t>
      </w:r>
      <w:r>
        <w:rPr>
          <w:rFonts w:ascii="Arial" w:cs="Arial" w:eastAsia="Arial" w:hAnsi="Arial"/>
          <w:b w:val="false"/>
          <w:bCs w:val="false"/>
          <w:sz w:val="20"/>
          <w:szCs w:val="20"/>
        </w:rPr>
        <w:t xml:space="preserve">discovered and fixed a real cross-account data leak (a second signup's patients were being written into the original household) traced to two root causes — a hardcoded household ID used across most endpoints instead of the authenticated caller's own household, and JWT auth being silently ignored whenever the legacy API key header was also present (which the mobile client always sends). Every patient-scoped endpoint (vitals, medications, doctors, allergies, visits, incidents, notes, user preferences) now verifies the record actually belongs to the caller's household before reading or writing it.</w:t>
      </w:r>
    </w:p>
    <w:p>
      <w:pPr>
        <w:pStyle w:val="ListParagraph"/>
        <w:numPr>
          <w:ilvl w:val="0"/>
          <w:numId w:val="2"/>
        </w:numPr>
        <w:spacing w:after="40" w:before="40"/>
      </w:pPr>
      <w:r>
        <w:rPr>
          <w:rFonts w:ascii="Arial" w:cs="Arial" w:eastAsia="Arial" w:hAnsi="Arial"/>
          <w:b w:val="false"/>
          <w:bCs w:val="false"/>
          <w:sz w:val="20"/>
          <w:szCs w:val="20"/>
        </w:rPr>
        <w:t xml:space="preserve">Session verification — </w:t>
      </w:r>
      <w:r>
        <w:rPr>
          <w:rFonts w:ascii="Arial" w:cs="Arial" w:eastAsia="Arial" w:hAnsi="Arial"/>
          <w:b/>
          <w:bCs/>
          <w:color w:val="2E7D32"/>
          <w:sz w:val="20"/>
          <w:szCs w:val="20"/>
        </w:rPr>
        <w:t xml:space="preserve">✅ Complete: </w:t>
      </w:r>
      <w:r>
        <w:rPr>
          <w:rFonts w:ascii="Arial" w:cs="Arial" w:eastAsia="Arial" w:hAnsi="Arial"/>
          <w:b w:val="false"/>
          <w:bCs w:val="false"/>
          <w:sz w:val="20"/>
          <w:szCs w:val="20"/>
        </w:rPr>
        <w:t xml:space="preserve">a locally-cached JWT no longer implies a valid account — app launch now calls /api/auth/verify to confirm the account still exists server-side before trusting a restored session, closing a gap where a deleted account would still open straight to the Dashboard.</w:t>
      </w:r>
    </w:p>
    <w:p>
      <w:pPr>
        <w:spacing w:after="100" w:before="0"/>
      </w:pPr>
      <w:r>
        <w:t xml:space="preserve"/>
      </w:r>
    </w:p>
    <w:p>
      <w:pPr>
        <w:spacing w:after="60" w:before="180"/>
      </w:pPr>
      <w:r>
        <w:rPr>
          <w:rFonts w:ascii="Arial" w:cs="Arial" w:eastAsia="Arial" w:hAnsi="Arial"/>
          <w:b/>
          <w:bCs/>
          <w:color w:val="00B4C8"/>
          <w:sz w:val="22"/>
          <w:szCs w:val="22"/>
        </w:rPr>
        <w:t xml:space="preserve">Definition of Done</w:t>
      </w:r>
    </w:p>
    <w:p>
      <w:pPr>
        <w:pStyle w:val="ListParagraph"/>
        <w:numPr>
          <w:ilvl w:val="0"/>
          <w:numId w:val="2"/>
        </w:numPr>
        <w:spacing w:after="40" w:before="40"/>
      </w:pPr>
      <w:r>
        <w:rPr>
          <w:rFonts w:ascii="Arial" w:cs="Arial" w:eastAsia="Arial" w:hAnsi="Arial"/>
          <w:b w:val="false"/>
          <w:bCs w:val="false"/>
          <w:sz w:val="20"/>
          <w:szCs w:val="20"/>
        </w:rPr>
        <w:t xml:space="preserve">User can register, verify email, log in, and log out</w:t>
      </w:r>
    </w:p>
    <w:p>
      <w:pPr>
        <w:pStyle w:val="ListParagraph"/>
        <w:numPr>
          <w:ilvl w:val="0"/>
          <w:numId w:val="2"/>
        </w:numPr>
        <w:spacing w:after="40" w:before="40"/>
      </w:pPr>
      <w:r>
        <w:rPr>
          <w:rFonts w:ascii="Arial" w:cs="Arial" w:eastAsia="Arial" w:hAnsi="Arial"/>
          <w:b w:val="false"/>
          <w:bCs w:val="false"/>
          <w:sz w:val="20"/>
          <w:szCs w:val="20"/>
        </w:rPr>
        <w:t xml:space="preserve">All vitals data correctly associates with authenticated user account</w:t>
      </w:r>
    </w:p>
    <w:p>
      <w:pPr>
        <w:pStyle w:val="ListParagraph"/>
        <w:numPr>
          <w:ilvl w:val="0"/>
          <w:numId w:val="2"/>
        </w:numPr>
        <w:spacing w:after="40" w:before="40"/>
      </w:pPr>
      <w:r>
        <w:rPr>
          <w:rFonts w:ascii="Arial" w:cs="Arial" w:eastAsia="Arial" w:hAnsi="Arial"/>
          <w:b w:val="false"/>
          <w:bCs w:val="false"/>
          <w:sz w:val="20"/>
          <w:szCs w:val="20"/>
        </w:rPr>
        <w:t xml:space="preserve">Family tier allows creation and switching between up to 5 patient profiles</w:t>
      </w:r>
    </w:p>
    <w:p>
      <w:pPr>
        <w:pStyle w:val="ListParagraph"/>
        <w:numPr>
          <w:ilvl w:val="0"/>
          <w:numId w:val="2"/>
        </w:numPr>
        <w:spacing w:after="40" w:before="40"/>
      </w:pPr>
      <w:r>
        <w:rPr>
          <w:rFonts w:ascii="Arial" w:cs="Arial" w:eastAsia="Arial" w:hAnsi="Arial"/>
          <w:b w:val="false"/>
          <w:bCs w:val="false"/>
          <w:sz w:val="20"/>
          <w:szCs w:val="20"/>
        </w:rPr>
        <w:t>Session persistence works correctly — user stays logged in across sessions</w:t>
      </w:r>
    </w:p>
    <w:p>
      <w:pPr>
        <w:pStyle w:val="ListParagraph"/>
        <w:numPr>
          <w:ilvl w:val="0"/>
          <w:numId w:val="2"/>
        </w:numPr>
        <w:spacing w:after="40" w:before="40"/>
      </w:pPr>
      <w:r>
        <w:rPr>
          <w:rFonts w:ascii="Arial" w:cs="Arial" w:eastAsia="Arial" w:hAnsi="Arial"/>
          <w:b w:val="false"/>
          <w:bCs w:val="false"/>
          <w:sz w:val="20"/>
          <w:szCs w:val="20"/>
        </w:rPr>
        <w:t>Email/password, Google, and Apple authentication all pass end-to-end validation; Apple sign-in is verified on physical iOS hardware with real provisioning, entitlements, and Keychain persistence.</w:t>
      </w:r>
    </w:p>
    <w:p>
      <w:pPr>
        <w:pStyle w:val="ListParagraph"/>
        <w:numPr>
          <w:ilvl w:val="0"/>
          <w:numId w:val="2"/>
        </w:numPr>
        <w:spacing w:after="40" w:before="40"/>
      </w:pPr>
      <w:r>
        <w:rPr>
          <w:rFonts w:ascii="Arial" w:cs="Arial" w:eastAsia="Arial" w:hAnsi="Arial"/>
          <w:b w:val="false"/>
          <w:bCs w:val="false"/>
          <w:sz w:val="20"/>
          <w:szCs w:val="20"/>
        </w:rPr>
        <w:t xml:space="preserve">DigitalOcean backend live and serving authenticated requests</w:t>
      </w:r>
    </w:p>
    <w:p>
      <w:pPr>
        <w:spacing w:after="200" w:before="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160"/>
        <w:gridCol w:w="1800"/>
        <w:gridCol w:w="1200"/>
      </w:tblGrid>
      <w:tr>
        <w:tc>
          <w:tcPr>
            <w:tcW w:type="dxa" w:w="1200"/>
            <w:tcBorders>
              <w:top w:val="single" w:color="DDDDDD" w:sz="1"/>
              <w:left w:val="single" w:color="DDDDDD" w:sz="1"/>
              <w:bottom w:val="single" w:color="DDDDDD" w:sz="1"/>
              <w:right w:val="single" w:color="DDDDDD" w:sz="1"/>
            </w:tcBorders>
            <w:shd w:fill="1B2A4A" w:val="clear"/>
            <w:tcMar>
              <w:top w:type="dxa" w:w="100"/>
              <w:left w:type="dxa" w:w="120"/>
              <w:bottom w:type="dxa" w:w="100"/>
              <w:right w:type="dxa" w:w="120"/>
            </w:tcMar>
          </w:tcPr>
          <w:p>
            <w:pPr>
              <w:jc w:val="center"/>
            </w:pPr>
            <w:r>
              <w:rPr>
                <w:rFonts w:ascii="Arial" w:cs="Arial" w:eastAsia="Arial" w:hAnsi="Arial"/>
                <w:color w:val="AACCDD"/>
                <w:sz w:val="16"/>
                <w:szCs w:val="16"/>
              </w:rPr>
              <w:t xml:space="preserve">Phase</w:t>
            </w:r>
          </w:p>
          <w:p>
            <w:pPr>
              <w:jc w:val="center"/>
            </w:pPr>
            <w:r>
              <w:rPr>
                <w:rFonts w:ascii="Arial" w:cs="Arial" w:eastAsia="Arial" w:hAnsi="Arial"/>
                <w:b/>
                <w:bCs/>
                <w:color w:val="FFFFFF"/>
                <w:sz w:val="48"/>
                <w:szCs w:val="48"/>
              </w:rPr>
              <w:t xml:space="preserve">6</w:t>
            </w:r>
          </w:p>
        </w:tc>
        <w:tc>
          <w:tcPr>
            <w:tcW w:type="dxa" w:w="5160"/>
            <w:tcBorders>
              <w:top w:val="single" w:color="DDDDDD" w:sz="1"/>
              <w:left w:val="single" w:color="DDDDDD" w:sz="1"/>
              <w:bottom w:val="single" w:color="DDDDDD" w:sz="1"/>
              <w:right w:val="single" w:color="DDDDDD" w:sz="1"/>
            </w:tcBorders>
            <w:shd w:fill="E8F8FA" w:val="clear"/>
            <w:tcMar>
              <w:top w:type="dxa" w:w="100"/>
              <w:left w:type="dxa" w:w="160"/>
              <w:bottom w:type="dxa" w:w="100"/>
              <w:right w:type="dxa" w:w="160"/>
            </w:tcMar>
          </w:tcPr>
          <w:p>
            <w:r>
              <w:rPr>
                <w:rFonts w:ascii="Arial" w:cs="Arial" w:eastAsia="Arial" w:hAnsi="Arial"/>
                <w:b/>
                <w:bCs/>
                <w:color w:val="1B2A4A"/>
                <w:sz w:val="26"/>
                <w:szCs w:val="26"/>
              </w:rPr>
              <w:t xml:space="preserve">Onboarding Flow</w:t>
            </w:r>
          </w:p>
        </w:tc>
        <w:tc>
          <w:tcPr>
            <w:tcW w:type="dxa" w:w="1800"/>
            <w:tcBorders>
              <w:top w:val="single" w:color="DDDDDD" w:sz="1"/>
              <w:left w:val="single" w:color="DDDDDD" w:sz="1"/>
              <w:bottom w:val="single" w:color="DDDDDD" w:sz="1"/>
              <w:right w:val="single" w:color="DDDDDD" w:sz="1"/>
            </w:tcBorders>
            <w:shd w:fill="F5F5F5" w:val="clear"/>
            <w:tcMar>
              <w:top w:type="dxa" w:w="100"/>
              <w:left w:type="dxa" w:w="120"/>
              <w:bottom w:type="dxa" w:w="100"/>
              <w:right w:type="dxa" w:w="120"/>
            </w:tcMar>
          </w:tcPr>
          <w:p>
            <w:pPr>
              <w:jc w:val="center"/>
            </w:pPr>
            <w:r>
              <w:rPr>
                <w:rFonts w:ascii="Arial" w:cs="Arial" w:eastAsia="Arial" w:hAnsi="Arial"/>
                <w:color w:val="777777"/>
                <w:sz w:val="16"/>
                <w:szCs w:val="16"/>
              </w:rPr>
              <w:t xml:space="preserve">Timeline</w:t>
            </w:r>
          </w:p>
          <w:p>
            <w:pPr>
              <w:jc w:val="center"/>
            </w:pPr>
            <w:r>
              <w:rPr>
                <w:rFonts w:ascii="Arial" w:cs="Arial" w:eastAsia="Arial" w:hAnsi="Arial"/>
                <w:b/>
                <w:bCs/>
                <w:color w:val="1B2A4A"/>
                <w:sz w:val="20"/>
                <w:szCs w:val="20"/>
              </w:rPr>
              <w:t>Aug-Oct 2026</w:t>
            </w:r>
          </w:p>
        </w:tc>
        <w:tc>
          <w:tcPr>
            <w:tcW w:type="dxa" w:w="1200"/>
            <w:tcBorders>
              <w:top w:val="single" w:color="DDDDDD" w:sz="1"/>
              <w:left w:val="single" w:color="DDDDDD" w:sz="1"/>
              <w:bottom w:val="single" w:color="DDDDDD" w:sz="1"/>
              <w:right w:val="single" w:color="DDDDDD" w:sz="1"/>
            </w:tcBorders>
            <w:shd w:fill="F5F5F5" w:val="clear"/>
            <w:tcMar>
              <w:top w:type="dxa" w:w="100"/>
              <w:left w:type="dxa" w:w="120"/>
              <w:bottom w:type="dxa" w:w="100"/>
              <w:right w:type="dxa" w:w="120"/>
            </w:tcMar>
          </w:tcPr>
          <w:p>
            <w:pPr>
              <w:jc w:val="center"/>
            </w:pPr>
            <w:r>
              <w:rPr>
                <w:rFonts w:ascii="Arial" w:cs="Arial" w:eastAsia="Arial" w:hAnsi="Arial"/>
                <w:color w:val="777777"/>
                <w:sz w:val="16"/>
                <w:szCs w:val="16"/>
              </w:rPr>
              <w:t xml:space="preserve">Status</w:t>
            </w:r>
          </w:p>
          <w:p>
            <w:pPr>
              <w:jc w:val="center"/>
            </w:pPr>
            <w:r>
              <w:rPr>
                <w:rFonts w:ascii="Arial" w:cs="Arial" w:eastAsia="Arial" w:hAnsi="Arial"/>
                <w:b/>
                <w:bCs/>
                <w:color w:val="2E7D32"/>
                <w:sz w:val="18"/>
                <w:szCs w:val="18"/>
              </w:rPr>
              <w:t>✅ Complete</w:t>
            </w:r>
          </w:p>
        </w:tc>
      </w:tr>
    </w:tbl>
    <w:p>
      <w:pPr>
        <w:spacing w:after="100" w:before="0"/>
      </w:pPr>
      <w:r>
        <w:t xml:space="preserve"/>
      </w:r>
    </w:p>
    <w:p>
      <w:pPr>
        <w:spacing w:after="60" w:before="180"/>
      </w:pPr>
      <w:r>
        <w:rPr>
          <w:rFonts w:ascii="Arial" w:cs="Arial" w:eastAsia="Arial" w:hAnsi="Arial"/>
          <w:b/>
          <w:bCs/>
          <w:color w:val="00B4C8"/>
          <w:sz w:val="22"/>
          <w:szCs w:val="22"/>
        </w:rPr>
        <w:t xml:space="preserve">Objective</w:t>
      </w:r>
    </w:p>
    <w:p>
      <w:pPr>
        <w:spacing w:after="60" w:before="60"/>
      </w:pPr>
      <w:r>
        <w:rPr>
          <w:rFonts w:ascii="Arial" w:cs="Arial" w:eastAsia="Arial" w:hAnsi="Arial"/>
          <w:sz w:val="20"/>
          <w:szCs w:val="20"/>
        </w:rPr>
        <w:t xml:space="preserve">Build the first-time user experience that converts trial downloads into habitual daily users. The onboarding flow is not built until Phase 4 because there needs to be something worth onboarding people into — the core loop, clinical data, and PDF export all need to exist first.</w:t>
      </w:r>
    </w:p>
    <w:p>
      <w:pPr>
        <w:spacing w:after="100" w:before="0"/>
      </w:pPr>
      <w:r>
        <w:rPr>
          <w:b/>
          <w:color w:val="2E7D32"/>
          <w:sz w:val="18"/>
        </w:rPr>
        <w:t>✅ Phase 6 complete (Oct 6, 2026): onboarding acceptance passed across email/password, Google, and Apple ID signup/sign-in paths. The final Phase 6 milestone build was alpha 0.69; Phase 7 began at 0.7.0 and has since completed 0.7.1a and 0.7.1b.</w:t>
      </w:r>
    </w:p>
    <w:p>
      <w:pPr>
        <w:spacing w:after="60" w:before="180"/>
      </w:pPr>
      <w:r>
        <w:rPr>
          <w:rFonts w:ascii="Arial" w:cs="Arial" w:eastAsia="Arial" w:hAnsi="Arial"/>
          <w:b/>
          <w:bCs/>
          <w:color w:val="00B4C8"/>
          <w:sz w:val="22"/>
          <w:szCs w:val="22"/>
        </w:rPr>
        <w:t>Completed Scope</w:t>
      </w:r>
    </w:p>
    <w:p>
      <w:pPr>
        <w:pStyle w:val="ListParagraph"/>
        <w:numPr>
          <w:ilvl w:val="0"/>
          <w:numId w:val="2"/>
        </w:numPr>
        <w:spacing w:after="40" w:before="40"/>
      </w:pPr>
      <w:r>
        <w:rPr>
          <w:rFonts w:ascii="Arial" w:cs="Arial" w:eastAsia="Arial" w:hAnsi="Arial"/>
          <w:b w:val="false"/>
          <w:bCs w:val="false"/>
          <w:sz w:val="20"/>
          <w:szCs w:val="20"/>
        </w:rPr>
        <w:t xml:space="preserve">Welcome Screen — 'Welcome to Vitals. You're about to turn your daily readings into clear, understandable trends.' — </w:t>
      </w:r>
      <w:r>
        <w:rPr>
          <w:rFonts w:ascii="Arial" w:cs="Arial" w:eastAsia="Arial" w:hAnsi="Arial"/>
          <w:b/>
          <w:bCs/>
          <w:color w:val="2E7D32"/>
          <w:sz w:val="20"/>
          <w:szCs w:val="20"/>
        </w:rPr>
        <w:t xml:space="preserve">✅ Built</w:t>
      </w:r>
    </w:p>
    <w:p>
      <w:pPr>
        <w:pStyle w:val="ListParagraph"/>
        <w:numPr>
          <w:ilvl w:val="0"/>
          <w:numId w:val="2"/>
        </w:numPr>
        <w:spacing w:after="40" w:before="40"/>
      </w:pPr>
      <w:r>
        <w:rPr>
          <w:rFonts w:ascii="Arial" w:cs="Arial" w:eastAsia="Arial" w:hAnsi="Arial"/>
          <w:b w:val="false"/>
          <w:bCs w:val="false"/>
          <w:sz w:val="20"/>
          <w:szCs w:val="20"/>
        </w:rPr>
        <w:t xml:space="preserve">Purpose Screen — brief explanation of what the app does and why it matters — </w:t>
      </w:r>
      <w:r>
        <w:rPr>
          <w:rFonts w:ascii="Arial" w:cs="Arial" w:eastAsia="Arial" w:hAnsi="Arial"/>
          <w:b/>
          <w:bCs/>
          <w:color w:val="2E7D32"/>
          <w:sz w:val="20"/>
          <w:szCs w:val="20"/>
        </w:rPr>
        <w:t xml:space="preserve">✅ Built</w:t>
      </w:r>
    </w:p>
    <w:p>
      <w:pPr>
        <w:pStyle w:val="ListParagraph"/>
        <w:numPr>
          <w:ilvl w:val="0"/>
          <w:numId w:val="2"/>
        </w:numPr>
        <w:spacing w:after="40" w:before="40"/>
      </w:pPr>
      <w:r>
        <w:rPr>
          <w:rFonts w:ascii="Arial" w:cs="Arial" w:eastAsia="Arial" w:hAnsi="Arial"/>
          <w:b w:val="false"/>
          <w:bCs w:val="false"/>
          <w:sz w:val="20"/>
          <w:szCs w:val="20"/>
        </w:rPr>
        <w:t xml:space="preserve">Personalization Screen — 'Who are you tracking for?' (Myself / A family member / Both). Surfaces family plan naturally without a sales pitch — </w:t>
      </w:r>
      <w:r>
        <w:rPr>
          <w:rFonts w:ascii="Arial" w:cs="Arial" w:eastAsia="Arial" w:hAnsi="Arial"/>
          <w:b/>
          <w:bCs/>
          <w:color w:val="2E7D32"/>
          <w:sz w:val="20"/>
          <w:szCs w:val="20"/>
        </w:rPr>
        <w:t xml:space="preserve">✅ Built</w:t>
      </w:r>
    </w:p>
    <w:p>
      <w:pPr>
        <w:pStyle w:val="ListParagraph"/>
        <w:numPr>
          <w:ilvl w:val="0"/>
          <w:numId w:val="2"/>
        </w:numPr>
        <w:spacing w:after="40" w:before="40"/>
      </w:pPr>
      <w:r>
        <w:rPr>
          <w:rFonts w:ascii="Arial" w:cs="Arial" w:eastAsia="Arial" w:hAnsi="Arial"/>
          <w:b w:val="false"/>
          <w:bCs w:val="false"/>
          <w:sz w:val="20"/>
          <w:szCs w:val="20"/>
        </w:rPr>
        <w:t xml:space="preserve">Patient Setup Screen (added scope) — collects name, date of birth, and gender for whoever is being tracked (self and/or family member); creates the actual patient record via the household-scoped /api/patients endpoint — </w:t>
      </w:r>
      <w:r>
        <w:rPr>
          <w:rFonts w:ascii="Arial" w:cs="Arial" w:eastAsia="Arial" w:hAnsi="Arial"/>
          <w:b/>
          <w:bCs/>
          <w:color w:val="2E7D32"/>
          <w:sz w:val="20"/>
          <w:szCs w:val="20"/>
        </w:rPr>
        <w:t xml:space="preserve">✅ Built</w:t>
      </w:r>
    </w:p>
    <w:p>
      <w:pPr>
        <w:pStyle w:val="ListParagraph"/>
        <w:numPr>
          <w:ilvl w:val="0"/>
          <w:numId w:val="2"/>
        </w:numPr>
        <w:spacing w:after="40" w:before="40"/>
      </w:pPr>
      <w:r>
        <w:rPr>
          <w:rFonts w:ascii="Arial" w:cs="Arial" w:eastAsia="Arial" w:hAnsi="Arial"/>
          <w:b w:val="false"/>
          <w:bCs w:val="false"/>
          <w:sz w:val="20"/>
          <w:szCs w:val="20"/>
        </w:rPr>
        <w:t xml:space="preserve">Sample Dashboard Screen — pre-populated with example data, clearly labeled 'Example'. Shows what the user's dashboard will look like with real data. Built as a guided coach-mark tour over the real dashboard layout rather than a static mockup — </w:t>
      </w:r>
      <w:r>
        <w:rPr>
          <w:rFonts w:ascii="Arial" w:cs="Arial" w:eastAsia="Arial" w:hAnsi="Arial"/>
          <w:b/>
          <w:bCs/>
          <w:color w:val="2E7D32"/>
          <w:sz w:val="20"/>
          <w:szCs w:val="20"/>
        </w:rPr>
        <w:t xml:space="preserve">✅ Built</w:t>
      </w:r>
    </w:p>
    <w:p>
      <w:pPr>
        <w:pStyle w:val="ListParagraph"/>
        <w:numPr>
          <w:ilvl w:val="0"/>
          <w:numId w:val="2"/>
        </w:numPr>
        <w:spacing w:after="40" w:before="40"/>
      </w:pPr>
      <w:r>
        <w:rPr>
          <w:rFonts w:ascii="Arial" w:cs="Arial" w:eastAsia="Arial" w:hAnsi="Arial"/>
          <w:b w:val="false"/>
          <w:bCs w:val="false"/>
          <w:sz w:val="20"/>
          <w:szCs w:val="20"/>
        </w:rPr>
        <w:t xml:space="preserve">Vital Preferences Screen (added scope) — choose which vitals beyond blood pressure to track (heart rate, SpO₂, temperature, weight, glucose); same preference keys the real Settings screen uses, so choices made here immediately apply app-wide — </w:t>
      </w:r>
      <w:r>
        <w:rPr>
          <w:rFonts w:ascii="Arial" w:cs="Arial" w:eastAsia="Arial" w:hAnsi="Arial"/>
          <w:b/>
          <w:bCs/>
          <w:color w:val="2E7D32"/>
          <w:sz w:val="20"/>
          <w:szCs w:val="20"/>
        </w:rPr>
        <w:t xml:space="preserve">✅ Built</w:t>
      </w:r>
    </w:p>
    <w:p>
      <w:pPr>
        <w:pStyle w:val="ListParagraph"/>
        <w:numPr>
          <w:ilvl w:val="0"/>
          <w:numId w:val="2"/>
        </w:numPr>
        <w:spacing w:after="40" w:before="40"/>
      </w:pPr>
      <w:r>
        <w:rPr>
          <w:rFonts w:ascii="Arial" w:cs="Arial" w:eastAsia="Arial" w:hAnsi="Arial"/>
          <w:b w:val="false"/>
          <w:bCs w:val="false"/>
          <w:sz w:val="20"/>
          <w:szCs w:val="20"/>
        </w:rPr>
        <w:t xml:space="preserve">First Log Prompt — 'Your baseline starts now. Log your first reading.' Includes a Skip option — </w:t>
      </w:r>
      <w:r>
        <w:rPr>
          <w:rFonts w:ascii="Arial" w:cs="Arial" w:eastAsia="Arial" w:hAnsi="Arial"/>
          <w:b/>
          <w:bCs/>
          <w:color w:val="2E7D32"/>
          <w:sz w:val="20"/>
          <w:szCs w:val="20"/>
        </w:rPr>
        <w:t xml:space="preserve">✅ Built</w:t>
      </w:r>
    </w:p>
    <w:p>
      <w:pPr>
        <w:pStyle w:val="ListParagraph"/>
        <w:numPr>
          <w:ilvl w:val="0"/>
          <w:numId w:val="2"/>
        </w:numPr>
        <w:spacing w:after="40" w:before="40"/>
      </w:pPr>
      <w:r>
        <w:rPr>
          <w:rFonts w:ascii="Arial" w:cs="Arial" w:eastAsia="Arial" w:hAnsi="Arial"/>
          <w:b w:val="0"/>
          <w:bCs w:val="false"/>
          <w:sz w:val="20"/>
          <w:szCs w:val="20"/>
        </w:rPr>
        <w:t xml:space="preserve">Login Screen (added scope) — email/password, Google sign-in, and native Apple sign-in on iOS, with a 'New to Vitals? Sign up here' link. All supported methods are functional; Android intentionally omits the Apple control — </w:t>
      </w:r>
      <w:r>
        <w:rPr>
          <w:rFonts w:ascii="Arial" w:cs="Arial" w:eastAsia="Arial" w:hAnsi="Arial"/>
          <w:b/>
          <w:bCs w:val="false"/>
          <w:color w:val="2E7D32"/>
          <w:sz w:val="20"/>
          <w:szCs w:val="20"/>
        </w:rPr>
        <w:t>✅ Built</w:t>
      </w:r>
    </w:p>
    <w:p>
      <w:pPr>
        <w:pStyle w:val="ListParagraph"/>
        <w:numPr>
          <w:ilvl w:val="0"/>
          <w:numId w:val="2"/>
        </w:numPr>
        <w:spacing w:after="40" w:before="40"/>
      </w:pPr>
      <w:r>
        <w:rPr>
          <w:rFonts w:ascii="Arial" w:cs="Arial" w:eastAsia="Arial" w:hAnsi="Arial"/>
          <w:b w:val="0"/>
          <w:bCs w:val="false"/>
          <w:sz w:val="20"/>
          <w:szCs w:val="20"/>
        </w:rPr>
        <w:t xml:space="preserve">Sign Up Screen (added scope) — email/password/confirm plus Google and Apple on iOS. New and existing accounts route correctly, including Apple verified-email linking and first-time onboarding — </w:t>
      </w:r>
      <w:r>
        <w:rPr>
          <w:rFonts w:ascii="Arial" w:cs="Arial" w:eastAsia="Arial" w:hAnsi="Arial"/>
          <w:b/>
          <w:bCs w:val="false"/>
          <w:color w:val="2E7D32"/>
          <w:sz w:val="20"/>
          <w:szCs w:val="20"/>
        </w:rPr>
        <w:t>✅ Built</w:t>
      </w:r>
    </w:p>
    <w:p>
      <w:pPr>
        <w:pStyle w:val="ListParagraph"/>
        <w:numPr>
          <w:ilvl w:val="0"/>
          <w:numId w:val="2"/>
        </w:numPr>
        <w:spacing w:after="40" w:before="40"/>
      </w:pPr>
      <w:r>
        <w:rPr>
          <w:rFonts w:ascii="Arial" w:cs="Arial" w:eastAsia="Arial" w:hAnsi="Arial"/>
          <w:b w:val="0"/>
          <w:bCs w:val="false"/>
          <w:sz w:val="20"/>
          <w:szCs w:val="20"/>
        </w:rPr>
        <w:t xml:space="preserve">Apple ID Sign-In/Sign-Up — native AuthenticationServices flow with nonce/state protection, backend Apple token validation, existing-account linking by verified email, new-user onboarding, and returning sign-in. Cancellation behavior and production Keychain session persistence were validated on a physical iPad — </w:t>
      </w:r>
      <w:r>
        <w:rPr>
          <w:rFonts w:ascii="Arial" w:cs="Arial" w:eastAsia="Arial" w:hAnsi="Arial"/>
          <w:b/>
          <w:bCs w:val="false"/>
          <w:color w:val="2E7D32"/>
          <w:sz w:val="20"/>
          <w:szCs w:val="20"/>
        </w:rPr>
        <w:t>✅ Complete (Oct 6, 2026)</w:t>
      </w:r>
    </w:p>
    <w:p>
      <w:pPr>
        <w:pStyle w:val="ListParagraph"/>
        <w:numPr>
          <w:ilvl w:val="0"/>
          <w:numId w:val="2"/>
        </w:numPr>
        <w:spacing w:after="40" w:before="40"/>
      </w:pPr>
      <w:r>
        <w:rPr>
          <w:rFonts w:ascii="Arial" w:cs="Arial" w:eastAsia="Arial" w:hAnsi="Arial"/>
          <w:b w:val="false"/>
          <w:bCs w:val="false"/>
          <w:sz w:val="20"/>
          <w:szCs w:val="20"/>
        </w:rPr>
        <w:t xml:space="preserve">Household Sharing / Invite — the primary account holder invites a household member by email from Manage Household (Settings); recipient gets a branded email with a short code, redeemed on the new plan-selection screen’s “Join an existing household” option during their own normal sign-up. Invite codes expire in 24 hours and reserve a patient slot against the household’s limit until used or cancelled, so a second person can never join expecting a slot that isn’t actually available. The joining user attaches to an existing patient (with a DOB/gender confirmation step to prevent claiming the wrong person) or creates a new one if slots remain. patient_users now tracks the relationship (self vs. caregiver) between each user and patient — </w:t>
      </w:r>
      <w:r>
        <w:rPr>
          <w:rFonts w:ascii="Arial" w:cs="Arial" w:eastAsia="Arial" w:hAnsi="Arial"/>
          <w:b/>
          <w:bCs/>
          <w:color w:val="2E7D32"/>
          <w:sz w:val="20"/>
          <w:szCs w:val="20"/>
        </w:rPr>
        <w:t xml:space="preserve">✅ Built</w:t>
      </w:r>
    </w:p>
    <w:p>
      <w:pPr>
        <w:spacing w:after="100" w:before="0"/>
      </w:pPr>
      <w:r>
        <w:t xml:space="preserve"/>
      </w:r>
    </w:p>
    <w:p>
      <w:pPr>
        <w:keepNext/>
        <w:keepLines/>
        <w:spacing w:after="60" w:before="180"/>
      </w:pPr>
      <w:r>
        <w:rPr>
          <w:rFonts w:ascii="Arial" w:cs="Arial" w:eastAsia="Arial" w:hAnsi="Arial"/>
          <w:b/>
          <w:bCs/>
          <w:color w:val="00B4C8"/>
          <w:sz w:val="22"/>
          <w:szCs w:val="22"/>
        </w:rPr>
        <w:t>Resolved Issue</w:t>
      </w:r>
    </w:p>
    <w:p>
      <w:pPr>
        <w:pStyle w:val="ListParagraph"/>
        <w:numPr>
          <w:ilvl w:val="0"/>
          <w:numId w:val="2"/>
        </w:numPr>
        <w:spacing w:after="40" w:before="40"/>
      </w:pPr>
      <w:r>
        <w:rPr>
          <w:rFonts w:ascii="Arial" w:cs="Arial" w:eastAsia="Arial" w:hAnsi="Arial"/>
          <w:b w:val="false"/>
          <w:bCs w:val="false"/>
          <w:sz w:val="20"/>
          <w:szCs w:val="20"/>
        </w:rPr>
        <w:t>Vital preference display consistency - ✅ Resolved (Oct 3, 2026). Dashboard, Vitals Entry, Vitals Analysis, Vitals History, and the clinician PDF now honor the selected patient's persisted optional-vital preferences. History supports Weight and Blood Glucose and hides disabled optional metrics.</w:t>
      </w:r>
    </w:p>
    <w:p>
      <w:pPr>
        <w:spacing w:after="100" w:before="0"/>
      </w:pPr>
      <w:r>
        <w:t xml:space="preserve"/>
      </w:r>
    </w:p>
    <w:p>
      <w:pPr>
        <w:spacing w:after="60" w:before="180"/>
      </w:pPr>
      <w:r>
        <w:rPr>
          <w:rFonts w:ascii="Arial" w:cs="Arial" w:eastAsia="Arial" w:hAnsi="Arial"/>
          <w:b/>
          <w:bCs/>
          <w:color w:val="00B4C8"/>
          <w:sz w:val="22"/>
          <w:szCs w:val="22"/>
        </w:rPr>
        <w:t xml:space="preserve">Tone &amp; Design Principles</w:t>
      </w:r>
    </w:p>
    <w:p>
      <w:pPr>
        <w:pStyle w:val="ListParagraph"/>
        <w:numPr>
          <w:ilvl w:val="0"/>
          <w:numId w:val="2"/>
        </w:numPr>
        <w:spacing w:after="40" w:before="40"/>
      </w:pPr>
      <w:r>
        <w:rPr>
          <w:rFonts w:ascii="Arial" w:cs="Arial" w:eastAsia="Arial" w:hAnsi="Arial"/>
          <w:b w:val="false"/>
          <w:bCs w:val="false"/>
          <w:sz w:val="20"/>
          <w:szCs w:val="20"/>
        </w:rPr>
        <w:t xml:space="preserve">Calm and supportive — caregivers are already anxious</w:t>
      </w:r>
    </w:p>
    <w:p>
      <w:pPr>
        <w:pStyle w:val="ListParagraph"/>
        <w:numPr>
          <w:ilvl w:val="0"/>
          <w:numId w:val="2"/>
        </w:numPr>
        <w:spacing w:after="40" w:before="40"/>
      </w:pPr>
      <w:r>
        <w:rPr>
          <w:rFonts w:ascii="Arial" w:cs="Arial" w:eastAsia="Arial" w:hAnsi="Arial"/>
          <w:b w:val="false"/>
          <w:bCs w:val="false"/>
          <w:sz w:val="20"/>
          <w:szCs w:val="20"/>
        </w:rPr>
        <w:t xml:space="preserve">No fear-based messaging, no urgency without context, no clinical jargon</w:t>
      </w:r>
    </w:p>
    <w:p>
      <w:pPr>
        <w:pStyle w:val="ListParagraph"/>
        <w:numPr>
          <w:ilvl w:val="0"/>
          <w:numId w:val="2"/>
        </w:numPr>
        <w:spacing w:after="40" w:before="40"/>
      </w:pPr>
      <w:r>
        <w:rPr>
          <w:rFonts w:ascii="Arial" w:cs="Arial" w:eastAsia="Arial" w:hAnsi="Arial"/>
          <w:b w:val="false"/>
          <w:bCs w:val="false"/>
          <w:sz w:val="20"/>
          <w:szCs w:val="20"/>
        </w:rPr>
        <w:t xml:space="preserve">Promise progress, not instant results: 'In a few days you'll see patterns. In two weeks, the full picture.'</w:t>
      </w:r>
    </w:p>
    <w:p>
      <w:pPr>
        <w:pStyle w:val="ListParagraph"/>
        <w:numPr>
          <w:ilvl w:val="0"/>
          <w:numId w:val="2"/>
        </w:numPr>
        <w:spacing w:after="40" w:before="40"/>
      </w:pPr>
      <w:r>
        <w:rPr>
          <w:rFonts w:ascii="Arial" w:cs="Arial" w:eastAsia="Arial" w:hAnsi="Arial"/>
          <w:b w:val="false"/>
          <w:bCs w:val="false"/>
          <w:sz w:val="20"/>
          <w:szCs w:val="20"/>
        </w:rPr>
        <w:t xml:space="preserve">Use 'meaningful' rather than 'accurate' when describing trend data</w:t>
      </w:r>
    </w:p>
    <w:p>
      <w:pPr>
        <w:spacing w:after="100" w:before="0"/>
      </w:pPr>
      <w:r>
        <w:t xml:space="preserve"/>
      </w:r>
    </w:p>
    <w:p>
      <w:pPr>
        <w:spacing w:after="60" w:before="180"/>
      </w:pPr>
      <w:r>
        <w:rPr>
          <w:rFonts w:ascii="Arial" w:cs="Arial" w:eastAsia="Arial" w:hAnsi="Arial"/>
          <w:b/>
          <w:bCs/>
          <w:color w:val="00B4C8"/>
          <w:sz w:val="22"/>
          <w:szCs w:val="22"/>
        </w:rPr>
        <w:t>Phase 6 Scope Decision</w:t>
      </w:r>
    </w:p>
    <w:p>
      <w:pPr>
        <w:spacing w:after="60" w:before="60"/>
      </w:pPr>
      <w:r>
        <w:rPr>
          <w:rFonts w:ascii="Arial" w:cs="Arial" w:eastAsia="Arial" w:hAnsi="Arial"/>
          <w:sz w:val="20"/>
          <w:szCs w:val="20"/>
        </w:rPr>
        <w:t>Local scheduled notifications were removed from the MVP/Phase 6 acceptance scope on Oct 6, 2026. They are a retention feature rather than a dependency of Vitals' core logging, analysis, history, medication/care-team, or PDF workflows, and are now tracked under Post-Launch Development Priorities.</w:t>
      </w:r>
    </w:p>
    <w:p>
      <w:pPr>
        <w:spacing w:after="100" w:before="0"/>
      </w:pPr>
      <w:r>
        <w:t xml:space="preserve"/>
      </w:r>
    </w:p>
    <w:p>
      <w:pPr>
        <w:spacing w:after="60" w:before="180"/>
      </w:pPr>
      <w:r>
        <w:rPr>
          <w:rFonts w:ascii="Arial" w:cs="Arial" w:eastAsia="Arial" w:hAnsi="Arial"/>
          <w:b/>
          <w:bCs/>
          <w:color w:val="00B4C8"/>
          <w:sz w:val="22"/>
          <w:szCs w:val="22"/>
        </w:rPr>
        <w:t xml:space="preserve">Definition of Done</w:t>
      </w:r>
    </w:p>
    <w:p>
      <w:pPr>
        <w:pStyle w:val="ListParagraph"/>
        <w:numPr>
          <w:ilvl w:val="0"/>
          <w:numId w:val="2"/>
        </w:numPr>
        <w:spacing w:after="40" w:before="40"/>
      </w:pPr>
      <w:r>
        <w:rPr>
          <w:rFonts w:ascii="Arial" w:cs="Arial" w:eastAsia="Arial" w:hAnsi="Arial"/>
          <w:b w:val="false"/>
          <w:bCs w:val="false"/>
          <w:sz w:val="20"/>
          <w:szCs w:val="20"/>
        </w:rPr>
        <w:t>✅ Onboarding acceptance validated end to end across email/password, Google, and Apple ID; Google signup was also independently exercised during alpha testing.</w:t>
      </w:r>
    </w:p>
    <w:p>
      <w:pPr>
        <w:pStyle w:val="ListParagraph"/>
        <w:numPr>
          <w:ilvl w:val="0"/>
          <w:numId w:val="2"/>
        </w:numPr>
        <w:spacing w:after="40" w:before="40"/>
      </w:pPr>
      <w:r>
        <w:rPr>
          <w:rFonts w:ascii="Arial" w:cs="Arial" w:eastAsia="Arial" w:hAnsi="Arial"/>
          <w:b w:val="false"/>
          <w:bCs w:val="false"/>
          <w:sz w:val="20"/>
          <w:szCs w:val="20"/>
        </w:rPr>
        <w:t>✅ Sample dashboard correctly demonstrates the app's value and guides users into first use.</w:t>
      </w:r>
    </w:p>
    <w:p>
      <w:pPr>
        <w:pStyle w:val="ListParagraph"/>
        <w:numPr>
          <w:ilvl w:val="0"/>
          <w:numId w:val="2"/>
        </w:numPr>
        <w:spacing w:after="40" w:before="40"/>
      </w:pPr>
      <w:r>
        <w:rPr>
          <w:rFonts w:ascii="Arial" w:cs="Arial" w:eastAsia="Arial" w:hAnsi="Arial"/>
          <w:b w:val="false"/>
          <w:bCs w:val="false"/>
          <w:sz w:val="20"/>
          <w:szCs w:val="20"/>
        </w:rPr>
        <w:t>✅ Personalization correctly configures individual vs. caregiver/multi-patient setup.</w:t>
      </w:r>
    </w:p>
    <w:p>
      <w:pPr>
        <w:pStyle w:val="ListParagraph"/>
        <w:numPr>
          <w:ilvl w:val="0"/>
          <w:numId w:val="2"/>
        </w:numPr>
        <w:spacing w:after="40" w:before="40"/>
      </w:pPr>
      <w:r>
        <w:rPr>
          <w:rFonts w:ascii="Arial" w:cs="Arial" w:eastAsia="Arial" w:hAnsi="Arial"/>
          <w:b w:val="false"/>
          <w:bCs w:val="false"/>
          <w:sz w:val="20"/>
          <w:szCs w:val="20"/>
        </w:rPr>
        <w:t>✅ First-vitals entry, patient-scoped vital preferences, and household onboarding/join flows operate correctly.</w:t>
      </w:r>
    </w:p>
    <w:p>
      <w:pPr>
        <w:spacing w:after="200" w:before="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160"/>
        <w:gridCol w:w="1800"/>
        <w:gridCol w:w="1200"/>
      </w:tblGrid>
      <w:tr>
        <w:tc>
          <w:tcPr>
            <w:tcW w:type="dxa" w:w="1200"/>
            <w:tcBorders>
              <w:top w:val="single" w:color="DDDDDD" w:sz="1"/>
              <w:left w:val="single" w:color="DDDDDD" w:sz="1"/>
              <w:bottom w:val="single" w:color="DDDDDD" w:sz="1"/>
              <w:right w:val="single" w:color="DDDDDD" w:sz="1"/>
            </w:tcBorders>
            <w:shd w:fill="1B2A4A" w:val="clear"/>
            <w:tcMar>
              <w:top w:type="dxa" w:w="100"/>
              <w:left w:type="dxa" w:w="120"/>
              <w:bottom w:type="dxa" w:w="100"/>
              <w:right w:type="dxa" w:w="120"/>
            </w:tcMar>
          </w:tcPr>
          <w:p>
            <w:pPr>
              <w:jc w:val="center"/>
            </w:pPr>
            <w:r>
              <w:rPr>
                <w:rFonts w:ascii="Arial" w:cs="Arial" w:eastAsia="Arial" w:hAnsi="Arial"/>
                <w:color w:val="AACCDD"/>
                <w:sz w:val="16"/>
                <w:szCs w:val="16"/>
              </w:rPr>
              <w:t>Phase 7</w:t>
            </w:r>
          </w:p>
          <w:p>
            <w:pPr>
              <w:jc w:val="center"/>
            </w:pPr>
            <w:r>
              <w:rPr>
                <w:rFonts w:ascii="Arial" w:cs="Arial" w:eastAsia="Arial" w:hAnsi="Arial"/>
                <w:b/>
                <w:bCs/>
                <w:color w:val="FFFFFF"/>
                <w:sz w:val="48"/>
                <w:szCs w:val="48"/>
              </w:rPr>
            </w:r>
          </w:p>
        </w:tc>
        <w:tc>
          <w:tcPr>
            <w:tcW w:type="dxa" w:w="5160"/>
            <w:tcBorders>
              <w:top w:val="single" w:color="DDDDDD" w:sz="1"/>
              <w:left w:val="single" w:color="DDDDDD" w:sz="1"/>
              <w:bottom w:val="single" w:color="DDDDDD" w:sz="1"/>
              <w:right w:val="single" w:color="DDDDDD" w:sz="1"/>
            </w:tcBorders>
            <w:shd w:fill="E8F8FA" w:val="clear"/>
            <w:tcMar>
              <w:top w:type="dxa" w:w="100"/>
              <w:left w:type="dxa" w:w="160"/>
              <w:bottom w:type="dxa" w:w="100"/>
              <w:right w:type="dxa" w:w="160"/>
            </w:tcMar>
          </w:tcPr>
          <w:p>
            <w:r>
              <w:rPr>
                <w:rFonts w:ascii="Arial" w:cs="Arial" w:eastAsia="Arial" w:hAnsi="Arial"/>
                <w:b/>
                <w:bCs/>
                <w:color w:val="1B2A4A"/>
                <w:sz w:val="26"/>
                <w:szCs w:val="26"/>
              </w:rPr>
              <w:t>Subscriptions, Entitlements &amp; Launch</w:t>
            </w:r>
          </w:p>
        </w:tc>
        <w:tc>
          <w:tcPr>
            <w:tcW w:type="dxa" w:w="1800"/>
            <w:tcBorders>
              <w:top w:val="single" w:color="DDDDDD" w:sz="1"/>
              <w:left w:val="single" w:color="DDDDDD" w:sz="1"/>
              <w:bottom w:val="single" w:color="DDDDDD" w:sz="1"/>
              <w:right w:val="single" w:color="DDDDDD" w:sz="1"/>
            </w:tcBorders>
            <w:shd w:fill="F5F5F5" w:val="clear"/>
            <w:tcMar>
              <w:top w:type="dxa" w:w="100"/>
              <w:left w:type="dxa" w:w="120"/>
              <w:bottom w:type="dxa" w:w="100"/>
              <w:right w:type="dxa" w:w="120"/>
            </w:tcMar>
          </w:tcPr>
          <w:p>
            <w:pPr>
              <w:jc w:val="center"/>
            </w:pPr>
            <w:r>
              <w:rPr>
                <w:rFonts w:ascii="Arial" w:cs="Arial" w:eastAsia="Arial" w:hAnsi="Arial"/>
                <w:color w:val="777777"/>
                <w:sz w:val="16"/>
                <w:szCs w:val="16"/>
              </w:rPr>
              <w:t>Timeline</w:t>
              <w:br/>
              <w:t>Oct-Nov 2026</w:t>
            </w:r>
          </w:p>
          <w:p>
            <w:pPr>
              <w:jc w:val="center"/>
            </w:pPr>
            <w:r>
              <w:rPr>
                <w:rFonts w:ascii="Arial" w:cs="Arial" w:eastAsia="Arial" w:hAnsi="Arial"/>
                <w:b/>
                <w:bCs/>
                <w:color w:val="1B2A4A"/>
                <w:sz w:val="20"/>
                <w:szCs w:val="20"/>
              </w:rPr>
            </w:r>
          </w:p>
        </w:tc>
        <w:tc>
          <w:tcPr>
            <w:tcW w:type="dxa" w:w="1200"/>
            <w:tcBorders>
              <w:top w:val="single" w:color="DDDDDD" w:sz="1"/>
              <w:left w:val="single" w:color="DDDDDD" w:sz="1"/>
              <w:bottom w:val="single" w:color="DDDDDD" w:sz="1"/>
              <w:right w:val="single" w:color="DDDDDD" w:sz="1"/>
            </w:tcBorders>
            <w:shd w:fill="F5F5F5" w:val="clear"/>
            <w:tcMar>
              <w:top w:type="dxa" w:w="100"/>
              <w:left w:type="dxa" w:w="120"/>
              <w:bottom w:type="dxa" w:w="100"/>
              <w:right w:type="dxa" w:w="120"/>
            </w:tcMar>
          </w:tcPr>
          <w:p>
            <w:pPr>
              <w:jc w:val="center"/>
            </w:pPr>
            <w:r>
              <w:rPr>
                <w:rFonts w:ascii="Arial" w:cs="Arial" w:eastAsia="Arial" w:hAnsi="Arial"/>
                <w:color w:val="777777"/>
                <w:sz w:val="16"/>
                <w:szCs w:val="16"/>
              </w:rPr>
              <w:t>Status</w:t>
              <w:br/>
              <w:t>In Progress</w:t>
            </w:r>
          </w:p>
          <w:p>
            <w:pPr>
              <w:jc w:val="center"/>
            </w:pPr>
            <w:r>
              <w:rPr>
                <w:rFonts w:ascii="Arial" w:cs="Arial" w:eastAsia="Arial" w:hAnsi="Arial"/>
                <w:b/>
                <w:bCs/>
                <w:color w:val="1565C0"/>
                <w:sz w:val="18"/>
                <w:szCs w:val="18"/>
              </w:rPr>
              <w:t>0.7.1b Complete</w:t>
            </w:r>
          </w:p>
        </w:tc>
      </w:tr>
    </w:tbl>
    <w:p>
      <w:pPr>
        <w:spacing w:after="120" w:before="480"/>
        <w:jc w:val="center"/>
      </w:pPr>
      <w:r/>
    </w:p>
    <w:p>
      <w:pPr>
        <w:spacing w:after="60" w:before="180"/>
      </w:pPr>
      <w:r>
        <w:rPr>
          <w:rFonts w:ascii="Arial" w:cs="Arial" w:eastAsia="Arial" w:hAnsi="Arial"/>
          <w:b/>
          <w:bCs/>
          <w:color w:val="00B4C8"/>
          <w:sz w:val="22"/>
          <w:szCs w:val="22"/>
        </w:rPr>
        <w:t>Objective</w:t>
      </w:r>
    </w:p>
    <w:p>
      <w:pPr>
        <w:spacing w:after="60" w:before="60"/>
      </w:pPr>
      <w:r>
        <w:rPr>
          <w:rFonts w:ascii="Arial" w:cs="Arial" w:eastAsia="Arial" w:hAnsi="Arial"/>
          <w:sz w:val="20"/>
          <w:szCs w:val="20"/>
        </w:rPr>
        <w:t>Convert Vitals from a feature-complete alpha into a production-ready subscription product, validate payment and entitlement behavior on physical iOS and Android hardware, enter both store beta programs in parallel, and then release publicly. Public launch is defined as general availability outside beta in both the Apple App Store and Google Play - not the start of TestFlight or Google closed testing.</w:t>
      </w:r>
    </w:p>
    <w:p>
      <w:pPr>
        <w:spacing w:after="60" w:before="180"/>
      </w:pPr>
      <w:r>
        <w:rPr>
          <w:rFonts w:ascii="Arial" w:cs="Arial" w:eastAsia="Arial" w:hAnsi="Arial"/>
          <w:b/>
          <w:bCs/>
          <w:color w:val="00B4C8"/>
          <w:sz w:val="22"/>
          <w:szCs w:val="22"/>
        </w:rPr>
        <w:t>Phase 7 Current State &amp; Launch Re-Baseline</w:t>
      </w:r>
    </w:p>
    <w:p>
      <w:pPr>
        <w:pStyle w:val="ListParagraph"/>
        <w:numPr>
          <w:ilvl w:val="0"/>
          <w:numId w:val="2"/>
        </w:numPr>
        <w:spacing w:after="40" w:before="40"/>
      </w:pPr>
      <w:r>
        <w:rPr>
          <w:rFonts w:ascii="Arial" w:cs="Arial" w:eastAsia="Arial" w:hAnsi="Arial"/>
          <w:b w:val="false"/>
          <w:bCs w:val="false"/>
          <w:sz w:val="20"/>
          <w:szCs w:val="20"/>
        </w:rPr>
        <w:t>Current completed engineering milestone: 0.7.1b. Trial, entitlement, patient-capacity, downgrade-preservation, and household-role foundations are merged and production-tested. The next implementation target is 0.7.2a: native StoreKit and Google Play Billing integration.</w:t>
      </w:r>
    </w:p>
    <w:p>
      <w:pPr>
        <w:pStyle w:val="ListParagraph"/>
        <w:numPr>
          <w:ilvl w:val="0"/>
          <w:numId w:val="2"/>
        </w:numPr>
        <w:spacing w:after="40" w:before="40"/>
      </w:pPr>
      <w:r>
        <w:rPr>
          <w:rFonts w:ascii="Arial" w:cs="Arial" w:eastAsia="Arial" w:hAnsi="Arial"/>
          <w:b w:val="false"/>
          <w:bCs w:val="false"/>
          <w:sz w:val="20"/>
          <w:szCs w:val="20"/>
        </w:rPr>
        <w:t>The September 2026 launch deadline was missed. The working public-launch window is October-November 2026 and is gated by completion of payment/entitlement work plus store testing and review.</w:t>
      </w:r>
    </w:p>
    <w:p>
      <w:pPr>
        <w:pStyle w:val="ListParagraph"/>
        <w:numPr>
          <w:ilvl w:val="0"/>
          <w:numId w:val="2"/>
        </w:numPr>
        <w:spacing w:after="40" w:before="40"/>
      </w:pPr>
      <w:r>
        <w:rPr>
          <w:rFonts w:ascii="Arial" w:cs="Arial" w:eastAsia="Arial" w:hAnsi="Arial"/>
          <w:b w:val="false"/>
          <w:bCs w:val="false"/>
          <w:sz w:val="20"/>
          <w:szCs w:val="20"/>
        </w:rPr>
        <w:t>iOS and Android now move in parallel. Apple is no longer a deferred fast-follow: Apple Developer enrollment, provisioning, native Apple ID sign-in, Google sign-in on iPad, and physical-device iOS validation are already complete.</w:t>
      </w:r>
    </w:p>
    <w:p>
      <w:pPr>
        <w:pStyle w:val="ListParagraph"/>
        <w:numPr>
          <w:ilvl w:val="0"/>
          <w:numId w:val="2"/>
        </w:numPr>
        <w:spacing w:after="40" w:before="40"/>
      </w:pPr>
      <w:r>
        <w:rPr>
          <w:rFonts w:ascii="Arial" w:cs="Arial" w:eastAsia="Arial" w:hAnsi="Arial"/>
          <w:b w:val="false"/>
          <w:bCs w:val="false"/>
          <w:sz w:val="20"/>
          <w:szCs w:val="20"/>
        </w:rPr>
        <w:t>Store Beta is a release-candidate milestone, not launch. Production Launch occurs only when Vitals is publicly available in both stores.</w:t>
      </w:r>
    </w:p>
    <w:p>
      <w:pPr>
        <w:spacing w:after="60" w:before="180"/>
      </w:pPr>
      <w:r>
        <w:rPr>
          <w:rFonts w:ascii="Arial" w:cs="Arial" w:eastAsia="Arial" w:hAnsi="Arial"/>
          <w:b/>
          <w:bCs/>
          <w:color w:val="00B4C8"/>
          <w:sz w:val="22"/>
          <w:szCs w:val="22"/>
        </w:rPr>
        <w:t>Commercial Access Model</w:t>
      </w:r>
    </w:p>
    <w:p>
      <w:pPr>
        <w:pStyle w:val="ListParagraph"/>
        <w:numPr>
          <w:ilvl w:val="0"/>
          <w:numId w:val="2"/>
        </w:numPr>
        <w:spacing w:after="40" w:before="40"/>
      </w:pPr>
      <w:r>
        <w:rPr>
          <w:rFonts w:ascii="Arial" w:cs="Arial" w:eastAsia="Arial" w:hAnsi="Arial"/>
          <w:b w:val="false"/>
          <w:bCs w:val="false"/>
          <w:sz w:val="20"/>
          <w:szCs w:val="20"/>
        </w:rPr>
        <w:t>One-time household trial: every newly created household receives 30 days of full Premium access with no payment method or subscription required. The trial begins when the household is created and can never be restarted for that household.</w:t>
      </w:r>
    </w:p>
    <w:p>
      <w:pPr>
        <w:pStyle w:val="ListParagraph"/>
        <w:numPr>
          <w:ilvl w:val="0"/>
          <w:numId w:val="2"/>
        </w:numPr>
        <w:spacing w:after="40" w:before="40"/>
      </w:pPr>
      <w:r>
        <w:rPr>
          <w:rFonts w:ascii="Arial" w:cs="Arial" w:eastAsia="Arial" w:hAnsi="Arial"/>
          <w:b w:val="false"/>
          <w:bCs w:val="false"/>
          <w:sz w:val="20"/>
          <w:szCs w:val="20"/>
        </w:rPr>
        <w:t>Trial capacity: up to 5 patient profiles and the complete Premium feature set so Vitals can prove its value before asking the household to pay.</w:t>
      </w:r>
    </w:p>
    <w:p>
      <w:pPr>
        <w:pStyle w:val="ListParagraph"/>
        <w:numPr>
          <w:ilvl w:val="0"/>
          <w:numId w:val="2"/>
        </w:numPr>
        <w:spacing w:after="40" w:before="40"/>
      </w:pPr>
      <w:r>
        <w:rPr>
          <w:rFonts w:ascii="Arial" w:cs="Arial" w:eastAsia="Arial" w:hAnsi="Arial"/>
          <w:b w:val="false"/>
          <w:bCs w:val="false"/>
          <w:sz w:val="20"/>
          <w:szCs w:val="20"/>
        </w:rPr>
        <w:t>Onboarding keeps plan CTAs but also offers a clear decide-later path: the user can continue without choosing a paid plan and is told that the household has 30 days of full access before falling back to Basic.</w:t>
      </w:r>
    </w:p>
    <w:p>
      <w:pPr>
        <w:pStyle w:val="ListParagraph"/>
        <w:numPr>
          <w:ilvl w:val="0"/>
          <w:numId w:val="2"/>
        </w:numPr>
        <w:spacing w:after="40" w:before="40"/>
      </w:pPr>
      <w:r>
        <w:rPr>
          <w:rFonts w:ascii="Arial" w:cs="Arial" w:eastAsia="Arial" w:hAnsi="Arial"/>
          <w:b w:val="false"/>
          <w:bCs w:val="false"/>
          <w:sz w:val="20"/>
          <w:szCs w:val="20"/>
        </w:rPr>
        <w:t>Planned launch pricing (pending final App Store Connect / Google Play product configuration): Standard $10/month or $89/year; Family $20/month or $189/year. Vitals intends the same advertised U.S. price on Apple and Google and absorbs platform commission differences.</w:t>
      </w:r>
    </w:p>
    <w:p>
      <w:pPr>
        <w:spacing w:after="60" w:before="180"/>
      </w:pPr>
      <w:r>
        <w:rPr>
          <w:rFonts w:ascii="Arial" w:cs="Arial" w:eastAsia="Arial" w:hAnsi="Arial"/>
          <w:b/>
          <w:bCs/>
          <w:color w:val="00B4C8"/>
          <w:sz w:val="22"/>
          <w:szCs w:val="22"/>
        </w:rPr>
        <w:t>Plan Definitions</w:t>
      </w:r>
    </w:p>
    <w:p>
      <w:pPr>
        <w:pStyle w:val="ListParagraph"/>
        <w:numPr>
          <w:ilvl w:val="0"/>
          <w:numId w:val="2"/>
        </w:numPr>
        <w:spacing w:after="40" w:before="40"/>
      </w:pPr>
      <w:r>
        <w:rPr>
          <w:rFonts w:ascii="Arial" w:cs="Arial" w:eastAsia="Arial" w:hAnsi="Arial"/>
          <w:b w:val="false"/>
          <w:bCs w:val="false"/>
          <w:sz w:val="20"/>
          <w:szCs w:val="20"/>
        </w:rPr>
        <w:t>Basic - 2 active patients. Core vitals entry/history, medication tracking, and care-team tracking remain available. Medication and provider counts are not artificially capped.</w:t>
      </w:r>
    </w:p>
    <w:p>
      <w:pPr>
        <w:pStyle w:val="ListParagraph"/>
        <w:numPr>
          <w:ilvl w:val="0"/>
          <w:numId w:val="2"/>
        </w:numPr>
        <w:spacing w:after="40" w:before="40"/>
      </w:pPr>
      <w:r>
        <w:rPr>
          <w:rFonts w:ascii="Arial" w:cs="Arial" w:eastAsia="Arial" w:hAnsi="Arial"/>
          <w:b w:val="false"/>
          <w:bCs w:val="false"/>
          <w:sz w:val="20"/>
          <w:szCs w:val="20"/>
        </w:rPr>
        <w:t>Standard - replaces the former Individual tier. Supports 2 patient profiles, full Premium features, and one household manager: the household owner. Both patients may have their own Vitals user login through the household invite flow, but only the owner can invite/manage the household.</w:t>
      </w:r>
    </w:p>
    <w:p>
      <w:pPr>
        <w:pStyle w:val="ListParagraph"/>
        <w:numPr>
          <w:ilvl w:val="0"/>
          <w:numId w:val="2"/>
        </w:numPr>
        <w:spacing w:after="40" w:before="40"/>
      </w:pPr>
      <w:r>
        <w:rPr>
          <w:rFonts w:ascii="Arial" w:cs="Arial" w:eastAsia="Arial" w:hAnsi="Arial"/>
          <w:b w:val="false"/>
          <w:bCs w:val="false"/>
          <w:sz w:val="20"/>
          <w:szCs w:val="20"/>
        </w:rPr>
        <w:t>Family - supports up to 5 patient profiles with the same Premium feature set as Standard. The household owner may grant household-management permission to other Family members.</w:t>
      </w:r>
    </w:p>
    <w:p>
      <w:pPr>
        <w:pStyle w:val="ListParagraph"/>
        <w:numPr>
          <w:ilvl w:val="0"/>
          <w:numId w:val="2"/>
        </w:numPr>
        <w:spacing w:after="40" w:before="40"/>
      </w:pPr>
      <w:r>
        <w:rPr>
          <w:rFonts w:ascii="Arial" w:cs="Arial" w:eastAsia="Arial" w:hAnsi="Arial"/>
          <w:b w:val="false"/>
          <w:bCs w:val="false"/>
          <w:sz w:val="20"/>
          <w:szCs w:val="20"/>
        </w:rPr>
        <w:t>The difference between Standard and Family is household capacity and management delegation, not clinical features. Standard and Family receive the same Premium feature set.</w:t>
      </w:r>
    </w:p>
    <w:p>
      <w:pPr>
        <w:pStyle w:val="ListParagraph"/>
        <w:numPr>
          <w:ilvl w:val="0"/>
          <w:numId w:val="2"/>
        </w:numPr>
        <w:spacing w:after="40" w:before="40"/>
      </w:pPr>
      <w:r>
        <w:rPr>
          <w:rFonts w:ascii="Arial" w:cs="Arial" w:eastAsia="Arial" w:hAnsi="Arial"/>
          <w:b w:val="false"/>
          <w:bCs w:val="false"/>
          <w:sz w:val="20"/>
          <w:szCs w:val="20"/>
        </w:rPr>
        <w:t>Founder - permanent complimentary full Premium access, unlimited patient capacity, no billing, no expiration, and no downgrade path. Reserved for founding/alpha households.</w:t>
      </w:r>
    </w:p>
    <w:p>
      <w:pPr>
        <w:pStyle w:val="ListParagraph"/>
        <w:numPr>
          <w:ilvl w:val="0"/>
          <w:numId w:val="2"/>
        </w:numPr>
        <w:spacing w:after="40" w:before="40"/>
      </w:pPr>
      <w:r>
        <w:rPr>
          <w:rFonts w:ascii="Arial" w:cs="Arial" w:eastAsia="Arial" w:hAnsi="Arial"/>
          <w:b w:val="false"/>
          <w:bCs w:val="false"/>
          <w:sz w:val="20"/>
          <w:szCs w:val="20"/>
        </w:rPr>
        <w:t>Beta - permanent complimentary full Premium access with the same unlimited/no-billing/no-expiration behavior as Founder, retained as a separate tier for administration, analytics, and messaging.</w:t>
      </w:r>
    </w:p>
    <w:p>
      <w:pPr>
        <w:pStyle w:val="ListParagraph"/>
        <w:numPr>
          <w:ilvl w:val="0"/>
          <w:numId w:val="2"/>
        </w:numPr>
        <w:spacing w:after="40" w:before="40"/>
      </w:pPr>
      <w:r>
        <w:rPr>
          <w:rFonts w:ascii="Arial" w:cs="Arial" w:eastAsia="Arial" w:hAnsi="Arial"/>
          <w:b w:val="false"/>
          <w:bCs w:val="false"/>
          <w:sz w:val="20"/>
          <w:szCs w:val="20"/>
        </w:rPr>
        <w:t>Entitlement precedence - Founder → Beta → active paid subscription → billing grace → active Trial → Basic. Effective patient capacity is resolved from the effective entitlement rather than stale stored plan values.</w:t>
      </w:r>
    </w:p>
    <w:p>
      <w:pPr>
        <w:spacing w:after="60" w:before="180"/>
      </w:pPr>
      <w:r>
        <w:rPr>
          <w:rFonts w:ascii="Arial" w:cs="Arial" w:eastAsia="Arial" w:hAnsi="Arial"/>
          <w:b/>
          <w:bCs/>
          <w:color w:val="00B4C8"/>
          <w:sz w:val="22"/>
          <w:szCs w:val="22"/>
        </w:rPr>
        <w:t>Basic Downgrade &amp; Premium Gating</w:t>
      </w:r>
    </w:p>
    <w:p>
      <w:pPr>
        <w:pStyle w:val="ListParagraph"/>
        <w:numPr>
          <w:ilvl w:val="0"/>
          <w:numId w:val="2"/>
        </w:numPr>
        <w:spacing w:after="40" w:before="40"/>
      </w:pPr>
      <w:r>
        <w:rPr>
          <w:rFonts w:ascii="Arial" w:cs="Arial" w:eastAsia="Arial" w:hAnsi="Arial"/>
          <w:b w:val="false"/>
          <w:bCs w:val="false"/>
          <w:sz w:val="20"/>
          <w:szCs w:val="20"/>
        </w:rPr>
        <w:t>When Trial or paid Premium access ends, the household falls to Basic. No patient or clinical data is deleted as a consequence of plan downgrade.</w:t>
      </w:r>
    </w:p>
    <w:p>
      <w:pPr>
        <w:pStyle w:val="ListParagraph"/>
        <w:numPr>
          <w:ilvl w:val="0"/>
          <w:numId w:val="2"/>
        </w:numPr>
        <w:spacing w:after="40" w:before="40"/>
      </w:pPr>
      <w:r>
        <w:rPr>
          <w:rFonts w:ascii="Arial" w:cs="Arial" w:eastAsia="Arial" w:hAnsi="Arial"/>
          <w:b w:val="false"/>
          <w:bCs w:val="false"/>
          <w:sz w:val="20"/>
          <w:szCs w:val="20"/>
        </w:rPr>
        <w:t>Premium-only areas are hidden or gated with an upgrade CTA: clinical analysis, graphs, new PDF generation, incident logging, doctor-visit logging, notes, and other Premium workflows.</w:t>
      </w:r>
    </w:p>
    <w:p>
      <w:pPr>
        <w:pStyle w:val="ListParagraph"/>
        <w:numPr>
          <w:ilvl w:val="0"/>
          <w:numId w:val="2"/>
        </w:numPr>
        <w:spacing w:after="40" w:before="40"/>
      </w:pPr>
      <w:r>
        <w:rPr>
          <w:rFonts w:ascii="Arial" w:cs="Arial" w:eastAsia="Arial" w:hAnsi="Arial"/>
          <w:b w:val="false"/>
          <w:bCs w:val="false"/>
          <w:sz w:val="20"/>
          <w:szCs w:val="20"/>
        </w:rPr>
        <w:t>Previously generated PDFs that were already saved to a device remain accessible as local files. Attempting to generate a new PDF requires Premium and triggers the upgrade CTA.</w:t>
      </w:r>
    </w:p>
    <w:p>
      <w:pPr>
        <w:pStyle w:val="ListParagraph"/>
        <w:numPr>
          <w:ilvl w:val="0"/>
          <w:numId w:val="2"/>
        </w:numPr>
        <w:spacing w:after="40" w:before="40"/>
      </w:pPr>
      <w:r>
        <w:rPr>
          <w:rFonts w:ascii="Arial" w:cs="Arial" w:eastAsia="Arial" w:hAnsi="Arial"/>
          <w:b w:val="false"/>
          <w:bCs w:val="false"/>
          <w:sz w:val="20"/>
          <w:szCs w:val="20"/>
        </w:rPr>
        <w:t>If more than 2 patients exist when the household falls to Basic or Standard, the household must explicitly choose exactly 2 profiles to remain active. Before saving, Vitals uses clear, calm language that nothing is deleted, the other profiles and clinical history remain safely stored, and access returns when the plan supports them.</w:t>
      </w:r>
    </w:p>
    <w:p>
      <w:pPr>
        <w:pStyle w:val="ListParagraph"/>
        <w:numPr>
          <w:ilvl w:val="0"/>
          <w:numId w:val="2"/>
        </w:numPr>
        <w:spacing w:after="40" w:before="40"/>
      </w:pPr>
      <w:r>
        <w:rPr>
          <w:rFonts w:ascii="Arial" w:cs="Arial" w:eastAsia="Arial" w:hAnsi="Arial"/>
          <w:b w:val="false"/>
          <w:bCs w:val="false"/>
          <w:sz w:val="20"/>
          <w:szCs w:val="20"/>
        </w:rPr>
        <w:t>The unselected patient profiles and all of their historical data remain stored but entitlement-locked. Upgrading to Family restores access automatically. The prior active-patient selection is retained so a later downgrade can reuse the same active set without forcing a new choice unless the patient composition requires one.</w:t>
      </w:r>
    </w:p>
    <w:p>
      <w:pPr>
        <w:spacing w:after="60" w:before="180"/>
      </w:pPr>
      <w:r>
        <w:rPr>
          <w:rFonts w:ascii="Arial" w:cs="Arial" w:eastAsia="Arial" w:hAnsi="Arial"/>
          <w:b/>
          <w:bCs/>
          <w:color w:val="00B4C8"/>
          <w:sz w:val="22"/>
          <w:szCs w:val="22"/>
        </w:rPr>
        <w:t>Household Governance &amp; Billing Ownership</w:t>
      </w:r>
    </w:p>
    <w:p>
      <w:pPr>
        <w:pStyle w:val="ListParagraph"/>
        <w:numPr>
          <w:ilvl w:val="0"/>
          <w:numId w:val="2"/>
        </w:numPr>
        <w:spacing w:after="40" w:before="40"/>
      </w:pPr>
      <w:r>
        <w:rPr>
          <w:rFonts w:ascii="Arial" w:cs="Arial" w:eastAsia="Arial" w:hAnsi="Arial"/>
          <w:b w:val="false"/>
          <w:bCs w:val="false"/>
          <w:sz w:val="20"/>
          <w:szCs w:val="20"/>
        </w:rPr>
        <w:t>Household entitlement is the source of truth for Trial, Basic, Standard, and Family access. The entitlement applies to every signed-in device associated with that household.</w:t>
      </w:r>
    </w:p>
    <w:p>
      <w:pPr>
        <w:pStyle w:val="ListParagraph"/>
        <w:numPr>
          <w:ilvl w:val="0"/>
          <w:numId w:val="2"/>
        </w:numPr>
        <w:spacing w:after="40" w:before="40"/>
      </w:pPr>
      <w:r>
        <w:rPr>
          <w:rFonts w:ascii="Arial" w:cs="Arial" w:eastAsia="Arial" w:hAnsi="Arial"/>
          <w:b w:val="false"/>
          <w:bCs w:val="false"/>
          <w:sz w:val="20"/>
          <w:szCs w:val="20"/>
        </w:rPr>
        <w:t>Vitals distinguishes Household Owner, delegated Household Manager, Billing Owner, and the underlying Apple/Google Store Account. These roles are related but not interchangeable.</w:t>
      </w:r>
    </w:p>
    <w:p>
      <w:pPr>
        <w:pStyle w:val="ListParagraph"/>
        <w:numPr>
          <w:ilvl w:val="0"/>
          <w:numId w:val="2"/>
        </w:numPr>
        <w:spacing w:after="40" w:before="40"/>
      </w:pPr>
      <w:r>
        <w:rPr>
          <w:rFonts w:ascii="Arial" w:cs="Arial" w:eastAsia="Arial" w:hAnsi="Arial"/>
          <w:b w:val="false"/>
          <w:bCs w:val="false"/>
          <w:sz w:val="20"/>
          <w:szCs w:val="20"/>
        </w:rPr>
        <w:t>Standard: the household owner is the sole household manager. Ownership may be transferred to another user, which ends the former owner's household-management authority.</w:t>
      </w:r>
    </w:p>
    <w:p>
      <w:pPr>
        <w:pStyle w:val="ListParagraph"/>
        <w:numPr>
          <w:ilvl w:val="0"/>
          <w:numId w:val="2"/>
        </w:numPr>
        <w:spacing w:after="40" w:before="40"/>
      </w:pPr>
      <w:r>
        <w:rPr>
          <w:rFonts w:ascii="Arial" w:cs="Arial" w:eastAsia="Arial" w:hAnsi="Arial"/>
          <w:b w:val="false"/>
          <w:bCs w:val="false"/>
          <w:sz w:val="20"/>
          <w:szCs w:val="20"/>
        </w:rPr>
        <w:t>Family: the owner may delegate household-management permission. If no paid subscription exists, any authorized manager may purchase and upgrade the entire household; that purchaser becomes the Billing Owner for that store subscription.</w:t>
      </w:r>
    </w:p>
    <w:p>
      <w:pPr>
        <w:pStyle w:val="ListParagraph"/>
        <w:numPr>
          <w:ilvl w:val="0"/>
          <w:numId w:val="2"/>
        </w:numPr>
        <w:spacing w:after="40" w:before="40"/>
      </w:pPr>
      <w:r>
        <w:rPr>
          <w:rFonts w:ascii="Arial" w:cs="Arial" w:eastAsia="Arial" w:hAnsi="Arial"/>
          <w:b w:val="false"/>
          <w:bCs w:val="false"/>
          <w:sz w:val="20"/>
          <w:szCs w:val="20"/>
        </w:rPr>
        <w:t>A store subscription remains tied to the Apple or Google account that purchased it. Transferring Vitals household ownership does not transfer the underlying store payment method or store subscription ownership.</w:t>
      </w:r>
    </w:p>
    <w:p>
      <w:pPr>
        <w:pStyle w:val="ListParagraph"/>
        <w:numPr>
          <w:ilvl w:val="0"/>
          <w:numId w:val="2"/>
        </w:numPr>
        <w:spacing w:after="40" w:before="40"/>
      </w:pPr>
      <w:r>
        <w:rPr>
          <w:rFonts w:ascii="Arial" w:cs="Arial" w:eastAsia="Arial" w:hAnsi="Arial"/>
          <w:b w:val="false"/>
          <w:bCs w:val="false"/>
          <w:sz w:val="20"/>
          <w:szCs w:val="20"/>
        </w:rPr>
        <w:t>One active Apple/Google subscription may be associated with only one Vitals household unless explicitly migrated through support. Restore Purchases must verify store ownership and attach the entitlement only when it is valid and safe for the currently authenticated household.</w:t>
      </w:r>
    </w:p>
    <w:p>
      <w:pPr>
        <w:spacing w:after="60" w:before="180"/>
      </w:pPr>
      <w:r>
        <w:rPr>
          <w:rFonts w:ascii="Arial" w:cs="Arial" w:eastAsia="Arial" w:hAnsi="Arial"/>
          <w:b/>
          <w:bCs/>
          <w:color w:val="00B4C8"/>
          <w:sz w:val="22"/>
          <w:szCs w:val="22"/>
        </w:rPr>
        <w:t>Payment Architecture</w:t>
      </w:r>
    </w:p>
    <w:p>
      <w:pPr>
        <w:pStyle w:val="ListParagraph"/>
        <w:numPr>
          <w:ilvl w:val="0"/>
          <w:numId w:val="2"/>
        </w:numPr>
        <w:spacing w:after="40" w:before="40"/>
      </w:pPr>
      <w:r>
        <w:rPr>
          <w:rFonts w:ascii="Arial" w:cs="Arial" w:eastAsia="Arial" w:hAnsi="Arial"/>
          <w:b w:val="false"/>
          <w:bCs w:val="false"/>
          <w:sz w:val="20"/>
          <w:szCs w:val="20"/>
        </w:rPr>
        <w:t>iOS/iPadOS: Apple In-App Purchase using StoreKit. Apple Pay is not used for the digital Vitals subscription.</w:t>
      </w:r>
    </w:p>
    <w:p>
      <w:pPr>
        <w:pStyle w:val="ListParagraph"/>
        <w:numPr>
          <w:ilvl w:val="0"/>
          <w:numId w:val="2"/>
        </w:numPr>
        <w:spacing w:after="40" w:before="40"/>
      </w:pPr>
      <w:r>
        <w:rPr>
          <w:rFonts w:ascii="Arial" w:cs="Arial" w:eastAsia="Arial" w:hAnsi="Arial"/>
          <w:b w:val="false"/>
          <w:bCs w:val="false"/>
          <w:sz w:val="20"/>
          <w:szCs w:val="20"/>
        </w:rPr>
        <w:t>Android: Google Play Billing for digital subscription purchases.</w:t>
      </w:r>
    </w:p>
    <w:p>
      <w:pPr>
        <w:pStyle w:val="ListParagraph"/>
        <w:numPr>
          <w:ilvl w:val="0"/>
          <w:numId w:val="2"/>
        </w:numPr>
        <w:spacing w:after="40" w:before="40"/>
      </w:pPr>
      <w:r>
        <w:rPr>
          <w:rFonts w:ascii="Arial" w:cs="Arial" w:eastAsia="Arial" w:hAnsi="Arial"/>
          <w:b w:val="false"/>
          <w:bCs w:val="false"/>
          <w:sz w:val="20"/>
          <w:szCs w:val="20"/>
        </w:rPr>
        <w:t>Stripe is removed from the mobile MVP and moved to post-launch development for future direct/web billing. Phase 7 does not embed Stripe checkout in the iOS or Android app.</w:t>
      </w:r>
    </w:p>
    <w:p>
      <w:pPr>
        <w:pStyle w:val="ListParagraph"/>
        <w:numPr>
          <w:ilvl w:val="0"/>
          <w:numId w:val="2"/>
        </w:numPr>
        <w:spacing w:after="40" w:before="40"/>
      </w:pPr>
      <w:r>
        <w:rPr>
          <w:rFonts w:ascii="Arial" w:cs="Arial" w:eastAsia="Arial" w:hAnsi="Arial"/>
          <w:b w:val="false"/>
          <w:bCs w:val="false"/>
          <w:sz w:val="20"/>
          <w:szCs w:val="20"/>
        </w:rPr>
        <w:t>The Vitals backend is authoritative for household entitlements. A successful client-side purchase is not sufficient by itself: the app sends the Apple transaction or Google purchase token to the API, the backend verifies it, and only then grants/updates the household entitlement.</w:t>
      </w:r>
    </w:p>
    <w:p>
      <w:pPr>
        <w:pStyle w:val="ListParagraph"/>
        <w:numPr>
          <w:ilvl w:val="0"/>
          <w:numId w:val="2"/>
        </w:numPr>
        <w:spacing w:after="40" w:before="40"/>
      </w:pPr>
      <w:r>
        <w:rPr>
          <w:rFonts w:ascii="Arial" w:cs="Arial" w:eastAsia="Arial" w:hAnsi="Arial"/>
          <w:b w:val="false"/>
          <w:bCs w:val="false"/>
          <w:sz w:val="20"/>
          <w:szCs w:val="20"/>
        </w:rPr>
        <w:t>Apple/Google lifecycle notifications synchronize renewals, cancellations, refunds/revocations, expiration, and recovery. A purchase on one platform unlocks the same household on the other platform after backend verification.</w:t>
      </w:r>
    </w:p>
    <w:p>
      <w:pPr>
        <w:spacing w:after="60" w:before="180"/>
      </w:pPr>
      <w:r>
        <w:rPr>
          <w:rFonts w:ascii="Arial" w:cs="Arial" w:eastAsia="Arial" w:hAnsi="Arial"/>
          <w:b/>
          <w:bCs/>
          <w:color w:val="00B4C8"/>
          <w:sz w:val="22"/>
          <w:szCs w:val="22"/>
        </w:rPr>
        <w:t>Subscription Lifecycle Rules</w:t>
      </w:r>
    </w:p>
    <w:p>
      <w:pPr>
        <w:pStyle w:val="ListParagraph"/>
        <w:numPr>
          <w:ilvl w:val="0"/>
          <w:numId w:val="2"/>
        </w:numPr>
        <w:spacing w:after="40" w:before="40"/>
      </w:pPr>
      <w:r>
        <w:rPr>
          <w:rFonts w:ascii="Arial" w:cs="Arial" w:eastAsia="Arial" w:hAnsi="Arial"/>
          <w:b w:val="false"/>
          <w:bCs w:val="false"/>
          <w:sz w:val="20"/>
          <w:szCs w:val="20"/>
        </w:rPr>
        <w:t>Cancellation: Premium remains active through the already-paid monthly or annual term. At the paid-through date, the household falls to Basic unless another valid entitlement exists.</w:t>
      </w:r>
    </w:p>
    <w:p>
      <w:pPr>
        <w:pStyle w:val="ListParagraph"/>
        <w:numPr>
          <w:ilvl w:val="0"/>
          <w:numId w:val="2"/>
        </w:numPr>
        <w:spacing w:after="40" w:before="40"/>
      </w:pPr>
      <w:r>
        <w:rPr>
          <w:rFonts w:ascii="Arial" w:cs="Arial" w:eastAsia="Arial" w:hAnsi="Arial"/>
          <w:b w:val="false"/>
          <w:bCs w:val="false"/>
          <w:sz w:val="20"/>
          <w:szCs w:val="20"/>
        </w:rPr>
        <w:t>Failed renewal: existing paid households receive a Vitals-managed 5-day courtesy grace period before falling to Basic. If the store reports successful recovery during the grace period, Premium continues without interruption.</w:t>
      </w:r>
    </w:p>
    <w:p>
      <w:pPr>
        <w:pStyle w:val="ListParagraph"/>
        <w:numPr>
          <w:ilvl w:val="0"/>
          <w:numId w:val="2"/>
        </w:numPr>
        <w:spacing w:after="40" w:before="40"/>
      </w:pPr>
      <w:r>
        <w:rPr>
          <w:rFonts w:ascii="Arial" w:cs="Arial" w:eastAsia="Arial" w:hAnsi="Arial"/>
          <w:b w:val="false"/>
          <w:bCs w:val="false"/>
          <w:sz w:val="20"/>
          <w:szCs w:val="20"/>
        </w:rPr>
        <w:t>Failed initial purchase: no grace period. The household remains on its existing Trial or Basic entitlement because no successful paid subscription was established.</w:t>
      </w:r>
    </w:p>
    <w:p>
      <w:pPr>
        <w:pStyle w:val="ListParagraph"/>
        <w:numPr>
          <w:ilvl w:val="0"/>
          <w:numId w:val="2"/>
        </w:numPr>
        <w:spacing w:after="40" w:before="40"/>
      </w:pPr>
      <w:r>
        <w:rPr>
          <w:rFonts w:ascii="Arial" w:cs="Arial" w:eastAsia="Arial" w:hAnsi="Arial"/>
          <w:b w:val="false"/>
          <w:bCs w:val="false"/>
          <w:sz w:val="20"/>
          <w:szCs w:val="20"/>
        </w:rPr>
        <w:t>Resubscription after expiration restores eligible Premium access immediately after backend verification; no previously entered patient data is lost or requires backfill.</w:t>
      </w:r>
    </w:p>
    <w:p>
      <w:pPr>
        <w:spacing w:after="60" w:before="180"/>
      </w:pPr>
      <w:r>
        <w:rPr>
          <w:rFonts w:ascii="Arial" w:cs="Arial" w:eastAsia="Arial" w:hAnsi="Arial"/>
          <w:b/>
          <w:bCs/>
          <w:color w:val="00B4C8"/>
          <w:sz w:val="22"/>
          <w:szCs w:val="22"/>
        </w:rPr>
        <w:t>Account &amp; Data Deletion</w:t>
      </w:r>
    </w:p>
    <w:p>
      <w:pPr>
        <w:pStyle w:val="ListParagraph"/>
        <w:numPr>
          <w:ilvl w:val="0"/>
          <w:numId w:val="2"/>
        </w:numPr>
        <w:spacing w:after="40" w:before="40"/>
      </w:pPr>
      <w:r>
        <w:rPr>
          <w:rFonts w:ascii="Arial" w:cs="Arial" w:eastAsia="Arial" w:hAnsi="Arial"/>
          <w:b w:val="false"/>
          <w:bCs w:val="false"/>
          <w:sz w:val="20"/>
          <w:szCs w:val="20"/>
        </w:rPr>
        <w:t>Permanent patient deletion is a production requirement and is separate from plan-based patient locking. An authorized household owner/manager may permanently delete a patient profile only after a destructive warning and explicit confirmation, including confirming the patient identity/name.</w:t>
      </w:r>
    </w:p>
    <w:p>
      <w:pPr>
        <w:pStyle w:val="ListParagraph"/>
        <w:numPr>
          <w:ilvl w:val="0"/>
          <w:numId w:val="2"/>
        </w:numPr>
        <w:spacing w:after="40" w:before="40"/>
      </w:pPr>
      <w:r>
        <w:rPr>
          <w:rFonts w:ascii="Arial" w:cs="Arial" w:eastAsia="Arial" w:hAnsi="Arial"/>
          <w:b w:val="false"/>
          <w:bCs w:val="false"/>
          <w:sz w:val="20"/>
          <w:szCs w:val="20"/>
        </w:rPr>
        <w:t>Permanent patient deletion cascades through live patient-scoped server data: historical vitals, medication data, care-team data, incidents, visits, notes, patient preferences, analysis/cache records, and patient-user relationships. The action cannot be undone.</w:t>
      </w:r>
    </w:p>
    <w:p>
      <w:pPr>
        <w:pStyle w:val="ListParagraph"/>
        <w:numPr>
          <w:ilvl w:val="0"/>
          <w:numId w:val="2"/>
        </w:numPr>
        <w:spacing w:after="40" w:before="40"/>
      </w:pPr>
      <w:r>
        <w:rPr>
          <w:rFonts w:ascii="Arial" w:cs="Arial" w:eastAsia="Arial" w:hAnsi="Arial"/>
          <w:b w:val="false"/>
          <w:bCs w:val="false"/>
          <w:sz w:val="20"/>
          <w:szCs w:val="20"/>
        </w:rPr>
        <w:t>Previously exported PDFs saved locally on a user device are outside the server's control and are not remotely deleted.</w:t>
      </w:r>
    </w:p>
    <w:p>
      <w:pPr>
        <w:pStyle w:val="ListParagraph"/>
        <w:numPr>
          <w:ilvl w:val="0"/>
          <w:numId w:val="2"/>
        </w:numPr>
        <w:spacing w:after="40" w:before="40"/>
      </w:pPr>
      <w:r>
        <w:rPr>
          <w:rFonts w:ascii="Arial" w:cs="Arial" w:eastAsia="Arial" w:hAnsi="Arial"/>
          <w:b w:val="false"/>
          <w:bCs w:val="false"/>
          <w:sz w:val="20"/>
          <w:szCs w:val="20"/>
        </w:rPr>
        <w:t>User-account deletion and household deletion are separate workflows from patient deletion. Deleting a caregiver login must not automatically destroy another patient's record that is still managed by the household.</w:t>
      </w:r>
    </w:p>
    <w:p>
      <w:pPr>
        <w:pStyle w:val="ListParagraph"/>
        <w:numPr>
          <w:ilvl w:val="0"/>
          <w:numId w:val="2"/>
        </w:numPr>
        <w:spacing w:after="40" w:before="40"/>
      </w:pPr>
      <w:r>
        <w:rPr>
          <w:rFonts w:ascii="Arial" w:cs="Arial" w:eastAsia="Arial" w:hAnsi="Arial"/>
          <w:b w:val="false"/>
          <w:bCs w:val="false"/>
          <w:sz w:val="20"/>
          <w:szCs w:val="20"/>
        </w:rPr>
        <w:t>Privacy/retention language must accurately disclose that live application data can be hard-deleted while encrypted backups age out according to the production backup-retention policy.</w:t>
      </w:r>
    </w:p>
    <w:p>
      <w:pPr>
        <w:spacing w:after="60" w:before="180"/>
      </w:pPr>
      <w:r>
        <w:rPr>
          <w:rFonts w:ascii="Arial" w:cs="Arial" w:eastAsia="Arial" w:hAnsi="Arial"/>
          <w:b/>
          <w:bCs/>
          <w:color w:val="00B4C8"/>
          <w:sz w:val="22"/>
          <w:szCs w:val="22"/>
        </w:rPr>
        <w:t>Phase 7 Versioning Convention</w:t>
      </w:r>
    </w:p>
    <w:p>
      <w:pPr>
        <w:spacing w:after="60" w:before="60"/>
      </w:pPr>
      <w:r>
        <w:rPr>
          <w:rFonts w:ascii="Arial" w:cs="Arial" w:eastAsia="Arial" w:hAnsi="Arial"/>
          <w:sz w:val="20"/>
          <w:szCs w:val="20"/>
        </w:rPr>
        <w:t>Phase 7 uses an engineering version that maps directly to the milestone checklist. The numeric portion identifies the Phase 7 marker; an alphabetic suffix identifies component iterations within that marker. Store-facing versions remain numeric-only, with a unique monotonically increasing build number.</w:t>
      </w:r>
    </w:p>
    <w:p>
      <w:pPr>
        <w:pStyle w:val="ListParagraph"/>
        <w:numPr>
          <w:ilvl w:val="0"/>
          <w:numId w:val="2"/>
        </w:numPr>
        <w:spacing w:after="40" w:before="40"/>
      </w:pPr>
      <w:r>
        <w:rPr>
          <w:rFonts w:ascii="Arial" w:cs="Arial" w:eastAsia="Arial" w:hAnsi="Arial"/>
          <w:b w:val="false"/>
          <w:bCs w:val="false"/>
          <w:sz w:val="20"/>
          <w:szCs w:val="20"/>
        </w:rPr>
        <w:t>0.7.0 - historical Phase 7 baseline (completed).</w:t>
      </w:r>
    </w:p>
    <w:p>
      <w:pPr>
        <w:pStyle w:val="ListParagraph"/>
        <w:numPr>
          <w:ilvl w:val="0"/>
          <w:numId w:val="2"/>
        </w:numPr>
        <w:spacing w:after="40" w:before="40"/>
      </w:pPr>
      <w:r>
        <w:rPr>
          <w:rFonts w:ascii="Arial" w:cs="Arial" w:eastAsia="Arial" w:hAnsi="Arial"/>
          <w:b w:val="false"/>
          <w:bCs w:val="false"/>
          <w:sz w:val="20"/>
          <w:szCs w:val="20"/>
        </w:rPr>
        <w:t>0.7.1a - Trial Foundation (complete). 0.7.1b - Entitlement &amp; Authorization Foundation (complete). Next target: 0.7.2a for Store Billing Integrations.</w:t>
      </w:r>
    </w:p>
    <w:p>
      <w:pPr>
        <w:pStyle w:val="ListParagraph"/>
        <w:numPr>
          <w:ilvl w:val="0"/>
          <w:numId w:val="2"/>
        </w:numPr>
        <w:spacing w:after="40" w:before="40"/>
      </w:pPr>
      <w:r>
        <w:rPr>
          <w:rFonts w:ascii="Arial" w:cs="Arial" w:eastAsia="Arial" w:hAnsi="Arial"/>
          <w:b w:val="false"/>
          <w:bCs w:val="false"/>
          <w:sz w:val="20"/>
          <w:szCs w:val="20"/>
        </w:rPr>
        <w:t>Example store mapping: engineering 0.7.1a uses ApplicationDisplayVersion 0.7.1 plus a unique numeric ApplicationVersion/build. Letter suffixes are internal engineering labels and are not placed in Apple's numeric marketing version.</w:t>
      </w:r>
    </w:p>
    <w:p>
      <w:pPr>
        <w:spacing w:after="60" w:before="180"/>
      </w:pPr>
      <w:r>
        <w:rPr>
          <w:rFonts w:ascii="Arial" w:cs="Arial" w:eastAsia="Arial" w:hAnsi="Arial"/>
          <w:b/>
          <w:bCs/>
          <w:color w:val="00B4C8"/>
          <w:sz w:val="22"/>
          <w:szCs w:val="22"/>
        </w:rPr>
        <w:t>Milestone 0.7.1 - Trial &amp; Entitlement Foundation — COMPLETE</w:t>
      </w:r>
    </w:p>
    <w:p>
      <w:pPr>
        <w:spacing w:after="60" w:before="60"/>
      </w:pPr>
      <w:r>
        <w:rPr>
          <w:rFonts w:ascii="Arial" w:cs="Arial" w:eastAsia="Arial" w:hAnsi="Arial"/>
          <w:sz w:val="20"/>
          <w:szCs w:val="20"/>
        </w:rPr>
        <w:t>Milestone 0.7.1 was intentionally split into two engineering components. 0.7.1a established the one-time 30-day no-card Trial. 0.7.1b established the server-authoritative entitlement contract, effective patient capacity, Founder/Beta complimentary access, downgrade-preservation workflow, billing-owner separation, and household owner/manager authorization. Both components are merged, deployed, and production-tested. There is no separate trial_consumed database column; Trial state is represented by the household trial timestamps/status and the product rule that the household Trial cannot be restarted.</w:t>
      </w:r>
    </w:p>
    <w:p>
      <w:pPr>
        <w:spacing w:after="100" w:before="0"/>
      </w:pPr>
      <w:r>
        <w:rPr>
          <w:b/>
          <w:color w:val="2E7D32"/>
          <w:sz w:val="18"/>
        </w:rPr>
        <w:t>✅ 0.7.1a — Trial Foundation — COMPLETE (PR #40)</w:t>
      </w:r>
    </w:p>
    <w:p>
      <w:pPr>
        <w:spacing w:after="60" w:before="180"/>
      </w:pPr>
      <w:r>
        <w:rPr>
          <w:rFonts w:ascii="Arial" w:cs="Arial" w:eastAsia="Arial" w:hAnsi="Arial"/>
          <w:b/>
          <w:bCs/>
          <w:color w:val="00B4C8"/>
          <w:sz w:val="22"/>
          <w:szCs w:val="22"/>
        </w:rPr>
        <w:t>0.7.1a implementation delivered</w:t>
      </w:r>
    </w:p>
    <w:p>
      <w:pPr>
        <w:pStyle w:val="ListParagraph"/>
        <w:numPr>
          <w:ilvl w:val="0"/>
          <w:numId w:val="2"/>
        </w:numPr>
        <w:spacing w:after="40" w:before="40"/>
      </w:pPr>
      <w:r>
        <w:rPr>
          <w:rFonts w:ascii="Arial" w:cs="Arial" w:eastAsia="Arial" w:hAnsi="Arial"/>
          <w:b w:val="false"/>
          <w:bCs w:val="false"/>
          <w:sz w:val="20"/>
          <w:szCs w:val="20"/>
        </w:rPr>
        <w:t>One-time household Trial: 30 days of full Premium access, no payment method required, and up to 5 patient profiles.</w:t>
      </w:r>
    </w:p>
    <w:p>
      <w:pPr>
        <w:pStyle w:val="ListParagraph"/>
        <w:numPr>
          <w:ilvl w:val="0"/>
          <w:numId w:val="2"/>
        </w:numPr>
        <w:spacing w:after="40" w:before="40"/>
      </w:pPr>
      <w:r>
        <w:rPr>
          <w:rFonts w:ascii="Arial" w:cs="Arial" w:eastAsia="Arial" w:hAnsi="Arial"/>
          <w:b w:val="false"/>
          <w:bCs w:val="false"/>
          <w:sz w:val="20"/>
          <w:szCs w:val="20"/>
        </w:rPr>
        <w:t>Onboarding records plan intent (Standard, Family, or Decide Later/Trial) while each newly created household receives the same full-access Trial window.</w:t>
      </w:r>
    </w:p>
    <w:p>
      <w:pPr>
        <w:pStyle w:val="ListParagraph"/>
        <w:numPr>
          <w:ilvl w:val="0"/>
          <w:numId w:val="2"/>
        </w:numPr>
        <w:spacing w:after="40" w:before="40"/>
      </w:pPr>
      <w:r>
        <w:rPr>
          <w:rFonts w:ascii="Arial" w:cs="Arial" w:eastAsia="Arial" w:hAnsi="Arial"/>
          <w:b w:val="false"/>
          <w:bCs w:val="false"/>
          <w:sz w:val="20"/>
          <w:szCs w:val="20"/>
        </w:rPr>
        <w:t>New households persist trial_started_at and trial_ends_at; subscription_status=trial represents active Trial state.</w:t>
      </w:r>
    </w:p>
    <w:p>
      <w:pPr>
        <w:pStyle w:val="ListParagraph"/>
        <w:numPr>
          <w:ilvl w:val="0"/>
          <w:numId w:val="2"/>
        </w:numPr>
        <w:spacing w:after="40" w:before="40"/>
      </w:pPr>
      <w:r>
        <w:rPr>
          <w:rFonts w:ascii="Arial" w:cs="Arial" w:eastAsia="Arial" w:hAnsi="Arial"/>
          <w:b w:val="false"/>
          <w:bCs w:val="false"/>
          <w:sz w:val="20"/>
          <w:szCs w:val="20"/>
        </w:rPr>
        <w:t>Backward-compatible request normalization retained for earlier onboarding values (individual → standard; free → trial).</w:t>
      </w:r>
    </w:p>
    <w:p>
      <w:pPr>
        <w:pStyle w:val="ListParagraph"/>
        <w:numPr>
          <w:ilvl w:val="0"/>
          <w:numId w:val="2"/>
        </w:numPr>
        <w:spacing w:after="40" w:before="40"/>
      </w:pPr>
      <w:r>
        <w:rPr>
          <w:rFonts w:ascii="Arial" w:cs="Arial" w:eastAsia="Arial" w:hAnsi="Arial"/>
          <w:b w:val="false"/>
          <w:bCs w:val="false"/>
          <w:sz w:val="20"/>
          <w:szCs w:val="20"/>
        </w:rPr>
        <w:t>Existing alpha households were intentionally not assigned retroactive expiration dates during rollout, preventing accidental lockout of active testers.</w:t>
      </w:r>
    </w:p>
    <w:p>
      <w:pPr>
        <w:pStyle w:val="ListParagraph"/>
        <w:numPr>
          <w:ilvl w:val="0"/>
          <w:numId w:val="2"/>
        </w:numPr>
        <w:spacing w:after="40" w:before="40"/>
      </w:pPr>
      <w:r>
        <w:rPr>
          <w:rFonts w:ascii="Arial" w:cs="Arial" w:eastAsia="Arial" w:hAnsi="Arial"/>
          <w:b w:val="false"/>
          <w:bCs w:val="false"/>
          <w:sz w:val="20"/>
          <w:szCs w:val="20"/>
        </w:rPr>
        <w:t>Store-safe display version remains numeric; the letter suffix is an internal engineering label.</w:t>
      </w:r>
    </w:p>
    <w:p>
      <w:pPr>
        <w:spacing w:after="60" w:before="180"/>
      </w:pPr>
      <w:r>
        <w:rPr>
          <w:rFonts w:ascii="Arial" w:cs="Arial" w:eastAsia="Arial" w:hAnsi="Arial"/>
          <w:b/>
          <w:bCs/>
          <w:color w:val="00B4C8"/>
          <w:sz w:val="22"/>
          <w:szCs w:val="22"/>
        </w:rPr>
        <w:t>0.7.1a acceptance validation</w:t>
      </w:r>
    </w:p>
    <w:p>
      <w:pPr>
        <w:pStyle w:val="ListParagraph"/>
        <w:numPr>
          <w:ilvl w:val="0"/>
          <w:numId w:val="2"/>
        </w:numPr>
        <w:spacing w:after="40" w:before="40"/>
      </w:pPr>
      <w:r>
        <w:rPr>
          <w:rFonts w:ascii="Arial" w:cs="Arial" w:eastAsia="Arial" w:hAnsi="Arial"/>
          <w:b w:val="false"/>
          <w:bCs w:val="false"/>
          <w:sz w:val="20"/>
          <w:szCs w:val="20"/>
        </w:rPr>
        <w:t>Standard onboarding creates a 30-day full-access Trial household with 5-patient capacity while preserving Standard as plan intent.</w:t>
      </w:r>
    </w:p>
    <w:p>
      <w:pPr>
        <w:pStyle w:val="ListParagraph"/>
        <w:numPr>
          <w:ilvl w:val="0"/>
          <w:numId w:val="2"/>
        </w:numPr>
        <w:spacing w:after="40" w:before="40"/>
      </w:pPr>
      <w:r>
        <w:rPr>
          <w:rFonts w:ascii="Arial" w:cs="Arial" w:eastAsia="Arial" w:hAnsi="Arial"/>
          <w:b w:val="false"/>
          <w:bCs w:val="false"/>
          <w:sz w:val="20"/>
          <w:szCs w:val="20"/>
        </w:rPr>
        <w:t>Family onboarding creates the same full-access Trial while preserving Family as plan intent.</w:t>
      </w:r>
    </w:p>
    <w:p>
      <w:pPr>
        <w:pStyle w:val="ListParagraph"/>
        <w:numPr>
          <w:ilvl w:val="0"/>
          <w:numId w:val="2"/>
        </w:numPr>
        <w:spacing w:after="40" w:before="40"/>
      </w:pPr>
      <w:r>
        <w:rPr>
          <w:rFonts w:ascii="Arial" w:cs="Arial" w:eastAsia="Arial" w:hAnsi="Arial"/>
          <w:b w:val="false"/>
          <w:bCs w:val="false"/>
          <w:sz w:val="20"/>
          <w:szCs w:val="20"/>
        </w:rPr>
        <w:t>Decide Later creates Trial intent with no card/payment-method requirement.</w:t>
      </w:r>
    </w:p>
    <w:p>
      <w:pPr>
        <w:pStyle w:val="ListParagraph"/>
        <w:numPr>
          <w:ilvl w:val="0"/>
          <w:numId w:val="2"/>
        </w:numPr>
        <w:spacing w:after="40" w:before="40"/>
      </w:pPr>
      <w:r>
        <w:rPr>
          <w:rFonts w:ascii="Arial" w:cs="Arial" w:eastAsia="Arial" w:hAnsi="Arial"/>
          <w:b w:val="false"/>
          <w:bCs w:val="false"/>
          <w:sz w:val="20"/>
          <w:szCs w:val="20"/>
        </w:rPr>
        <w:t>The onboarding flow continues into patient/personalization setup rather than stopping at plan selection.</w:t>
      </w:r>
    </w:p>
    <w:p>
      <w:pPr>
        <w:pStyle w:val="ListParagraph"/>
        <w:numPr>
          <w:ilvl w:val="0"/>
          <w:numId w:val="2"/>
        </w:numPr>
        <w:spacing w:after="40" w:before="40"/>
      </w:pPr>
      <w:r>
        <w:rPr>
          <w:rFonts w:ascii="Arial" w:cs="Arial" w:eastAsia="Arial" w:hAnsi="Arial"/>
          <w:b w:val="false"/>
          <w:bCs w:val="false"/>
          <w:sz w:val="20"/>
          <w:szCs w:val="20"/>
        </w:rPr>
        <w:t>Trial state is surfaced through the API contract and existing household sign-in remained unaffected.</w:t>
      </w:r>
    </w:p>
    <w:p>
      <w:pPr>
        <w:spacing w:after="100" w:before="0"/>
      </w:pPr>
      <w:r>
        <w:rPr>
          <w:b/>
          <w:color w:val="2E7D32"/>
          <w:sz w:val="18"/>
        </w:rPr>
        <w:t>✅ 0.7.1b — Entitlement &amp; Authorization Foundation — COMPLETE (PRs #41, #43, #44, #45, #47; #46 XAML hotfix)</w:t>
      </w:r>
    </w:p>
    <w:p>
      <w:pPr>
        <w:spacing w:after="60" w:before="180"/>
      </w:pPr>
      <w:r>
        <w:rPr>
          <w:rFonts w:ascii="Arial" w:cs="Arial" w:eastAsia="Arial" w:hAnsi="Arial"/>
          <w:b/>
          <w:bCs/>
          <w:color w:val="00B4C8"/>
          <w:sz w:val="22"/>
          <w:szCs w:val="22"/>
        </w:rPr>
        <w:t>0.7.1b implementation delivered</w:t>
      </w:r>
    </w:p>
    <w:p>
      <w:pPr>
        <w:pStyle w:val="ListParagraph"/>
        <w:numPr>
          <w:ilvl w:val="0"/>
          <w:numId w:val="2"/>
        </w:numPr>
        <w:spacing w:after="40" w:before="40"/>
      </w:pPr>
      <w:r>
        <w:rPr>
          <w:rFonts w:ascii="Arial" w:cs="Arial" w:eastAsia="Arial" w:hAnsi="Arial"/>
          <w:b w:val="false"/>
          <w:bCs w:val="false"/>
          <w:sz w:val="20"/>
          <w:szCs w:val="20"/>
        </w:rPr>
        <w:t>Household entitlement schema/API fields added for Household Owner, Billing Owner, billing provider/product, subscription start/end, grace end, cancel-at-period-end, and entitlement update timestamp.</w:t>
      </w:r>
    </w:p>
    <w:p>
      <w:pPr>
        <w:pStyle w:val="ListParagraph"/>
        <w:numPr>
          <w:ilvl w:val="0"/>
          <w:numId w:val="2"/>
        </w:numPr>
        <w:spacing w:after="40" w:before="40"/>
      </w:pPr>
      <w:r>
        <w:rPr>
          <w:rFonts w:ascii="Arial" w:cs="Arial" w:eastAsia="Arial" w:hAnsi="Arial"/>
          <w:b w:val="false"/>
          <w:bCs w:val="false"/>
          <w:sz w:val="20"/>
          <w:szCs w:val="20"/>
        </w:rPr>
        <w:t>Founder and Beta implemented as first-class permanent complimentary tiers with full Premium, unlimited patients, no billing, and no expiration.</w:t>
      </w:r>
    </w:p>
    <w:p>
      <w:pPr>
        <w:pStyle w:val="ListParagraph"/>
        <w:numPr>
          <w:ilvl w:val="0"/>
          <w:numId w:val="2"/>
        </w:numPr>
        <w:spacing w:after="40" w:before="40"/>
      </w:pPr>
      <w:r>
        <w:rPr>
          <w:rFonts w:ascii="Arial" w:cs="Arial" w:eastAsia="Arial" w:hAnsi="Arial"/>
          <w:b w:val="false"/>
          <w:bCs w:val="false"/>
          <w:sz w:val="20"/>
          <w:szCs w:val="20"/>
        </w:rPr>
        <w:t>Central resolver applies entitlement precedence: Founder → Beta → active paid subscription → billing grace → active Trial → Basic.</w:t>
      </w:r>
    </w:p>
    <w:p>
      <w:pPr>
        <w:pStyle w:val="ListParagraph"/>
        <w:numPr>
          <w:ilvl w:val="0"/>
          <w:numId w:val="2"/>
        </w:numPr>
        <w:spacing w:after="40" w:before="40"/>
      </w:pPr>
      <w:r>
        <w:rPr>
          <w:rFonts w:ascii="Arial" w:cs="Arial" w:eastAsia="Arial" w:hAnsi="Arial"/>
          <w:b w:val="false"/>
          <w:bCs w:val="false"/>
          <w:sz w:val="20"/>
          <w:szCs w:val="20"/>
        </w:rPr>
        <w:t>Effective patient capacity follows effective entitlement: Basic 2, Standard 2, Trial 5, Family 5, Founder/Beta unlimited. Patient creation, invite-slot calculation, and household join use the same resolver.</w:t>
      </w:r>
    </w:p>
    <w:p>
      <w:pPr>
        <w:pStyle w:val="ListParagraph"/>
        <w:numPr>
          <w:ilvl w:val="0"/>
          <w:numId w:val="2"/>
        </w:numPr>
        <w:spacing w:after="40" w:before="40"/>
      </w:pPr>
      <w:r>
        <w:rPr>
          <w:rFonts w:ascii="Arial" w:cs="Arial" w:eastAsia="Arial" w:hAnsi="Arial"/>
          <w:b w:val="false"/>
          <w:bCs w:val="false"/>
          <w:sz w:val="20"/>
          <w:szCs w:val="20"/>
        </w:rPr>
        <w:t>Over-capacity downgrade preservation added with patients.entitlement_locked / entitlement_locked_at. Patient rows and clinical history are preserved; the household selects the active profiles instead of deleting data.</w:t>
      </w:r>
    </w:p>
    <w:p>
      <w:pPr>
        <w:pStyle w:val="ListParagraph"/>
        <w:numPr>
          <w:ilvl w:val="0"/>
          <w:numId w:val="2"/>
        </w:numPr>
        <w:spacing w:after="40" w:before="40"/>
      </w:pPr>
      <w:r>
        <w:rPr>
          <w:rFonts w:ascii="Arial" w:cs="Arial" w:eastAsia="Arial" w:hAnsi="Arial"/>
          <w:b w:val="false"/>
          <w:bCs w:val="false"/>
          <w:sz w:val="20"/>
          <w:szCs w:val="20"/>
        </w:rPr>
        <w:t>MAUI routes to a dedicated Choose Active Patients screen when an explicit over-capacity selection is required; normal patient navigation filters currently locked profiles.</w:t>
      </w:r>
    </w:p>
    <w:p>
      <w:pPr>
        <w:pStyle w:val="ListParagraph"/>
        <w:numPr>
          <w:ilvl w:val="0"/>
          <w:numId w:val="2"/>
        </w:numPr>
        <w:spacing w:after="40" w:before="40"/>
      </w:pPr>
      <w:r>
        <w:rPr>
          <w:rFonts w:ascii="Arial" w:cs="Arial" w:eastAsia="Arial" w:hAnsi="Arial"/>
          <w:b w:val="false"/>
          <w:bCs w:val="false"/>
          <w:sz w:val="20"/>
          <w:szCs w:val="20"/>
        </w:rPr>
        <w:t>Capacity restoration automatically makes previously locked profiles available again without manual unlock SQL or clinical-data restoration. Previous selections are retained for later downgrade reuse.</w:t>
      </w:r>
    </w:p>
    <w:p>
      <w:pPr>
        <w:pStyle w:val="ListParagraph"/>
        <w:numPr>
          <w:ilvl w:val="0"/>
          <w:numId w:val="2"/>
        </w:numPr>
        <w:spacing w:after="40" w:before="40"/>
      </w:pPr>
      <w:r>
        <w:rPr>
          <w:rFonts w:ascii="Arial" w:cs="Arial" w:eastAsia="Arial" w:hAnsi="Arial"/>
          <w:b w:val="false"/>
          <w:bCs w:val="false"/>
          <w:sz w:val="20"/>
          <w:szCs w:val="20"/>
        </w:rPr>
        <w:t>Household authorization is server-authoritative: households.owner_user_id is the owner source of truth; Basic/Standard are owner-managed; Family permits delegated managers; billing authority remains separate.</w:t>
      </w:r>
    </w:p>
    <w:p>
      <w:pPr>
        <w:pStyle w:val="ListParagraph"/>
        <w:numPr>
          <w:ilvl w:val="0"/>
          <w:numId w:val="2"/>
        </w:numPr>
        <w:spacing w:after="40" w:before="40"/>
      </w:pPr>
      <w:r>
        <w:rPr>
          <w:rFonts w:ascii="Arial" w:cs="Arial" w:eastAsia="Arial" w:hAnsi="Arial"/>
          <w:b w:val="false"/>
          <w:bCs w:val="false"/>
          <w:sz w:val="20"/>
          <w:szCs w:val="20"/>
        </w:rPr>
        <w:t>Household invite create/list/cancel and over-capacity patient selection are protected by centralized household-management authorization.</w:t>
      </w:r>
    </w:p>
    <w:p>
      <w:pPr>
        <w:pStyle w:val="ListParagraph"/>
        <w:numPr>
          <w:ilvl w:val="0"/>
          <w:numId w:val="2"/>
        </w:numPr>
        <w:spacing w:after="40" w:before="40"/>
      </w:pPr>
      <w:r>
        <w:rPr>
          <w:rFonts w:ascii="Arial" w:cs="Arial" w:eastAsia="Arial" w:hAnsi="Arial"/>
          <w:b w:val="false"/>
          <w:bCs w:val="false"/>
          <w:sz w:val="20"/>
          <w:szCs w:val="20"/>
        </w:rPr>
        <w:t>Production schema migrations were applied before API rollout where required; PR #47 role authorization required no database migration.</w:t>
      </w:r>
    </w:p>
    <w:p>
      <w:pPr>
        <w:spacing w:after="60" w:before="180"/>
      </w:pPr>
      <w:r>
        <w:rPr>
          <w:rFonts w:ascii="Arial" w:cs="Arial" w:eastAsia="Arial" w:hAnsi="Arial"/>
          <w:b/>
          <w:bCs/>
          <w:color w:val="00B4C8"/>
          <w:sz w:val="22"/>
          <w:szCs w:val="22"/>
        </w:rPr>
        <w:t>0.7.1b production validation record</w:t>
      </w:r>
    </w:p>
    <w:p>
      <w:pPr>
        <w:pStyle w:val="ListParagraph"/>
        <w:numPr>
          <w:ilvl w:val="0"/>
          <w:numId w:val="2"/>
        </w:numPr>
        <w:spacing w:after="40" w:before="40"/>
      </w:pPr>
      <w:r>
        <w:rPr>
          <w:rFonts w:ascii="Arial" w:cs="Arial" w:eastAsia="Arial" w:hAnsi="Arial"/>
          <w:b/>
          <w:bCs w:val="false"/>
          <w:sz w:val="20"/>
          <w:szCs w:val="20"/>
        </w:rPr>
        <w:t xml:space="preserve">Founder: </w:t>
      </w:r>
      <w:r>
        <w:rPr>
          <w:rFonts w:ascii="Arial" w:cs="Arial" w:eastAsia="Arial" w:hAnsi="Arial"/>
          <w:b w:val="0"/>
          <w:bCs w:val="false"/>
          <w:sz w:val="20"/>
          <w:szCs w:val="20"/>
        </w:rPr>
        <w:t>permanent Premium, unlimited patient capacity, no billing requirement, and no expiration downgrade verified.</w:t>
      </w:r>
    </w:p>
    <w:p>
      <w:pPr>
        <w:pStyle w:val="ListParagraph"/>
        <w:numPr>
          <w:ilvl w:val="0"/>
          <w:numId w:val="2"/>
        </w:numPr>
        <w:spacing w:after="40" w:before="40"/>
      </w:pPr>
      <w:r>
        <w:rPr>
          <w:rFonts w:ascii="Arial" w:cs="Arial" w:eastAsia="Arial" w:hAnsi="Arial"/>
          <w:b/>
          <w:bCs w:val="false"/>
          <w:sz w:val="20"/>
          <w:szCs w:val="20"/>
        </w:rPr>
        <w:t xml:space="preserve">Beta: </w:t>
      </w:r>
      <w:r>
        <w:rPr>
          <w:rFonts w:ascii="Arial" w:cs="Arial" w:eastAsia="Arial" w:hAnsi="Arial"/>
          <w:b w:val="0"/>
          <w:bCs w:val="false"/>
          <w:sz w:val="20"/>
          <w:szCs w:val="20"/>
        </w:rPr>
        <w:t>permanent Premium and unlimited capacity verified independently from Founder.</w:t>
      </w:r>
    </w:p>
    <w:p>
      <w:pPr>
        <w:pStyle w:val="ListParagraph"/>
        <w:numPr>
          <w:ilvl w:val="0"/>
          <w:numId w:val="2"/>
        </w:numPr>
        <w:spacing w:after="40" w:before="40"/>
      </w:pPr>
      <w:r>
        <w:rPr>
          <w:rFonts w:ascii="Arial" w:cs="Arial" w:eastAsia="Arial" w:hAnsi="Arial"/>
          <w:b/>
          <w:bCs w:val="false"/>
          <w:sz w:val="20"/>
          <w:szCs w:val="20"/>
        </w:rPr>
        <w:t xml:space="preserve">Basic: </w:t>
      </w:r>
      <w:r>
        <w:rPr>
          <w:rFonts w:ascii="Arial" w:cs="Arial" w:eastAsia="Arial" w:hAnsi="Arial"/>
          <w:b w:val="0"/>
          <w:bCs w:val="false"/>
          <w:sz w:val="20"/>
          <w:szCs w:val="20"/>
        </w:rPr>
        <w:t>no Premium access and effective 2-patient capacity verified.</w:t>
      </w:r>
    </w:p>
    <w:p>
      <w:pPr>
        <w:pStyle w:val="ListParagraph"/>
        <w:numPr>
          <w:ilvl w:val="0"/>
          <w:numId w:val="2"/>
        </w:numPr>
        <w:spacing w:after="40" w:before="40"/>
      </w:pPr>
      <w:r>
        <w:rPr>
          <w:rFonts w:ascii="Arial" w:cs="Arial" w:eastAsia="Arial" w:hAnsi="Arial"/>
          <w:b/>
          <w:bCs w:val="false"/>
          <w:sz w:val="20"/>
          <w:szCs w:val="20"/>
        </w:rPr>
        <w:t xml:space="preserve">Active Trial: </w:t>
      </w:r>
      <w:r>
        <w:rPr>
          <w:rFonts w:ascii="Arial" w:cs="Arial" w:eastAsia="Arial" w:hAnsi="Arial"/>
          <w:b w:val="0"/>
          <w:bCs w:val="false"/>
          <w:sz w:val="20"/>
          <w:szCs w:val="20"/>
        </w:rPr>
        <w:t>Premium access and 5-patient capacity verified.</w:t>
      </w:r>
    </w:p>
    <w:p>
      <w:pPr>
        <w:pStyle w:val="ListParagraph"/>
        <w:numPr>
          <w:ilvl w:val="0"/>
          <w:numId w:val="2"/>
        </w:numPr>
        <w:spacing w:after="40" w:before="40"/>
      </w:pPr>
      <w:r>
        <w:rPr>
          <w:rFonts w:ascii="Arial" w:cs="Arial" w:eastAsia="Arial" w:hAnsi="Arial"/>
          <w:b/>
          <w:bCs w:val="false"/>
          <w:sz w:val="20"/>
          <w:szCs w:val="20"/>
        </w:rPr>
        <w:t xml:space="preserve">Expired Trial: </w:t>
      </w:r>
      <w:r>
        <w:rPr>
          <w:rFonts w:ascii="Arial" w:cs="Arial" w:eastAsia="Arial" w:hAnsi="Arial"/>
          <w:b w:val="0"/>
          <w:bCs w:val="false"/>
          <w:sz w:val="20"/>
          <w:szCs w:val="20"/>
        </w:rPr>
        <w:t>initial testing exposed stale Trial capacity surviving effective Basic fallback; the resolver/capacity patch fixed the defect and retest returned Basic with limit 2.</w:t>
      </w:r>
    </w:p>
    <w:p>
      <w:pPr>
        <w:pStyle w:val="ListParagraph"/>
        <w:numPr>
          <w:ilvl w:val="0"/>
          <w:numId w:val="2"/>
        </w:numPr>
        <w:spacing w:after="40" w:before="40"/>
      </w:pPr>
      <w:r>
        <w:rPr>
          <w:rFonts w:ascii="Arial" w:cs="Arial" w:eastAsia="Arial" w:hAnsi="Arial"/>
          <w:b/>
          <w:bCs w:val="false"/>
          <w:sz w:val="20"/>
          <w:szCs w:val="20"/>
        </w:rPr>
        <w:t xml:space="preserve">Active Standard: </w:t>
      </w:r>
      <w:r>
        <w:rPr>
          <w:rFonts w:ascii="Arial" w:cs="Arial" w:eastAsia="Arial" w:hAnsi="Arial"/>
          <w:b w:val="0"/>
          <w:bCs w:val="false"/>
          <w:sz w:val="20"/>
          <w:szCs w:val="20"/>
        </w:rPr>
        <w:t>Premium access with 2-patient capacity verified.</w:t>
      </w:r>
    </w:p>
    <w:p>
      <w:pPr>
        <w:pStyle w:val="ListParagraph"/>
        <w:numPr>
          <w:ilvl w:val="0"/>
          <w:numId w:val="2"/>
        </w:numPr>
        <w:spacing w:after="40" w:before="40"/>
      </w:pPr>
      <w:r>
        <w:rPr>
          <w:rFonts w:ascii="Arial" w:cs="Arial" w:eastAsia="Arial" w:hAnsi="Arial"/>
          <w:b/>
          <w:bCs w:val="false"/>
          <w:sz w:val="20"/>
          <w:szCs w:val="20"/>
        </w:rPr>
        <w:t xml:space="preserve">Active Family: </w:t>
      </w:r>
      <w:r>
        <w:rPr>
          <w:rFonts w:ascii="Arial" w:cs="Arial" w:eastAsia="Arial" w:hAnsi="Arial"/>
          <w:b w:val="0"/>
          <w:bCs w:val="false"/>
          <w:sz w:val="20"/>
          <w:szCs w:val="20"/>
        </w:rPr>
        <w:t>Premium access with 5-patient capacity verified.</w:t>
      </w:r>
    </w:p>
    <w:p>
      <w:pPr>
        <w:pStyle w:val="ListParagraph"/>
        <w:numPr>
          <w:ilvl w:val="0"/>
          <w:numId w:val="2"/>
        </w:numPr>
        <w:spacing w:after="40" w:before="40"/>
      </w:pPr>
      <w:r>
        <w:rPr>
          <w:rFonts w:ascii="Arial" w:cs="Arial" w:eastAsia="Arial" w:hAnsi="Arial"/>
          <w:b/>
          <w:bCs w:val="false"/>
          <w:sz w:val="20"/>
          <w:szCs w:val="20"/>
        </w:rPr>
        <w:t xml:space="preserve">Active failed-renewal grace: </w:t>
      </w:r>
      <w:r>
        <w:rPr>
          <w:rFonts w:ascii="Arial" w:cs="Arial" w:eastAsia="Arial" w:hAnsi="Arial"/>
          <w:b w:val="0"/>
          <w:bCs w:val="false"/>
          <w:sz w:val="20"/>
          <w:szCs w:val="20"/>
        </w:rPr>
        <w:t>Premium remained active during grace, Family capacity remained 5, new purchase was blocked, and the Billing Owner retained billing-management authority.</w:t>
      </w:r>
    </w:p>
    <w:p>
      <w:pPr>
        <w:pStyle w:val="ListParagraph"/>
        <w:numPr>
          <w:ilvl w:val="0"/>
          <w:numId w:val="2"/>
        </w:numPr>
        <w:spacing w:after="40" w:before="40"/>
      </w:pPr>
      <w:r>
        <w:rPr>
          <w:rFonts w:ascii="Arial" w:cs="Arial" w:eastAsia="Arial" w:hAnsi="Arial"/>
          <w:b/>
          <w:bCs w:val="false"/>
          <w:sz w:val="20"/>
          <w:szCs w:val="20"/>
        </w:rPr>
        <w:t xml:space="preserve">Expired grace: </w:t>
      </w:r>
      <w:r>
        <w:rPr>
          <w:rFonts w:ascii="Arial" w:cs="Arial" w:eastAsia="Arial" w:hAnsi="Arial"/>
          <w:b w:val="0"/>
          <w:bCs w:val="false"/>
          <w:sz w:val="20"/>
          <w:szCs w:val="20"/>
        </w:rPr>
        <w:t>effective fallback to Basic verified with Premium disabled and 2-patient capacity.</w:t>
      </w:r>
    </w:p>
    <w:p>
      <w:pPr>
        <w:pStyle w:val="ListParagraph"/>
        <w:numPr>
          <w:ilvl w:val="0"/>
          <w:numId w:val="2"/>
        </w:numPr>
        <w:spacing w:after="40" w:before="40"/>
      </w:pPr>
      <w:r>
        <w:rPr>
          <w:rFonts w:ascii="Arial" w:cs="Arial" w:eastAsia="Arial" w:hAnsi="Arial"/>
          <w:b/>
          <w:bCs w:val="false"/>
          <w:sz w:val="20"/>
          <w:szCs w:val="20"/>
        </w:rPr>
        <w:t xml:space="preserve">Cancellation paid-through: </w:t>
      </w:r>
      <w:r>
        <w:rPr>
          <w:rFonts w:ascii="Arial" w:cs="Arial" w:eastAsia="Arial" w:hAnsi="Arial"/>
          <w:b w:val="0"/>
          <w:bCs w:val="false"/>
          <w:sz w:val="20"/>
          <w:szCs w:val="20"/>
        </w:rPr>
        <w:t>cancel_at_period_end preserved Premium through subscription_ends_at; moving the paid-through date into the past produced immediate Basic fallback.</w:t>
      </w:r>
    </w:p>
    <w:p>
      <w:pPr>
        <w:pStyle w:val="ListParagraph"/>
        <w:numPr>
          <w:ilvl w:val="0"/>
          <w:numId w:val="2"/>
        </w:numPr>
        <w:spacing w:after="40" w:before="40"/>
      </w:pPr>
      <w:r>
        <w:rPr>
          <w:rFonts w:ascii="Arial" w:cs="Arial" w:eastAsia="Arial" w:hAnsi="Arial"/>
          <w:b/>
          <w:bCs w:val="false"/>
          <w:sz w:val="20"/>
          <w:szCs w:val="20"/>
        </w:rPr>
        <w:t xml:space="preserve">Over-capacity paid expiration: </w:t>
      </w:r>
      <w:r>
        <w:rPr>
          <w:rFonts w:ascii="Arial" w:cs="Arial" w:eastAsia="Arial" w:hAnsi="Arial"/>
          <w:b w:val="0"/>
          <w:bCs w:val="false"/>
          <w:sz w:val="20"/>
          <w:szCs w:val="20"/>
        </w:rPr>
        <w:t>Family with 3 patients fell to effective Basic/limit 2 and correctly required active-patient selection before the first choice was saved.</w:t>
      </w:r>
    </w:p>
    <w:p>
      <w:pPr>
        <w:pStyle w:val="ListParagraph"/>
        <w:numPr>
          <w:ilvl w:val="0"/>
          <w:numId w:val="2"/>
        </w:numPr>
        <w:spacing w:after="40" w:before="40"/>
      </w:pPr>
      <w:r>
        <w:rPr>
          <w:rFonts w:ascii="Arial" w:cs="Arial" w:eastAsia="Arial" w:hAnsi="Arial"/>
          <w:b/>
          <w:bCs w:val="false"/>
          <w:sz w:val="20"/>
          <w:szCs w:val="20"/>
        </w:rPr>
        <w:t xml:space="preserve">Capacity enforcement: </w:t>
      </w:r>
      <w:r>
        <w:rPr>
          <w:rFonts w:ascii="Arial" w:cs="Arial" w:eastAsia="Arial" w:hAnsi="Arial"/>
          <w:b w:val="0"/>
          <w:bCs w:val="false"/>
          <w:sz w:val="20"/>
          <w:szCs w:val="20"/>
        </w:rPr>
        <w:t>attempting another patient create while effective Basic returned the plan-limit 403; household status reported zero available slots and can_invite=false.</w:t>
      </w:r>
    </w:p>
    <w:p>
      <w:pPr>
        <w:pStyle w:val="ListParagraph"/>
        <w:numPr>
          <w:ilvl w:val="0"/>
          <w:numId w:val="2"/>
        </w:numPr>
        <w:spacing w:after="40" w:before="40"/>
      </w:pPr>
      <w:r>
        <w:rPr>
          <w:rFonts w:ascii="Arial" w:cs="Arial" w:eastAsia="Arial" w:hAnsi="Arial"/>
          <w:b/>
          <w:bCs w:val="false"/>
          <w:sz w:val="20"/>
          <w:szCs w:val="20"/>
        </w:rPr>
        <w:t xml:space="preserve">Explicit patient selection: </w:t>
      </w:r>
      <w:r>
        <w:rPr>
          <w:rFonts w:ascii="Arial" w:cs="Arial" w:eastAsia="Arial" w:hAnsi="Arial"/>
          <w:b w:val="0"/>
          <w:bCs w:val="false"/>
          <w:sz w:val="20"/>
          <w:szCs w:val="20"/>
        </w:rPr>
        <w:t>MAUI required exactly 2 of 3 patients. After save, entitlement reported active_patient_count=2, locked_patient_count=1, and selection no longer required.</w:t>
      </w:r>
    </w:p>
    <w:p>
      <w:pPr>
        <w:pStyle w:val="ListParagraph"/>
        <w:numPr>
          <w:ilvl w:val="0"/>
          <w:numId w:val="2"/>
        </w:numPr>
        <w:spacing w:after="40" w:before="40"/>
      </w:pPr>
      <w:r>
        <w:rPr>
          <w:rFonts w:ascii="Arial" w:cs="Arial" w:eastAsia="Arial" w:hAnsi="Arial"/>
          <w:b/>
          <w:bCs w:val="false"/>
          <w:sz w:val="20"/>
          <w:szCs w:val="20"/>
        </w:rPr>
        <w:t xml:space="preserve">Locked-profile enforcement: </w:t>
      </w:r>
      <w:r>
        <w:rPr>
          <w:rFonts w:ascii="Arial" w:cs="Arial" w:eastAsia="Arial" w:hAnsi="Arial"/>
          <w:b w:val="0"/>
          <w:bCs w:val="false"/>
          <w:sz w:val="20"/>
          <w:szCs w:val="20"/>
        </w:rPr>
        <w:t>a direct request to the locked patient height-history endpoint returned 403 with the plan-lock message, confirming server-side enforcement rather than UI-only hiding.</w:t>
      </w:r>
    </w:p>
    <w:p>
      <w:pPr>
        <w:pStyle w:val="ListParagraph"/>
        <w:numPr>
          <w:ilvl w:val="0"/>
          <w:numId w:val="2"/>
        </w:numPr>
        <w:spacing w:after="40" w:before="40"/>
      </w:pPr>
      <w:r>
        <w:rPr>
          <w:rFonts w:ascii="Arial" w:cs="Arial" w:eastAsia="Arial" w:hAnsi="Arial"/>
          <w:b/>
          <w:bCs w:val="false"/>
          <w:sz w:val="20"/>
          <w:szCs w:val="20"/>
        </w:rPr>
        <w:t xml:space="preserve">Upgrade restoration: </w:t>
      </w:r>
      <w:r>
        <w:rPr>
          <w:rFonts w:ascii="Arial" w:cs="Arial" w:eastAsia="Arial" w:hAnsi="Arial"/>
          <w:b w:val="0"/>
          <w:bCs w:val="false"/>
          <w:sz w:val="20"/>
          <w:szCs w:val="20"/>
        </w:rPr>
        <w:t>restoring active Family immediately reported all 3 patients active/unlocked and the previously blocked patient endpoint succeeded; no clinical-data restoration was required.</w:t>
      </w:r>
    </w:p>
    <w:p>
      <w:pPr>
        <w:pStyle w:val="ListParagraph"/>
        <w:numPr>
          <w:ilvl w:val="0"/>
          <w:numId w:val="2"/>
        </w:numPr>
        <w:spacing w:after="40" w:before="40"/>
      </w:pPr>
      <w:r>
        <w:rPr>
          <w:rFonts w:ascii="Arial" w:cs="Arial" w:eastAsia="Arial" w:hAnsi="Arial"/>
          <w:b/>
          <w:bCs w:val="false"/>
          <w:sz w:val="20"/>
          <w:szCs w:val="20"/>
        </w:rPr>
        <w:t xml:space="preserve">Repeat downgrade: </w:t>
      </w:r>
      <w:r>
        <w:rPr>
          <w:rFonts w:ascii="Arial" w:cs="Arial" w:eastAsia="Arial" w:hAnsi="Arial"/>
          <w:b w:val="0"/>
          <w:bCs w:val="false"/>
          <w:sz w:val="20"/>
          <w:szCs w:val="20"/>
        </w:rPr>
        <w:t>returning the household to effective Basic reused the prior 2-patient selection, entered the main dashboard directly, and exposed only the 2 active patients without forcing reselection.</w:t>
      </w:r>
    </w:p>
    <w:p>
      <w:pPr>
        <w:pStyle w:val="ListParagraph"/>
        <w:numPr>
          <w:ilvl w:val="0"/>
          <w:numId w:val="2"/>
        </w:numPr>
        <w:spacing w:after="40" w:before="40"/>
      </w:pPr>
      <w:r>
        <w:rPr>
          <w:rFonts w:ascii="Arial" w:cs="Arial" w:eastAsia="Arial" w:hAnsi="Arial"/>
          <w:b/>
          <w:bCs w:val="false"/>
          <w:sz w:val="20"/>
          <w:szCs w:val="20"/>
        </w:rPr>
        <w:t xml:space="preserve">Owner authorization: </w:t>
      </w:r>
      <w:r>
        <w:rPr>
          <w:rFonts w:ascii="Arial" w:cs="Arial" w:eastAsia="Arial" w:hAnsi="Arial"/>
          <w:b w:val="0"/>
          <w:bCs w:val="false"/>
          <w:sz w:val="20"/>
          <w:szCs w:val="20"/>
        </w:rPr>
        <w:t>the real household owner retained management authority on effective Basic while invite capacity remained independently blocked by the 2-patient limit.</w:t>
      </w:r>
    </w:p>
    <w:p>
      <w:pPr>
        <w:pStyle w:val="ListParagraph"/>
        <w:numPr>
          <w:ilvl w:val="0"/>
          <w:numId w:val="2"/>
        </w:numPr>
        <w:spacing w:after="40" w:before="40"/>
      </w:pPr>
      <w:r>
        <w:rPr>
          <w:rFonts w:ascii="Arial" w:cs="Arial" w:eastAsia="Arial" w:hAnsi="Arial"/>
          <w:b/>
          <w:bCs w:val="false"/>
          <w:sz w:val="20"/>
          <w:szCs w:val="20"/>
        </w:rPr>
        <w:t xml:space="preserve">Basic manager: </w:t>
      </w:r>
      <w:r>
        <w:rPr>
          <w:rFonts w:ascii="Arial" w:cs="Arial" w:eastAsia="Arial" w:hAnsi="Arial"/>
          <w:b w:val="0"/>
          <w:bCs w:val="false"/>
          <w:sz w:val="20"/>
          <w:szCs w:val="20"/>
        </w:rPr>
        <w:t>a dedicated non-owner role-test user stored as manager resolved to can_manage_household=false and received 403 on protected household-management endpoints.</w:t>
      </w:r>
    </w:p>
    <w:p>
      <w:pPr>
        <w:pStyle w:val="ListParagraph"/>
        <w:numPr>
          <w:ilvl w:val="0"/>
          <w:numId w:val="2"/>
        </w:numPr>
        <w:spacing w:after="40" w:before="40"/>
      </w:pPr>
      <w:r>
        <w:rPr>
          <w:rFonts w:ascii="Arial" w:cs="Arial" w:eastAsia="Arial" w:hAnsi="Arial"/>
          <w:b/>
          <w:bCs w:val="false"/>
          <w:sz w:val="20"/>
          <w:szCs w:val="20"/>
        </w:rPr>
        <w:t xml:space="preserve">Family manager: </w:t>
      </w:r>
      <w:r>
        <w:rPr>
          <w:rFonts w:ascii="Arial" w:cs="Arial" w:eastAsia="Arial" w:hAnsi="Arial"/>
          <w:b w:val="0"/>
          <w:bCs w:val="false"/>
          <w:sz w:val="20"/>
          <w:szCs w:val="20"/>
        </w:rPr>
        <w:t>the same user, role, and JWT automatically resolved to can_manage_household=true after Family restoration; invite listing succeeded and status reported two available invite slots.</w:t>
      </w:r>
    </w:p>
    <w:p>
      <w:pPr>
        <w:pStyle w:val="ListParagraph"/>
        <w:numPr>
          <w:ilvl w:val="0"/>
          <w:numId w:val="2"/>
        </w:numPr>
        <w:spacing w:after="40" w:before="40"/>
      </w:pPr>
      <w:r>
        <w:rPr>
          <w:rFonts w:ascii="Arial" w:cs="Arial" w:eastAsia="Arial" w:hAnsi="Arial"/>
          <w:b/>
          <w:bCs w:val="false"/>
          <w:sz w:val="20"/>
          <w:szCs w:val="20"/>
        </w:rPr>
        <w:t xml:space="preserve">Family member: </w:t>
      </w:r>
      <w:r>
        <w:rPr>
          <w:rFonts w:ascii="Arial" w:cs="Arial" w:eastAsia="Arial" w:hAnsi="Arial"/>
          <w:b w:val="0"/>
          <w:bCs w:val="false"/>
          <w:sz w:val="20"/>
          <w:szCs w:val="20"/>
        </w:rPr>
        <w:t>changing only the role-test user to member produced can_manage_household=false and protected invite access returned 403.</w:t>
      </w:r>
    </w:p>
    <w:p>
      <w:pPr>
        <w:pStyle w:val="ListParagraph"/>
        <w:numPr>
          <w:ilvl w:val="0"/>
          <w:numId w:val="2"/>
        </w:numPr>
        <w:spacing w:after="40" w:before="40"/>
      </w:pPr>
      <w:r>
        <w:rPr>
          <w:rFonts w:ascii="Arial" w:cs="Arial" w:eastAsia="Arial" w:hAnsi="Arial"/>
          <w:b/>
          <w:bCs w:val="false"/>
          <w:sz w:val="20"/>
          <w:szCs w:val="20"/>
        </w:rPr>
        <w:t xml:space="preserve">Standard manager: </w:t>
      </w:r>
      <w:r>
        <w:rPr>
          <w:rFonts w:ascii="Arial" w:cs="Arial" w:eastAsia="Arial" w:hAnsi="Arial"/>
          <w:b w:val="0"/>
          <w:bCs w:val="false"/>
          <w:sz w:val="20"/>
          <w:szCs w:val="20"/>
        </w:rPr>
        <w:t>active Standard correctly disabled delegated management; the manager received the plan-specific owner-only 403 while Premium access remained active.</w:t>
      </w:r>
    </w:p>
    <w:p>
      <w:pPr>
        <w:pStyle w:val="ListParagraph"/>
        <w:numPr>
          <w:ilvl w:val="0"/>
          <w:numId w:val="2"/>
        </w:numPr>
        <w:spacing w:after="40" w:before="40"/>
      </w:pPr>
      <w:r>
        <w:rPr>
          <w:rFonts w:ascii="Arial" w:cs="Arial" w:eastAsia="Arial" w:hAnsi="Arial"/>
          <w:b/>
          <w:bCs w:val="false"/>
          <w:sz w:val="20"/>
          <w:szCs w:val="20"/>
        </w:rPr>
        <w:t xml:space="preserve">Fixture cleanup: </w:t>
      </w:r>
      <w:r>
        <w:rPr>
          <w:rFonts w:ascii="Arial" w:cs="Arial" w:eastAsia="Arial" w:hAnsi="Arial"/>
          <w:b w:val="0"/>
          <w:bCs w:val="false"/>
          <w:sz w:val="20"/>
          <w:szCs w:val="20"/>
        </w:rPr>
        <w:t>Spartan Guy restored to consistent active Family state (5-patient capacity, 3 active, 0 effective locks, Household Owner and Billing Owner true); temporary role-test account parked as member.</w:t>
      </w:r>
    </w:p>
    <w:p>
      <w:pPr>
        <w:spacing w:after="60" w:before="180"/>
      </w:pPr>
      <w:r>
        <w:rPr>
          <w:rFonts w:ascii="Arial" w:cs="Arial" w:eastAsia="Arial" w:hAnsi="Arial"/>
          <w:b/>
          <w:bCs/>
          <w:color w:val="00B4C8"/>
          <w:sz w:val="22"/>
          <w:szCs w:val="22"/>
        </w:rPr>
        <w:t>0.7.1b security / hardening notes</w:t>
      </w:r>
    </w:p>
    <w:p>
      <w:pPr>
        <w:pStyle w:val="ListParagraph"/>
        <w:numPr>
          <w:ilvl w:val="0"/>
          <w:numId w:val="2"/>
        </w:numPr>
        <w:spacing w:after="40" w:before="40"/>
      </w:pPr>
      <w:r>
        <w:rPr>
          <w:rFonts w:ascii="Arial" w:cs="Arial" w:eastAsia="Arial" w:hAnsi="Arial"/>
          <w:b w:val="false"/>
          <w:bCs w:val="false"/>
          <w:sz w:val="20"/>
          <w:szCs w:val="20"/>
        </w:rPr>
        <w:t>Cross-household isolation from Phase 5 remains a hard non-regression requirement; selected patient IDs and all patient/child-record routes must continue rejecting records outside the caller household.</w:t>
      </w:r>
    </w:p>
    <w:p>
      <w:pPr>
        <w:pStyle w:val="ListParagraph"/>
        <w:numPr>
          <w:ilvl w:val="0"/>
          <w:numId w:val="2"/>
        </w:numPr>
        <w:spacing w:after="40" w:before="40"/>
      </w:pPr>
      <w:r>
        <w:rPr>
          <w:rFonts w:ascii="Arial" w:cs="Arial" w:eastAsia="Arial" w:hAnsi="Arial"/>
          <w:b w:val="false"/>
          <w:bCs w:val="false"/>
          <w:sz w:val="20"/>
          <w:szCs w:val="20"/>
        </w:rPr>
        <w:t>The patient-lock behavior has been production-validated on representative patient-scoped endpoints and normal MAUI navigation, but a complete endpoint-by-endpoint entitlement-lock audit remains pre-launch hardening.</w:t>
      </w:r>
    </w:p>
    <w:p>
      <w:pPr>
        <w:pStyle w:val="ListParagraph"/>
        <w:numPr>
          <w:ilvl w:val="0"/>
          <w:numId w:val="2"/>
        </w:numPr>
        <w:spacing w:after="40" w:before="40"/>
      </w:pPr>
      <w:r>
        <w:rPr>
          <w:rFonts w:ascii="Arial" w:cs="Arial" w:eastAsia="Arial" w:hAnsi="Arial"/>
          <w:b w:val="false"/>
          <w:bCs w:val="false"/>
          <w:sz w:val="20"/>
          <w:szCs w:val="20"/>
        </w:rPr>
        <w:t>Known follow-up: PATCH /api/patients/{patient_id} still scopes by household but should be routed through the central entitlement-lock verifier so a locked patient cannot be edited through a direct API call.</w:t>
      </w:r>
    </w:p>
    <w:p>
      <w:pPr>
        <w:pStyle w:val="ListParagraph"/>
        <w:numPr>
          <w:ilvl w:val="0"/>
          <w:numId w:val="2"/>
        </w:numPr>
        <w:spacing w:after="40" w:before="40"/>
      </w:pPr>
      <w:r>
        <w:rPr>
          <w:rFonts w:ascii="Arial" w:cs="Arial" w:eastAsia="Arial" w:hAnsi="Arial"/>
          <w:b w:val="false"/>
          <w:bCs w:val="false"/>
          <w:sz w:val="20"/>
          <w:szCs w:val="20"/>
        </w:rPr>
        <w:t>The controlled Spartan Guy household was used for destructive entitlement-state testing. Founder alpha households were not repurposed for downgrade/expiration tests.</w:t>
      </w:r>
    </w:p>
    <w:p>
      <w:pPr>
        <w:spacing w:after="60" w:before="180"/>
      </w:pPr>
      <w:r>
        <w:rPr>
          <w:rFonts w:ascii="Arial" w:cs="Arial" w:eastAsia="Arial" w:hAnsi="Arial"/>
          <w:b/>
          <w:bCs/>
          <w:color w:val="00B4C8"/>
          <w:sz w:val="22"/>
          <w:szCs w:val="22"/>
        </w:rPr>
        <w:t>Next engineering target after 0.7.1b</w:t>
      </w:r>
    </w:p>
    <w:p>
      <w:pPr>
        <w:pStyle w:val="ListParagraph"/>
        <w:numPr>
          <w:ilvl w:val="0"/>
          <w:numId w:val="2"/>
        </w:numPr>
        <w:spacing w:after="40" w:before="40"/>
      </w:pPr>
      <w:r>
        <w:rPr>
          <w:rFonts w:ascii="Arial" w:cs="Arial" w:eastAsia="Arial" w:hAnsi="Arial"/>
          <w:b w:val="false"/>
          <w:bCs w:val="false"/>
          <w:sz w:val="20"/>
          <w:szCs w:val="20"/>
        </w:rPr>
        <w:t>0.7.2a — implement the native billing abstraction and StoreKit / Google Play Billing purchase and restore flows; configure the four planned Standard/Family monthly/annual products in both stores.</w:t>
      </w:r>
    </w:p>
    <w:p>
      <w:pPr>
        <w:pStyle w:val="ListParagraph"/>
        <w:numPr>
          <w:ilvl w:val="0"/>
          <w:numId w:val="2"/>
        </w:numPr>
        <w:spacing w:after="40" w:before="40"/>
      </w:pPr>
      <w:r>
        <w:rPr>
          <w:rFonts w:ascii="Arial" w:cs="Arial" w:eastAsia="Arial" w:hAnsi="Arial"/>
          <w:b w:val="false"/>
          <w:bCs w:val="false"/>
          <w:sz w:val="20"/>
          <w:szCs w:val="20"/>
        </w:rPr>
        <w:t>0.7.3 — verify Apple transactions / Google purchase tokens server-side and process lifecycle notifications before granting or changing paid entitlement.</w:t>
      </w:r>
    </w:p>
    <w:p>
      <w:pPr>
        <w:pStyle w:val="ListParagraph"/>
        <w:numPr>
          <w:ilvl w:val="0"/>
          <w:numId w:val="2"/>
        </w:numPr>
        <w:spacing w:after="40" w:before="40"/>
      </w:pPr>
      <w:r>
        <w:rPr>
          <w:rFonts w:ascii="Arial" w:cs="Arial" w:eastAsia="Arial" w:hAnsi="Arial"/>
          <w:b w:val="false"/>
          <w:bCs w:val="false"/>
          <w:sz w:val="20"/>
          <w:szCs w:val="20"/>
        </w:rPr>
        <w:t>0.7.4+ — apply Premium feature gates, finish deletion/account-readiness flows, run physical-device billing acceptance QA, then enter parallel store beta/release-candidate work.</w:t>
      </w:r>
    </w:p>
    <w:p>
      <w:pPr>
        <w:spacing w:after="60" w:before="180"/>
      </w:pPr>
      <w:r>
        <w:rPr>
          <w:rFonts w:ascii="Arial" w:cs="Arial" w:eastAsia="Arial" w:hAnsi="Arial"/>
          <w:b/>
          <w:bCs/>
          <w:color w:val="00B4C8"/>
          <w:sz w:val="22"/>
          <w:szCs w:val="22"/>
        </w:rPr>
        <w:t>Milestone 0.7.2 - Store Billing Integrations</w:t>
      </w:r>
    </w:p>
    <w:p>
      <w:pPr>
        <w:pStyle w:val="ListParagraph"/>
        <w:numPr>
          <w:ilvl w:val="0"/>
          <w:numId w:val="2"/>
        </w:numPr>
        <w:spacing w:after="40" w:before="40"/>
      </w:pPr>
      <w:r>
        <w:rPr>
          <w:rFonts w:ascii="Arial" w:cs="Arial" w:eastAsia="Arial" w:hAnsi="Arial"/>
          <w:b w:val="false"/>
          <w:bCs w:val="false"/>
          <w:sz w:val="20"/>
          <w:szCs w:val="20"/>
        </w:rPr>
        <w:t>Create/configure Standard Monthly, Standard Annual, Family Monthly, and Family Annual products in App Store Connect and Google Play Console.</w:t>
      </w:r>
    </w:p>
    <w:p>
      <w:pPr>
        <w:pStyle w:val="ListParagraph"/>
        <w:numPr>
          <w:ilvl w:val="0"/>
          <w:numId w:val="2"/>
        </w:numPr>
        <w:spacing w:after="40" w:before="40"/>
      </w:pPr>
      <w:r>
        <w:rPr>
          <w:rFonts w:ascii="Arial" w:cs="Arial" w:eastAsia="Arial" w:hAnsi="Arial"/>
          <w:b w:val="false"/>
          <w:bCs w:val="false"/>
          <w:sz w:val="20"/>
          <w:szCs w:val="20"/>
        </w:rPr>
        <w:t>Implement iOS StoreKit purchase/restore flow and Android Google Play Billing purchase/restore flow behind a shared MAUI billing abstraction.</w:t>
      </w:r>
    </w:p>
    <w:p>
      <w:pPr>
        <w:pStyle w:val="ListParagraph"/>
        <w:numPr>
          <w:ilvl w:val="0"/>
          <w:numId w:val="2"/>
        </w:numPr>
        <w:spacing w:after="40" w:before="40"/>
      </w:pPr>
      <w:r>
        <w:rPr>
          <w:rFonts w:ascii="Arial" w:cs="Arial" w:eastAsia="Arial" w:hAnsi="Arial"/>
          <w:b w:val="false"/>
          <w:bCs w:val="false"/>
          <w:sz w:val="20"/>
          <w:szCs w:val="20"/>
        </w:rPr>
        <w:t>Implement subscription-management UI: current plan/status, renewal/paid-through date, upgrade path, restore purchases, and platform-appropriate management link/action.</w:t>
      </w:r>
    </w:p>
    <w:p>
      <w:pPr>
        <w:spacing w:after="60" w:before="180"/>
      </w:pPr>
      <w:r>
        <w:rPr>
          <w:rFonts w:ascii="Arial" w:cs="Arial" w:eastAsia="Arial" w:hAnsi="Arial"/>
          <w:b/>
          <w:bCs/>
          <w:color w:val="00B4C8"/>
          <w:sz w:val="22"/>
          <w:szCs w:val="22"/>
        </w:rPr>
        <w:t>Milestone 0.7.3 - Backend Purchase Verification &amp; Lifecycle</w:t>
      </w:r>
    </w:p>
    <w:p>
      <w:pPr>
        <w:pStyle w:val="ListParagraph"/>
        <w:numPr>
          <w:ilvl w:val="0"/>
          <w:numId w:val="2"/>
        </w:numPr>
        <w:spacing w:after="40" w:before="40"/>
      </w:pPr>
      <w:r>
        <w:rPr>
          <w:rFonts w:ascii="Arial" w:cs="Arial" w:eastAsia="Arial" w:hAnsi="Arial"/>
          <w:b w:val="false"/>
          <w:bCs w:val="false"/>
          <w:sz w:val="20"/>
          <w:szCs w:val="20"/>
        </w:rPr>
        <w:t>Verify Apple transactions and Google purchase tokens server-side before granting paid entitlements.</w:t>
      </w:r>
    </w:p>
    <w:p>
      <w:pPr>
        <w:pStyle w:val="ListParagraph"/>
        <w:numPr>
          <w:ilvl w:val="0"/>
          <w:numId w:val="2"/>
        </w:numPr>
        <w:spacing w:after="40" w:before="40"/>
      </w:pPr>
      <w:r>
        <w:rPr>
          <w:rFonts w:ascii="Arial" w:cs="Arial" w:eastAsia="Arial" w:hAnsi="Arial"/>
          <w:b w:val="false"/>
          <w:bCs w:val="false"/>
          <w:sz w:val="20"/>
          <w:szCs w:val="20"/>
        </w:rPr>
        <w:t>Bind verified purchases to one Vitals household and record billing provider, billing owner, store transaction/purchase identifiers, plan, and expiration state.</w:t>
      </w:r>
    </w:p>
    <w:p>
      <w:pPr>
        <w:pStyle w:val="ListParagraph"/>
        <w:numPr>
          <w:ilvl w:val="0"/>
          <w:numId w:val="2"/>
        </w:numPr>
        <w:spacing w:after="40" w:before="40"/>
      </w:pPr>
      <w:r>
        <w:rPr>
          <w:rFonts w:ascii="Arial" w:cs="Arial" w:eastAsia="Arial" w:hAnsi="Arial"/>
          <w:b w:val="false"/>
          <w:bCs w:val="false"/>
          <w:sz w:val="20"/>
          <w:szCs w:val="20"/>
        </w:rPr>
        <w:t>Process Apple/Google server lifecycle notifications and enforce renewal, cancellation, refund/revoke, expiration, recovery, and the Vitals 5-day failed-renewal grace rule.</w:t>
      </w:r>
    </w:p>
    <w:p>
      <w:pPr>
        <w:pStyle w:val="ListParagraph"/>
        <w:numPr>
          <w:ilvl w:val="0"/>
          <w:numId w:val="2"/>
        </w:numPr>
        <w:spacing w:after="40" w:before="40"/>
      </w:pPr>
      <w:r>
        <w:rPr>
          <w:rFonts w:ascii="Arial" w:cs="Arial" w:eastAsia="Arial" w:hAnsi="Arial"/>
          <w:b w:val="false"/>
          <w:bCs w:val="false"/>
          <w:sz w:val="20"/>
          <w:szCs w:val="20"/>
        </w:rPr>
        <w:t>Enforce cross-platform household access after a verified purchase and safe Restore Purchases behavior after reinstall or device change.</w:t>
      </w:r>
    </w:p>
    <w:p>
      <w:pPr>
        <w:spacing w:after="60" w:before="180"/>
      </w:pPr>
      <w:r>
        <w:rPr>
          <w:rFonts w:ascii="Arial" w:cs="Arial" w:eastAsia="Arial" w:hAnsi="Arial"/>
          <w:b/>
          <w:bCs/>
          <w:color w:val="00B4C8"/>
          <w:sz w:val="22"/>
          <w:szCs w:val="22"/>
        </w:rPr>
        <w:t>Milestone 0.7.4 - Feature Gating &amp; Upgrade UX</w:t>
      </w:r>
    </w:p>
    <w:p>
      <w:pPr>
        <w:pStyle w:val="ListParagraph"/>
        <w:numPr>
          <w:ilvl w:val="0"/>
          <w:numId w:val="2"/>
        </w:numPr>
        <w:spacing w:after="40" w:before="40"/>
      </w:pPr>
      <w:r>
        <w:rPr>
          <w:rFonts w:ascii="Arial" w:cs="Arial" w:eastAsia="Arial" w:hAnsi="Arial"/>
          <w:b w:val="false"/>
          <w:bCs w:val="false"/>
          <w:sz w:val="20"/>
          <w:szCs w:val="20"/>
        </w:rPr>
        <w:t>Centralize entitlement evaluation so Basic vs Premium behavior is consistent across navigation, pages, API-sensitive actions, and household capacity checks.</w:t>
      </w:r>
    </w:p>
    <w:p>
      <w:pPr>
        <w:pStyle w:val="ListParagraph"/>
        <w:numPr>
          <w:ilvl w:val="0"/>
          <w:numId w:val="2"/>
        </w:numPr>
        <w:spacing w:after="40" w:before="40"/>
      </w:pPr>
      <w:r>
        <w:rPr>
          <w:rFonts w:ascii="Arial" w:cs="Arial" w:eastAsia="Arial" w:hAnsi="Arial"/>
          <w:b w:val="false"/>
          <w:bCs w:val="false"/>
          <w:sz w:val="20"/>
          <w:szCs w:val="20"/>
        </w:rPr>
        <w:t>Gate clinical analysis, graphs, new PDF generation, incidents, visits, notes, and other Premium actions with an upgrade CTA while keeping Basic vitals, medications, and care team fully usable.</w:t>
      </w:r>
    </w:p>
    <w:p>
      <w:pPr>
        <w:pStyle w:val="ListParagraph"/>
        <w:numPr>
          <w:ilvl w:val="0"/>
          <w:numId w:val="2"/>
        </w:numPr>
        <w:spacing w:after="40" w:before="40"/>
      </w:pPr>
      <w:r>
        <w:rPr>
          <w:rFonts w:ascii="Arial" w:cs="Arial" w:eastAsia="Arial" w:hAnsi="Arial"/>
          <w:b w:val="false"/>
          <w:bCs w:val="false"/>
          <w:sz w:val="20"/>
          <w:szCs w:val="20"/>
        </w:rPr>
        <w:t>Confirm downgrade never deletes data and Family restoration re-enables previously locked patient profiles and Premium history immediately.</w:t>
      </w:r>
    </w:p>
    <w:p>
      <w:pPr>
        <w:spacing w:after="60" w:before="180"/>
      </w:pPr>
      <w:r>
        <w:rPr>
          <w:rFonts w:ascii="Arial" w:cs="Arial" w:eastAsia="Arial" w:hAnsi="Arial"/>
          <w:b/>
          <w:bCs/>
          <w:color w:val="00B4C8"/>
          <w:sz w:val="22"/>
          <w:szCs w:val="22"/>
        </w:rPr>
        <w:t>Milestone 0.7.5 - Account &amp; Data Deletion</w:t>
      </w:r>
    </w:p>
    <w:p>
      <w:pPr>
        <w:pStyle w:val="ListParagraph"/>
        <w:numPr>
          <w:ilvl w:val="0"/>
          <w:numId w:val="2"/>
        </w:numPr>
        <w:spacing w:after="40" w:before="40"/>
      </w:pPr>
      <w:r>
        <w:rPr>
          <w:rFonts w:ascii="Arial" w:cs="Arial" w:eastAsia="Arial" w:hAnsi="Arial"/>
          <w:b w:val="false"/>
          <w:bCs w:val="false"/>
          <w:sz w:val="20"/>
          <w:szCs w:val="20"/>
        </w:rPr>
        <w:t>Implement permanent patient deletion with typed/explicit destructive confirmation and server-side cascade deletion.</w:t>
      </w:r>
    </w:p>
    <w:p>
      <w:pPr>
        <w:pStyle w:val="ListParagraph"/>
        <w:numPr>
          <w:ilvl w:val="0"/>
          <w:numId w:val="2"/>
        </w:numPr>
        <w:spacing w:after="40" w:before="40"/>
      </w:pPr>
      <w:r>
        <w:rPr>
          <w:rFonts w:ascii="Arial" w:cs="Arial" w:eastAsia="Arial" w:hAnsi="Arial"/>
          <w:b w:val="false"/>
          <w:bCs w:val="false"/>
          <w:sz w:val="20"/>
          <w:szCs w:val="20"/>
        </w:rPr>
        <w:t>Implement or finalize user-account deletion and household deletion as distinct flows, including active-subscription guidance and production backup-retention disclosures.</w:t>
      </w:r>
    </w:p>
    <w:p>
      <w:pPr>
        <w:pStyle w:val="ListParagraph"/>
        <w:numPr>
          <w:ilvl w:val="0"/>
          <w:numId w:val="2"/>
        </w:numPr>
        <w:spacing w:after="40" w:before="40"/>
      </w:pPr>
      <w:r>
        <w:rPr>
          <w:rFonts w:ascii="Arial" w:cs="Arial" w:eastAsia="Arial" w:hAnsi="Arial"/>
          <w:b w:val="false"/>
          <w:bCs w:val="false"/>
          <w:sz w:val="20"/>
          <w:szCs w:val="20"/>
        </w:rPr>
        <w:t>Verify deleted live data cannot be retrieved through normal API endpoints or stale analysis caches.</w:t>
      </w:r>
    </w:p>
    <w:p>
      <w:pPr>
        <w:spacing w:after="60" w:before="180"/>
      </w:pPr>
      <w:r>
        <w:rPr>
          <w:rFonts w:ascii="Arial" w:cs="Arial" w:eastAsia="Arial" w:hAnsi="Arial"/>
          <w:b/>
          <w:bCs/>
          <w:color w:val="00B4C8"/>
          <w:sz w:val="22"/>
          <w:szCs w:val="22"/>
        </w:rPr>
        <w:t>Milestone 0.7.6 - Payment &amp; Entitlement Acceptance QA</w:t>
      </w:r>
    </w:p>
    <w:p>
      <w:pPr>
        <w:pStyle w:val="ListParagraph"/>
        <w:numPr>
          <w:ilvl w:val="0"/>
          <w:numId w:val="2"/>
        </w:numPr>
        <w:spacing w:after="40" w:before="40"/>
      </w:pPr>
      <w:r>
        <w:rPr>
          <w:rFonts w:ascii="Arial" w:cs="Arial" w:eastAsia="Arial" w:hAnsi="Arial"/>
          <w:b w:val="false"/>
          <w:bCs w:val="false"/>
          <w:sz w:val="20"/>
          <w:szCs w:val="20"/>
        </w:rPr>
        <w:t>Test successful purchase, declined/failed purchase, pending purchase, user-canceled purchase, renewal, cancellation, expiration, refund/revoke where sandbox tooling permits, and recovery during the 5-day grace period.</w:t>
      </w:r>
    </w:p>
    <w:p>
      <w:pPr>
        <w:pStyle w:val="ListParagraph"/>
        <w:numPr>
          <w:ilvl w:val="0"/>
          <w:numId w:val="2"/>
        </w:numPr>
        <w:spacing w:after="40" w:before="40"/>
      </w:pPr>
      <w:r>
        <w:rPr>
          <w:rFonts w:ascii="Arial" w:cs="Arial" w:eastAsia="Arial" w:hAnsi="Arial"/>
          <w:b w:val="false"/>
          <w:bCs w:val="false"/>
          <w:sz w:val="20"/>
          <w:szCs w:val="20"/>
        </w:rPr>
        <w:t>Test Trial -&gt; Basic, Basic -&gt; paid Premium, paid Premium -&gt; Basic after expiration, and resubscription with immediate restoration.</w:t>
      </w:r>
    </w:p>
    <w:p>
      <w:pPr>
        <w:pStyle w:val="ListParagraph"/>
        <w:numPr>
          <w:ilvl w:val="0"/>
          <w:numId w:val="2"/>
        </w:numPr>
        <w:spacing w:after="40" w:before="40"/>
      </w:pPr>
      <w:r>
        <w:rPr>
          <w:rFonts w:ascii="Arial" w:cs="Arial" w:eastAsia="Arial" w:hAnsi="Arial"/>
          <w:b w:val="false"/>
          <w:bCs w:val="false"/>
          <w:sz w:val="20"/>
          <w:szCs w:val="20"/>
        </w:rPr>
        <w:t>Test Restore Purchases after reinstall/device change and verify one store subscription cannot silently attach to unrelated households.</w:t>
      </w:r>
    </w:p>
    <w:p>
      <w:pPr>
        <w:pStyle w:val="ListParagraph"/>
        <w:numPr>
          <w:ilvl w:val="0"/>
          <w:numId w:val="2"/>
        </w:numPr>
        <w:spacing w:after="40" w:before="40"/>
      </w:pPr>
      <w:r>
        <w:rPr>
          <w:rFonts w:ascii="Arial" w:cs="Arial" w:eastAsia="Arial" w:hAnsi="Arial"/>
          <w:b w:val="false"/>
          <w:bCs w:val="false"/>
          <w:sz w:val="20"/>
          <w:szCs w:val="20"/>
        </w:rPr>
        <w:t>Critical cross-platform test: purchase on iOS and confirm the same household unlocks on Android; purchase on Android and confirm the same household unlocks on iOS.</w:t>
      </w:r>
    </w:p>
    <w:p>
      <w:pPr>
        <w:pStyle w:val="ListParagraph"/>
        <w:numPr>
          <w:ilvl w:val="0"/>
          <w:numId w:val="2"/>
        </w:numPr>
        <w:spacing w:after="40" w:before="40"/>
      </w:pPr>
      <w:r>
        <w:rPr>
          <w:rFonts w:ascii="Arial" w:cs="Arial" w:eastAsia="Arial" w:hAnsi="Arial"/>
          <w:b w:val="false"/>
          <w:bCs w:val="false"/>
          <w:sz w:val="20"/>
          <w:szCs w:val="20"/>
        </w:rPr>
        <w:t>Payment/entitlement QA must pass on physical iOS and Android devices before Store Beta begins, with no patient-data loss across entitlement transitions.</w:t>
      </w:r>
    </w:p>
    <w:p>
      <w:pPr>
        <w:spacing w:after="60" w:before="180"/>
      </w:pPr>
      <w:r>
        <w:rPr>
          <w:rFonts w:ascii="Arial" w:cs="Arial" w:eastAsia="Arial" w:hAnsi="Arial"/>
          <w:b/>
          <w:bCs/>
          <w:color w:val="00B4C8"/>
          <w:sz w:val="22"/>
          <w:szCs w:val="22"/>
        </w:rPr>
        <w:t>Milestone 0.7.7 - Parallel Store Beta / Release Candidate</w:t>
      </w:r>
    </w:p>
    <w:p>
      <w:pPr>
        <w:pStyle w:val="ListParagraph"/>
        <w:numPr>
          <w:ilvl w:val="0"/>
          <w:numId w:val="2"/>
        </w:numPr>
        <w:spacing w:after="40" w:before="40"/>
      </w:pPr>
      <w:r>
        <w:rPr>
          <w:rFonts w:ascii="Arial" w:cs="Arial" w:eastAsia="Arial" w:hAnsi="Arial"/>
          <w:b w:val="false"/>
          <w:bCs w:val="false"/>
          <w:sz w:val="20"/>
          <w:szCs w:val="20"/>
        </w:rPr>
        <w:t>Store Beta begins only after billing implementation, backend verification, entitlement gating, deletion workflows, and physical-device payment QA are complete.</w:t>
      </w:r>
    </w:p>
    <w:p>
      <w:pPr>
        <w:pStyle w:val="ListParagraph"/>
        <w:numPr>
          <w:ilvl w:val="0"/>
          <w:numId w:val="2"/>
        </w:numPr>
        <w:spacing w:after="40" w:before="40"/>
      </w:pPr>
      <w:r>
        <w:rPr>
          <w:rFonts w:ascii="Arial" w:cs="Arial" w:eastAsia="Arial" w:hAnsi="Arial"/>
          <w:b w:val="false"/>
          <w:bCs w:val="false"/>
          <w:sz w:val="20"/>
          <w:szCs w:val="20"/>
        </w:rPr>
        <w:t>iOS: distribute the release candidate through TestFlight. TestFlight is a beta milestone, not public launch; there is no roadmap-imposed minimum beta duration beyond Apple review requirements applicable to the submitted build/tester group.</w:t>
      </w:r>
    </w:p>
    <w:p>
      <w:pPr>
        <w:pStyle w:val="ListParagraph"/>
        <w:numPr>
          <w:ilvl w:val="0"/>
          <w:numId w:val="2"/>
        </w:numPr>
        <w:spacing w:after="40" w:before="40"/>
      </w:pPr>
      <w:r>
        <w:rPr>
          <w:rFonts w:ascii="Arial" w:cs="Arial" w:eastAsia="Arial" w:hAnsi="Arial"/>
          <w:b w:val="false"/>
          <w:bCs w:val="false"/>
          <w:sz w:val="20"/>
          <w:szCs w:val="20"/>
        </w:rPr>
        <w:t>Android: distribute through Google Play closed testing. Confirm the actual Play developer account's production-access requirement before setting the calendar; newer personal accounts may require at least 12 opted-in testers for 14 continuous days before applying for production access.</w:t>
      </w:r>
    </w:p>
    <w:p>
      <w:pPr>
        <w:pStyle w:val="ListParagraph"/>
        <w:numPr>
          <w:ilvl w:val="0"/>
          <w:numId w:val="2"/>
        </w:numPr>
        <w:spacing w:after="40" w:before="40"/>
      </w:pPr>
      <w:r>
        <w:rPr>
          <w:rFonts w:ascii="Arial" w:cs="Arial" w:eastAsia="Arial" w:hAnsi="Arial"/>
          <w:b w:val="false"/>
          <w:bCs w:val="false"/>
          <w:sz w:val="20"/>
          <w:szCs w:val="20"/>
        </w:rPr>
        <w:t>Complete store listings, screenshots, descriptions, age ratings, privacy/data-safety disclosures, subscription disclosures, support contact, Privacy Policy, and Terms of Service for both platforms.</w:t>
      </w:r>
    </w:p>
    <w:p>
      <w:pPr>
        <w:pStyle w:val="ListParagraph"/>
        <w:numPr>
          <w:ilvl w:val="0"/>
          <w:numId w:val="2"/>
        </w:numPr>
        <w:spacing w:after="40" w:before="40"/>
      </w:pPr>
      <w:r>
        <w:rPr>
          <w:rFonts w:ascii="Arial" w:cs="Arial" w:eastAsia="Arial" w:hAnsi="Arial"/>
          <w:b w:val="false"/>
          <w:bCs w:val="false"/>
          <w:sz w:val="20"/>
          <w:szCs w:val="20"/>
        </w:rPr>
        <w:t>Resolve beta findings through the lettered 0.7.7 engineering iterations until one release candidate is accepted for production submission on both platforms.</w:t>
      </w:r>
    </w:p>
    <w:p>
      <w:pPr>
        <w:spacing w:after="60" w:before="180"/>
      </w:pPr>
      <w:r>
        <w:rPr>
          <w:rFonts w:ascii="Arial" w:cs="Arial" w:eastAsia="Arial" w:hAnsi="Arial"/>
          <w:b/>
          <w:bCs/>
          <w:color w:val="00B4C8"/>
          <w:sz w:val="22"/>
          <w:szCs w:val="22"/>
        </w:rPr>
        <w:t>Milestone 0.7.8 - Public Production Launch</w:t>
      </w:r>
    </w:p>
    <w:p>
      <w:pPr>
        <w:pStyle w:val="ListParagraph"/>
        <w:numPr>
          <w:ilvl w:val="0"/>
          <w:numId w:val="2"/>
        </w:numPr>
        <w:spacing w:after="40" w:before="40"/>
      </w:pPr>
      <w:r>
        <w:rPr>
          <w:rFonts w:ascii="Arial" w:cs="Arial" w:eastAsia="Arial" w:hAnsi="Arial"/>
          <w:b w:val="false"/>
          <w:bCs w:val="false"/>
          <w:sz w:val="20"/>
          <w:szCs w:val="20"/>
        </w:rPr>
        <w:t>Submit/advance the approved release candidate to production on Apple App Store and Google Play in parallel.</w:t>
      </w:r>
    </w:p>
    <w:p>
      <w:pPr>
        <w:pStyle w:val="ListParagraph"/>
        <w:numPr>
          <w:ilvl w:val="0"/>
          <w:numId w:val="2"/>
        </w:numPr>
        <w:spacing w:after="40" w:before="40"/>
      </w:pPr>
      <w:r>
        <w:rPr>
          <w:rFonts w:ascii="Arial" w:cs="Arial" w:eastAsia="Arial" w:hAnsi="Arial"/>
          <w:b w:val="false"/>
          <w:bCs w:val="false"/>
          <w:sz w:val="20"/>
          <w:szCs w:val="20"/>
        </w:rPr>
        <w:t>Launch is achieved only when ordinary users can discover/download Vitals from both stores outside beta and a new household can complete the 30-day trial, subscribe, and receive verified Premium access.</w:t>
      </w:r>
    </w:p>
    <w:p>
      <w:pPr>
        <w:pStyle w:val="ListParagraph"/>
        <w:numPr>
          <w:ilvl w:val="0"/>
          <w:numId w:val="2"/>
        </w:numPr>
        <w:spacing w:after="40" w:before="40"/>
      </w:pPr>
      <w:r>
        <w:rPr>
          <w:rFonts w:ascii="Arial" w:cs="Arial" w:eastAsia="Arial" w:hAnsi="Arial"/>
          <w:b w:val="false"/>
          <w:bCs w:val="false"/>
          <w:sz w:val="20"/>
          <w:szCs w:val="20"/>
        </w:rPr>
        <w:t>Validate production purchase, entitlement sync, restore, support/legal links, backend monitoring/backups, and subscription lifecycle behavior immediately after release.</w:t>
      </w:r>
    </w:p>
    <w:p>
      <w:pPr>
        <w:pStyle w:val="ListParagraph"/>
        <w:numPr>
          <w:ilvl w:val="0"/>
          <w:numId w:val="2"/>
        </w:numPr>
        <w:spacing w:after="40" w:before="40"/>
      </w:pPr>
      <w:r>
        <w:rPr>
          <w:rFonts w:ascii="Arial" w:cs="Arial" w:eastAsia="Arial" w:hAnsi="Arial"/>
          <w:b w:val="false"/>
          <w:bCs w:val="false"/>
          <w:sz w:val="20"/>
          <w:szCs w:val="20"/>
        </w:rPr>
        <w:t>Finalize Dr. Warren distribution materials and KDP QR destinations against the live store/signup paths.</w:t>
      </w:r>
    </w:p>
    <w:p>
      <w:pPr>
        <w:spacing w:after="60" w:before="180"/>
      </w:pPr>
      <w:r>
        <w:rPr>
          <w:rFonts w:ascii="Arial" w:cs="Arial" w:eastAsia="Arial" w:hAnsi="Arial"/>
          <w:b/>
          <w:bCs/>
          <w:color w:val="00B4C8"/>
          <w:sz w:val="22"/>
          <w:szCs w:val="22"/>
        </w:rPr>
        <w:t>Definition of Done</w:t>
      </w:r>
    </w:p>
    <w:p>
      <w:pPr>
        <w:pStyle w:val="ListParagraph"/>
        <w:numPr>
          <w:ilvl w:val="0"/>
          <w:numId w:val="2"/>
        </w:numPr>
        <w:spacing w:after="40" w:before="40"/>
      </w:pPr>
      <w:r>
        <w:rPr>
          <w:rFonts w:ascii="Arial" w:cs="Arial" w:eastAsia="Arial" w:hAnsi="Arial"/>
          <w:b w:val="false"/>
          <w:bCs w:val="false"/>
          <w:sz w:val="20"/>
          <w:szCs w:val="20"/>
        </w:rPr>
        <w:t>All Phase 7 milestones have passed their acceptance gates and Vitals is publicly available in both the Apple App Store and Google Play.</w:t>
      </w:r>
    </w:p>
    <w:p>
      <w:pPr>
        <w:pStyle w:val="ListParagraph"/>
        <w:numPr>
          <w:ilvl w:val="0"/>
          <w:numId w:val="2"/>
        </w:numPr>
        <w:spacing w:after="40" w:before="40"/>
      </w:pPr>
      <w:r>
        <w:rPr>
          <w:rFonts w:ascii="Arial" w:cs="Arial" w:eastAsia="Arial" w:hAnsi="Arial"/>
          <w:b w:val="false"/>
          <w:bCs w:val="false"/>
          <w:sz w:val="20"/>
          <w:szCs w:val="20"/>
        </w:rPr>
        <w:t>A new household can start a one-time 30-day no-card full-access trial, use up to 5 patients, fall safely to Basic if it does not subscribe, and upgrade later without data loss or backfill.</w:t>
      </w:r>
    </w:p>
    <w:p>
      <w:pPr>
        <w:pStyle w:val="ListParagraph"/>
        <w:numPr>
          <w:ilvl w:val="0"/>
          <w:numId w:val="2"/>
        </w:numPr>
        <w:spacing w:after="40" w:before="40"/>
      </w:pPr>
      <w:r>
        <w:rPr>
          <w:rFonts w:ascii="Arial" w:cs="Arial" w:eastAsia="Arial" w:hAnsi="Arial"/>
          <w:b w:val="false"/>
          <w:bCs w:val="false"/>
          <w:sz w:val="20"/>
          <w:szCs w:val="20"/>
        </w:rPr>
        <w:t>Standard and Family monthly/annual subscriptions can be purchased, verified server-side, restored, renewed, canceled, expired, and recognized cross-platform according to the household entitlement rules.</w:t>
      </w:r>
    </w:p>
    <w:p>
      <w:pPr>
        <w:pStyle w:val="ListParagraph"/>
        <w:numPr>
          <w:ilvl w:val="0"/>
          <w:numId w:val="2"/>
        </w:numPr>
        <w:spacing w:after="40" w:before="40"/>
      </w:pPr>
      <w:r>
        <w:rPr>
          <w:rFonts w:ascii="Arial" w:cs="Arial" w:eastAsia="Arial" w:hAnsi="Arial"/>
          <w:b w:val="false"/>
          <w:bCs w:val="false"/>
          <w:sz w:val="20"/>
          <w:szCs w:val="20"/>
        </w:rPr>
        <w:t>Basic, Standard, and Family feature/capacity gates behave consistently; Premium content is protected without deleting historical data.</w:t>
      </w:r>
    </w:p>
    <w:p>
      <w:pPr>
        <w:pStyle w:val="ListParagraph"/>
        <w:numPr>
          <w:ilvl w:val="0"/>
          <w:numId w:val="2"/>
        </w:numPr>
        <w:spacing w:after="40" w:before="40"/>
      </w:pPr>
      <w:r>
        <w:rPr>
          <w:rFonts w:ascii="Arial" w:cs="Arial" w:eastAsia="Arial" w:hAnsi="Arial"/>
          <w:b w:val="false"/>
          <w:bCs w:val="false"/>
          <w:sz w:val="20"/>
          <w:szCs w:val="20"/>
        </w:rPr>
        <w:t>Permanent patient deletion and account/household deletion workflows meet production privacy expectations and have been validated against live-data retrieval paths.</w:t>
      </w:r>
    </w:p>
    <w:p>
      <w:pPr>
        <w:pStyle w:val="Heading1"/>
        <w:pBdr>
          <w:bottom w:val="single" w:color="00B4C8" w:sz="6" w:space="4"/>
        </w:pBdr>
        <w:spacing w:after="120" w:before="360"/>
      </w:pPr>
      <w:r>
        <w:rPr>
          <w:rFonts w:ascii="Arial" w:cs="Arial" w:eastAsia="Arial" w:hAnsi="Arial"/>
          <w:b/>
          <w:bCs/>
          <w:color w:val="1B2A4A"/>
          <w:sz w:val="32"/>
          <w:szCs w:val="32"/>
        </w:rPr>
        <w:t xml:space="preserve">Post-Launch Development Priorities</w:t>
      </w:r>
    </w:p>
    <w:p>
      <w:pPr>
        <w:spacing w:after="60" w:before="60"/>
      </w:pPr>
      <w:r>
        <w:rPr>
          <w:rFonts w:ascii="Arial" w:cs="Arial" w:eastAsia="Arial" w:hAnsi="Arial"/>
          <w:sz w:val="20"/>
          <w:szCs w:val="20"/>
        </w:rPr>
        <w:t xml:space="preserve">The following features are confirmed for post-launch development, sequenced by clinical impact and subscriber retention value:</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3360"/>
        <w:gridCol w:w="2400"/>
      </w:tblGrid>
      <w:tr>
        <w:trPr>
          <w:cantSplit/>
        </w:trPr>
        <w:tc>
          <w:tcPr>
            <w:tcW w:type="dxa" w:w="3600"/>
            <w:tcBorders>
              <w:top w:val="single" w:color="DDDDDD" w:sz="1"/>
              <w:left w:val="single" w:color="DDDDDD" w:sz="1"/>
              <w:bottom w:val="single" w:color="DDDDDD" w:sz="1"/>
              <w:right w:val="single" w:color="DDDDDD" w:sz="1"/>
            </w:tcBorders>
            <w:shd w:fill="1B2A4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Feature</w:t>
            </w:r>
          </w:p>
        </w:tc>
        <w:tc>
          <w:tcPr>
            <w:tcW w:type="dxa" w:w="3360"/>
            <w:tcBorders>
              <w:top w:val="single" w:color="DDDDDD" w:sz="1"/>
              <w:left w:val="single" w:color="DDDDDD" w:sz="1"/>
              <w:bottom w:val="single" w:color="DDDDDD" w:sz="1"/>
              <w:right w:val="single" w:color="DDDDDD" w:sz="1"/>
            </w:tcBorders>
            <w:shd w:fill="1B2A4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Rationale</w:t>
            </w:r>
          </w:p>
        </w:tc>
        <w:tc>
          <w:tcPr>
            <w:tcW w:type="dxa" w:w="2400"/>
            <w:tcBorders>
              <w:top w:val="single" w:color="DDDDDD" w:sz="1"/>
              <w:left w:val="single" w:color="DDDDDD" w:sz="1"/>
              <w:bottom w:val="single" w:color="DDDDDD" w:sz="1"/>
              <w:right w:val="single" w:color="DDDDDD" w:sz="1"/>
            </w:tcBorders>
            <w:shd w:fill="1B2A4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Requested By</w:t>
            </w:r>
          </w:p>
        </w:tc>
      </w:tr>
      <w:tr>
        <w:trPr>
          <w:cantSplit/>
        </w:trPr>
        <w:tc>
          <w:tcPr>
            <w:tcW w:type="dxa" w:w="36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left"/>
            </w:pPr>
            <w:r>
              <w:rPr>
                <w:rFonts w:ascii="Arial" w:cs="Arial" w:eastAsia="Arial" w:hAnsi="Arial"/>
                <w:b w:val="false"/>
                <w:bCs w:val="false"/>
                <w:color w:val="333333"/>
                <w:sz w:val="18"/>
                <w:szCs w:val="18"/>
              </w:rPr>
              <w:t xml:space="preserve">NDC drug database autofill for medication entry</w:t>
            </w:r>
          </w:p>
        </w:tc>
        <w:tc>
          <w:tcPr>
            <w:tcW w:type="dxa" w:w="33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left"/>
            </w:pPr>
            <w:r>
              <w:rPr>
                <w:rFonts w:ascii="Arial" w:cs="Arial" w:eastAsia="Arial" w:hAnsi="Arial"/>
                <w:b w:val="false"/>
                <w:bCs w:val="false"/>
                <w:color w:val="333333"/>
                <w:sz w:val="18"/>
                <w:szCs w:val="18"/>
              </w:rPr>
              <w:t xml:space="preserve">Reduces friction for medication setup</w:t>
            </w:r>
          </w:p>
        </w:tc>
        <w:tc>
          <w:tcPr>
            <w:tcW w:type="dxa" w:w="24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left"/>
            </w:pPr>
            <w:r>
              <w:rPr>
                <w:rFonts w:ascii="Arial" w:cs="Arial" w:eastAsia="Arial" w:hAnsi="Arial"/>
                <w:b w:val="false"/>
                <w:bCs w:val="false"/>
                <w:color w:val="333333"/>
                <w:sz w:val="18"/>
                <w:szCs w:val="18"/>
              </w:rPr>
              <w:t xml:space="preserve">Product roadmap</w:t>
            </w:r>
          </w:p>
        </w:tc>
      </w:tr>
      <w:tr>
        <w:trPr>
          <w:cantSplit/>
        </w:trPr>
        <w:tc>
          <w:tcPr>
            <w:tcW w:type="dxa" w:w="36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pPr>
              <w:jc w:val="left"/>
            </w:pPr>
            <w:r>
              <w:rPr>
                <w:rFonts w:ascii="Arial" w:cs="Arial" w:eastAsia="Arial" w:hAnsi="Arial"/>
                <w:b w:val="false"/>
                <w:bCs w:val="false"/>
                <w:color w:val="333333"/>
                <w:sz w:val="18"/>
                <w:szCs w:val="18"/>
              </w:rPr>
              <w:t xml:space="preserve">Appointment notifications with Last/Next Visit</w:t>
            </w:r>
          </w:p>
        </w:tc>
        <w:tc>
          <w:tcPr>
            <w:tcW w:type="dxa" w:w="336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pPr>
              <w:jc w:val="left"/>
            </w:pPr>
            <w:r>
              <w:rPr>
                <w:rFonts w:ascii="Arial" w:cs="Arial" w:eastAsia="Arial" w:hAnsi="Arial"/>
                <w:b w:val="false"/>
                <w:bCs w:val="false"/>
                <w:color w:val="333333"/>
                <w:sz w:val="18"/>
                <w:szCs w:val="18"/>
              </w:rPr>
              <w:t xml:space="preserve">Caregiver workflow support</w:t>
            </w:r>
          </w:p>
        </w:tc>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pPr>
              <w:jc w:val="left"/>
            </w:pPr>
            <w:r>
              <w:rPr>
                <w:rFonts w:ascii="Arial" w:cs="Arial" w:eastAsia="Arial" w:hAnsi="Arial"/>
                <w:b w:val="false"/>
                <w:bCs w:val="false"/>
                <w:color w:val="333333"/>
                <w:sz w:val="18"/>
                <w:szCs w:val="18"/>
              </w:rPr>
              <w:t xml:space="preserve">Amy (RN)</w:t>
            </w:r>
          </w:p>
        </w:tc>
      </w:tr>
      <w:tr>
        <w:trPr>
          <w:cantSplit/>
        </w:trPr>
        <w:tc>
          <w:tcPr>
            <w:tcW w:type="dxa" w:w="36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left"/>
            </w:pPr>
            <w:r>
              <w:rPr>
                <w:rFonts w:ascii="Arial" w:cs="Arial" w:eastAsia="Arial" w:hAnsi="Arial"/>
                <w:b w:val="false"/>
                <w:bCs w:val="false"/>
                <w:color w:val="333333"/>
                <w:sz w:val="18"/>
                <w:szCs w:val="18"/>
              </w:rPr>
              <w:t>Local scheduled notifications</w:t>
            </w:r>
          </w:p>
        </w:tc>
        <w:tc>
          <w:tcPr>
            <w:tcW w:type="dxa" w:w="33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left"/>
            </w:pPr>
            <w:r>
              <w:rPr>
                <w:rFonts w:ascii="Arial" w:cs="Arial" w:eastAsia="Arial" w:hAnsi="Arial"/>
                <w:b w:val="false"/>
                <w:bCs w:val="false"/>
                <w:color w:val="333333"/>
                <w:sz w:val="18"/>
                <w:szCs w:val="18"/>
              </w:rPr>
              <w:t>Retention reminders and milestone nudges; deliberately deferred from MVP because core Vitals functionality does not depend on them</w:t>
            </w:r>
          </w:p>
        </w:tc>
        <w:tc>
          <w:tcPr>
            <w:tcW w:type="dxa" w:w="24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left"/>
            </w:pPr>
            <w:r>
              <w:rPr>
                <w:rFonts w:ascii="Arial" w:cs="Arial" w:eastAsia="Arial" w:hAnsi="Arial"/>
                <w:b w:val="false"/>
                <w:bCs w:val="false"/>
                <w:color w:val="333333"/>
                <w:sz w:val="18"/>
                <w:szCs w:val="18"/>
              </w:rPr>
              <w:t>Phase 6 scope review (Oct 2026)</w:t>
            </w:r>
          </w:p>
        </w:tc>
      </w:tr>
      <w:tr>
        <w:trPr>
          <w:cantSplit/>
        </w:trPr>
        <w:tc>
          <w:tcPr>
            <w:tcW w:type="dxa" w:w="36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left"/>
            </w:pPr>
            <w:r>
              <w:rPr>
                <w:rFonts w:ascii="Arial" w:cs="Arial" w:eastAsia="Arial" w:hAnsi="Arial"/>
                <w:b w:val="false"/>
                <w:bCs w:val="false"/>
                <w:color w:val="333333"/>
                <w:sz w:val="18"/>
                <w:szCs w:val="18"/>
              </w:rPr>
              <w:t xml:space="preserve">Firebase Cloud Messaging push notifications</w:t>
            </w:r>
          </w:p>
        </w:tc>
        <w:tc>
          <w:tcPr>
            <w:tcW w:type="dxa" w:w="33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left"/>
            </w:pPr>
            <w:r>
              <w:rPr>
                <w:rFonts w:ascii="Arial" w:cs="Arial" w:eastAsia="Arial" w:hAnsi="Arial"/>
                <w:b w:val="false"/>
                <w:bCs w:val="false"/>
                <w:color w:val="333333"/>
                <w:sz w:val="18"/>
                <w:szCs w:val="18"/>
              </w:rPr>
              <w:t xml:space="preserve">Server-personalized retention messaging</w:t>
            </w:r>
          </w:p>
        </w:tc>
        <w:tc>
          <w:tcPr>
            <w:tcW w:type="dxa" w:w="24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left"/>
            </w:pPr>
            <w:r>
              <w:rPr>
                <w:rFonts w:ascii="Arial" w:cs="Arial" w:eastAsia="Arial" w:hAnsi="Arial"/>
                <w:b w:val="false"/>
                <w:bCs w:val="false"/>
                <w:color w:val="333333"/>
                <w:sz w:val="18"/>
                <w:szCs w:val="18"/>
              </w:rPr>
              <w:t xml:space="preserve">Product roadmap</w:t>
            </w:r>
          </w:p>
        </w:tc>
      </w:tr>
      <w:tr>
        <w:trPr>
          <w:cantSplit/>
        </w:trPr>
        <w:tc>
          <w:tcPr>
            <w:tcW w:type="dxa" w:w="36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pPr>
              <w:jc w:val="left"/>
            </w:pPr>
            <w:r>
              <w:rPr>
                <w:rFonts w:ascii="Arial" w:cs="Arial" w:eastAsia="Arial" w:hAnsi="Arial"/>
                <w:b w:val="false"/>
                <w:bCs w:val="false"/>
                <w:color w:val="333333"/>
                <w:sz w:val="18"/>
                <w:szCs w:val="18"/>
              </w:rPr>
              <w:t xml:space="preserve">Bluetooth device integration (BP cuffs, glucometers)</w:t>
            </w:r>
          </w:p>
        </w:tc>
        <w:tc>
          <w:tcPr>
            <w:tcW w:type="dxa" w:w="336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pPr>
              <w:jc w:val="left"/>
            </w:pPr>
            <w:r>
              <w:rPr>
                <w:rFonts w:ascii="Arial" w:cs="Arial" w:eastAsia="Arial" w:hAnsi="Arial"/>
                <w:b w:val="false"/>
                <w:bCs w:val="false"/>
                <w:color w:val="333333"/>
                <w:sz w:val="18"/>
                <w:szCs w:val="18"/>
              </w:rPr>
              <w:t xml:space="preserve">Eliminates manual entry friction</w:t>
            </w:r>
          </w:p>
        </w:tc>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pPr>
              <w:jc w:val="left"/>
            </w:pPr>
            <w:r>
              <w:rPr>
                <w:rFonts w:ascii="Arial" w:cs="Arial" w:eastAsia="Arial" w:hAnsi="Arial"/>
                <w:b w:val="false"/>
                <w:bCs w:val="false"/>
                <w:color w:val="333333"/>
                <w:sz w:val="18"/>
                <w:szCs w:val="18"/>
              </w:rPr>
              <w:t xml:space="preserve">Koopman et al. research</w:t>
            </w:r>
          </w:p>
        </w:tc>
      </w:tr>
      <w:tr>
        <w:trPr>
          <w:cantSplit/>
        </w:trPr>
        <w:tc>
          <w:tcPr>
            <w:tcW w:type="dxa" w:w="36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left"/>
            </w:pPr>
            <w:r>
              <w:rPr>
                <w:rFonts w:ascii="Arial" w:cs="Arial" w:eastAsia="Arial" w:hAnsi="Arial"/>
                <w:b w:val="false"/>
                <w:bCs w:val="false"/>
                <w:color w:val="333333"/>
                <w:sz w:val="18"/>
                <w:szCs w:val="18"/>
              </w:rPr>
              <w:t xml:space="preserve">Cognitive state tracking module</w:t>
            </w:r>
          </w:p>
        </w:tc>
        <w:tc>
          <w:tcPr>
            <w:tcW w:type="dxa" w:w="33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left"/>
            </w:pPr>
            <w:r>
              <w:rPr>
                <w:rFonts w:ascii="Arial" w:cs="Arial" w:eastAsia="Arial" w:hAnsi="Arial"/>
                <w:b w:val="false"/>
                <w:bCs w:val="false"/>
                <w:color w:val="333333"/>
                <w:sz w:val="18"/>
                <w:szCs w:val="18"/>
              </w:rPr>
              <w:t xml:space="preserve">Dementia/TBI caregiver use case</w:t>
            </w:r>
          </w:p>
        </w:tc>
        <w:tc>
          <w:tcPr>
            <w:tcW w:type="dxa" w:w="24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left"/>
            </w:pPr>
            <w:r>
              <w:rPr>
                <w:rFonts w:ascii="Arial" w:cs="Arial" w:eastAsia="Arial" w:hAnsi="Arial"/>
                <w:b w:val="false"/>
                <w:bCs w:val="false"/>
                <w:color w:val="333333"/>
                <w:sz w:val="18"/>
                <w:szCs w:val="18"/>
              </w:rPr>
              <w:t xml:space="preserve">Founder caregiving experience</w:t>
            </w:r>
          </w:p>
        </w:tc>
      </w:tr>
      <w:tr>
        <w:trPr>
          <w:cantSplit/>
        </w:trPr>
        <w:tc>
          <w:tcPr>
            <w:tcW w:type="dxa" w:w="36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pPr>
              <w:jc w:val="left"/>
            </w:pPr>
            <w:r>
              <w:rPr>
                <w:rFonts w:ascii="Arial" w:cs="Arial" w:eastAsia="Arial" w:hAnsi="Arial"/>
                <w:b w:val="false"/>
                <w:bCs w:val="false"/>
                <w:color w:val="333333"/>
                <w:sz w:val="18"/>
                <w:szCs w:val="18"/>
              </w:rPr>
              <w:t xml:space="preserve">White paper publication</w:t>
            </w:r>
          </w:p>
        </w:tc>
        <w:tc>
          <w:tcPr>
            <w:tcW w:type="dxa" w:w="336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pPr>
              <w:jc w:val="left"/>
            </w:pPr>
            <w:r>
              <w:rPr>
                <w:rFonts w:ascii="Arial" w:cs="Arial" w:eastAsia="Arial" w:hAnsi="Arial"/>
                <w:b w:val="false"/>
                <w:bCs w:val="false"/>
                <w:color w:val="333333"/>
                <w:sz w:val="18"/>
                <w:szCs w:val="18"/>
              </w:rPr>
              <w:t xml:space="preserve">Physician distribution network activation</w:t>
            </w:r>
          </w:p>
        </w:tc>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pPr>
              <w:jc w:val="left"/>
            </w:pPr>
            <w:r>
              <w:rPr>
                <w:rFonts w:ascii="Arial" w:cs="Arial" w:eastAsia="Arial" w:hAnsi="Arial"/>
                <w:b w:val="false"/>
                <w:bCs w:val="false"/>
                <w:color w:val="333333"/>
                <w:sz w:val="18"/>
                <w:szCs w:val="18"/>
              </w:rPr>
              <w:t xml:space="preserve">Dr. Martinez co-authorship target</w:t>
            </w:r>
          </w:p>
        </w:tc>
      </w:tr>
      <w:tr>
        <w:trPr>
          <w:cantSplit/>
        </w:trPr>
        <w:tc>
          <w:tcPr>
            <w:tcW w:type="dxa" w:w="36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left"/>
            </w:pPr>
            <w:r>
              <w:rPr>
                <w:rFonts w:ascii="Arial" w:cs="Arial" w:eastAsia="Arial" w:hAnsi="Arial"/>
                <w:b w:val="false"/>
                <w:bCs w:val="false"/>
                <w:color w:val="333333"/>
                <w:sz w:val="18"/>
                <w:szCs w:val="18"/>
              </w:rPr>
              <w:t xml:space="preserve">HL7 integration for enterprise licensing</w:t>
            </w:r>
          </w:p>
        </w:tc>
        <w:tc>
          <w:tcPr>
            <w:tcW w:type="dxa" w:w="33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left"/>
            </w:pPr>
            <w:r>
              <w:rPr>
                <w:rFonts w:ascii="Arial" w:cs="Arial" w:eastAsia="Arial" w:hAnsi="Arial"/>
                <w:b w:val="false"/>
                <w:bCs w:val="false"/>
                <w:color w:val="333333"/>
                <w:sz w:val="18"/>
                <w:szCs w:val="18"/>
              </w:rPr>
              <w:t xml:space="preserve">WellMed, Baylor Scott White potential</w:t>
            </w:r>
          </w:p>
        </w:tc>
        <w:tc>
          <w:tcPr>
            <w:tcW w:type="dxa" w:w="24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left"/>
            </w:pPr>
            <w:r>
              <w:rPr>
                <w:rFonts w:ascii="Arial" w:cs="Arial" w:eastAsia="Arial" w:hAnsi="Arial"/>
                <w:b w:val="false"/>
                <w:bCs w:val="false"/>
                <w:color w:val="333333"/>
                <w:sz w:val="18"/>
                <w:szCs w:val="18"/>
              </w:rPr>
              <w:t xml:space="preserve">Long-term enterprise strategy</w:t>
            </w:r>
          </w:p>
        </w:tc>
      </w:tr>
      <w:tr>
        <w:trPr>
          <w:cantSplit/>
        </w:trPr>
        <w:tc>
          <w:tcPr>
            <w:tcW w:type="dxa" w:w="36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left"/>
            </w:pPr>
            <w:r>
              <w:rPr>
                <w:rFonts w:ascii="Arial" w:cs="Arial" w:eastAsia="Arial" w:hAnsi="Arial"/>
                <w:b w:val="false"/>
                <w:bCs w:val="false"/>
                <w:color w:val="333333"/>
                <w:sz w:val="18"/>
                <w:szCs w:val="18"/>
              </w:rPr>
              <w:t>Clinical Results / Doctor Visit (Glucose Part B)</w:t>
            </w:r>
          </w:p>
        </w:tc>
        <w:tc>
          <w:tcPr>
            <w:tcW w:type="dxa" w:w="33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left"/>
            </w:pPr>
            <w:r>
              <w:rPr>
                <w:rFonts w:ascii="Arial" w:cs="Arial" w:eastAsia="Arial" w:hAnsi="Arial"/>
                <w:b w:val="false"/>
                <w:bCs w:val="false"/>
                <w:color w:val="333333"/>
                <w:sz w:val="18"/>
                <w:szCs w:val="18"/>
              </w:rPr>
              <w:t>Adds structured A1C, lipids, glucose labs, kidney, liver, CBC, thyroid, and other physician-reported results; valuable clinical context, but not required for MVP launch</w:t>
            </w:r>
          </w:p>
        </w:tc>
        <w:tc>
          <w:tcPr>
            <w:tcW w:type="dxa" w:w="24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left"/>
            </w:pPr>
            <w:r>
              <w:rPr>
                <w:rFonts w:ascii="Arial" w:cs="Arial" w:eastAsia="Arial" w:hAnsi="Arial"/>
                <w:b w:val="false"/>
                <w:bCs w:val="false"/>
                <w:color w:val="333333"/>
                <w:sz w:val="18"/>
                <w:szCs w:val="18"/>
              </w:rPr>
              <w:t>Post-launch product roadmap</w:t>
            </w:r>
          </w:p>
        </w:tc>
      </w:tr>
      <w:tr>
        <w:trPr>
          <w:cantSplit/>
        </w:trPr>
        <w:tc>
          <w:tcPr>
            <w:tcW w:type="dxa" w:w="3600"/>
          </w:tcPr>
          <w:p>
            <w:r>
              <w:t>Stripe / direct web billing</w:t>
            </w:r>
          </w:p>
        </w:tc>
        <w:tc>
          <w:tcPr>
            <w:tcW w:type="dxa" w:w="3360"/>
          </w:tcPr>
          <w:p>
            <w:r>
              <w:t>Future direct billing for web/email acquisition; intentionally excluded from the Phase 7 mobile MVP.</w:t>
            </w:r>
          </w:p>
        </w:tc>
        <w:tc>
          <w:tcPr>
            <w:tcW w:type="dxa" w:w="2400"/>
          </w:tcPr>
          <w:p>
            <w:r>
              <w:t>Phase 7 scope decision (Oct 2026)</w:t>
            </w:r>
          </w:p>
        </w:tc>
      </w:tr>
    </w:tbl>
    <w:p>
      <w:pPr>
        <w:pStyle w:val="Heading1"/>
        <w:pBdr>
          <w:bottom w:val="single" w:color="00B4C8" w:sz="6" w:space="4"/>
        </w:pBdr>
        <w:spacing w:after="120" w:before="360"/>
        <w:pageBreakBefore/>
      </w:pPr>
      <w:r>
        <w:rPr>
          <w:rFonts w:ascii="Arial" w:cs="Arial" w:eastAsia="Arial" w:hAnsi="Arial"/>
          <w:b/>
          <w:bCs/>
          <w:color w:val="1B2A4A"/>
          <w:sz w:val="32"/>
          <w:szCs w:val="32"/>
        </w:rPr>
        <w:t xml:space="preserve">Project Management Notes</w:t>
      </w:r>
    </w:p>
    <w:p>
      <w:pPr>
        <w:pStyle w:val="Heading2"/>
        <w:spacing w:after="80" w:before="240"/>
      </w:pPr>
      <w:r>
        <w:rPr>
          <w:rFonts w:ascii="Arial" w:cs="Arial" w:eastAsia="Arial" w:hAnsi="Arial"/>
          <w:b/>
          <w:bCs/>
          <w:color w:val="1B2A4A"/>
          <w:sz w:val="26"/>
          <w:szCs w:val="26"/>
        </w:rPr>
        <w:t xml:space="preserve">Single Developer Context</w:t>
      </w:r>
    </w:p>
    <w:p>
      <w:pPr>
        <w:spacing w:after="60" w:before="60"/>
      </w:pPr>
      <w:r>
        <w:rPr>
          <w:rFonts w:ascii="Arial" w:cs="Arial" w:eastAsia="Arial" w:hAnsi="Arial"/>
          <w:sz w:val="20"/>
          <w:szCs w:val="20"/>
        </w:rPr>
        <w:t>This roadmap is built for a single senior developer working on Vitals alongside full-time employment and caregiving responsibilities. Phase durations are estimated conservatively. Engineering milestones remain intentionally sequential so scope stays controlled; Phase 7 is the exception only at the release-operation layer, where iOS and Android store beta/submission proceed in parallel after the shared billing and entitlement gates have passed.</w:t>
      </w:r>
    </w:p>
    <w:p>
      <w:pPr>
        <w:spacing w:after="100" w:before="0"/>
      </w:pPr>
      <w:r>
        <w:t xml:space="preserve"/>
      </w:r>
    </w:p>
    <w:p>
      <w:pPr>
        <w:pStyle w:val="Heading2"/>
        <w:spacing w:after="80" w:before="240"/>
      </w:pPr>
      <w:r>
        <w:rPr>
          <w:rFonts w:ascii="Arial" w:cs="Arial" w:eastAsia="Arial" w:hAnsi="Arial"/>
          <w:b/>
          <w:bCs/>
          <w:color w:val="1B2A4A"/>
          <w:sz w:val="26"/>
          <w:szCs w:val="26"/>
        </w:rPr>
        <w:t xml:space="preserve">GitHub Repository Strategy</w:t>
      </w:r>
    </w:p>
    <w:p>
      <w:pPr>
        <w:spacing w:after="60" w:before="60"/>
      </w:pPr>
      <w:r>
        <w:rPr>
          <w:rFonts w:ascii="Arial" w:cs="Arial" w:eastAsia="Arial" w:hAnsi="Arial"/>
          <w:sz w:val="20"/>
          <w:szCs w:val="20"/>
        </w:rPr>
        <w:t xml:space="preserve">All Vitals development should be committed to a dedicated private GitHub repository separate from any Pharmacy Unlimited repositories. No Vitals code, architecture, or methodology should touch Pharmacy Unlimited systems or repositories. This is both an IP protection measure and a contractual compliance requirement given the existing NDA and IP assignment clauses.</w:t>
      </w:r>
    </w:p>
    <w:p>
      <w:pPr>
        <w:spacing w:after="100" w:before="0"/>
      </w:pPr>
      <w:r>
        <w:t xml:space="preserve"/>
      </w:r>
    </w:p>
    <w:p>
      <w:pPr>
        <w:pStyle w:val="Heading2"/>
        <w:spacing w:after="80" w:before="240"/>
      </w:pPr>
      <w:r>
        <w:rPr>
          <w:rFonts w:ascii="Arial" w:cs="Arial" w:eastAsia="Arial" w:hAnsi="Arial"/>
          <w:b/>
          <w:bCs/>
          <w:color w:val="1B2A4A"/>
          <w:sz w:val="26"/>
          <w:szCs w:val="26"/>
        </w:rPr>
        <w:t>Production Infrastructure Readiness</w:t>
      </w:r>
    </w:p>
    <w:p>
      <w:pPr>
        <w:spacing w:after="60" w:before="60"/>
      </w:pPr>
      <w:r>
        <w:rPr>
          <w:rFonts w:ascii="Arial" w:cs="Arial" w:eastAsia="Arial" w:hAnsi="Arial"/>
          <w:sz w:val="20"/>
          <w:szCs w:val="20"/>
        </w:rPr>
        <w:t>DigitalOcean production infrastructure is already live and serving the authenticated Vitals API. Phase 7 therefore shifts from migration to production-readiness validation: capacity for initial subscriber load, database backups/restore testing, TLS/DNS health, monitoring/logging, billing-webhook reliability, and rollback/recovery procedures must be confirmed before public launch.</w:t>
      </w:r>
    </w:p>
    <w:p>
      <w:pPr>
        <w:spacing w:after="100" w:before="0"/>
      </w:pPr>
      <w:r>
        <w:t xml:space="preserve"/>
      </w:r>
    </w:p>
    <w:p>
      <w:pPr>
        <w:pStyle w:val="Heading2"/>
        <w:spacing w:after="80" w:before="240"/>
      </w:pPr>
      <w:r>
        <w:rPr>
          <w:rFonts w:ascii="Arial" w:cs="Arial" w:eastAsia="Arial" w:hAnsi="Arial"/>
          <w:b/>
          <w:bCs/>
          <w:color w:val="1B2A4A"/>
          <w:sz w:val="26"/>
          <w:szCs w:val="26"/>
        </w:rPr>
        <w:t>October 2026 Re-Baseline</w:t>
      </w:r>
    </w:p>
    <w:p>
      <w:pPr>
        <w:spacing w:after="60" w:before="60"/>
      </w:pPr>
      <w:r>
        <w:rPr>
          <w:rFonts w:ascii="Arial" w:cs="Arial" w:eastAsia="Arial" w:hAnsi="Arial"/>
          <w:sz w:val="20"/>
          <w:szCs w:val="20"/>
        </w:rPr>
        <w:t>The original September 2026 target was missed and is no longer used as the definition of success. As of October 7, all Phase 1-6 product work is complete and Phase 7 has completed engineering components 0.7.1a and 0.7.1b with production validation. The remaining critical path is native Apple/Google billing, server-side purchase verification and lifecycle sync, Premium gating, deletion/account readiness, payment QA, parallel store beta, and store production review.</w:t>
      </w:r>
    </w:p>
    <w:p>
      <w:pPr>
        <w:spacing w:after="100" w:before="0"/>
      </w:pPr>
      <w:r>
        <w:t xml:space="preserve"/>
      </w:r>
    </w:p>
    <w:p>
      <w:pPr>
        <w:spacing w:after="60" w:before="60"/>
      </w:pPr>
      <w:r>
        <w:rPr>
          <w:rFonts w:ascii="Arial" w:cs="Arial" w:eastAsia="Arial" w:hAnsi="Arial"/>
          <w:sz w:val="20"/>
          <w:szCs w:val="20"/>
        </w:rPr>
        <w:t xml:space="preserve">Every phase completed is one step closer to that number. Every subscriber is one step closer to the exit.</w:t>
      </w:r>
    </w:p>
    <w:p>
      <w:pPr>
        <w:spacing w:after="200" w:before="0"/>
      </w:pPr>
      <w:r>
        <w:t xml:space="preserve"/>
      </w:r>
    </w:p>
    <w:p>
      <w:pPr>
        <w:spacing w:after="120" w:before="240"/>
        <w:jc w:val="center"/>
      </w:pPr>
      <w:r>
        <w:rPr>
          <w:rFonts w:ascii="Arial" w:cs="Arial" w:eastAsia="Arial" w:hAnsi="Arial"/>
          <w:b/>
          <w:bCs/>
          <w:color w:val="1B2A4A"/>
          <w:sz w:val="32"/>
          <w:szCs w:val="32"/>
        </w:rPr>
        <w:t>Next target: begin 0.7.2a Store Billing Integrations, complete purchase verification and Premium gating, enter parallel Store Beta, then launch publicly on both platforms.</w:t>
      </w:r>
    </w:p>
    <w:p>
      <w:pPr>
        <w:jc w:val="center"/>
      </w:pPr>
      <w:r>
        <w:rPr>
          <w:rFonts w:ascii="Arial" w:cs="Arial" w:eastAsia="Arial" w:hAnsi="Arial"/>
          <w:i/>
          <w:iCs/>
          <w:color w:val="999999"/>
          <w:sz w:val="18"/>
          <w:szCs w:val="18"/>
        </w:rPr>
        <w:t>Vitals — Mobile Application Development Roadmap | October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B2A4A"/>
      <w:sz w:val="32"/>
      <w:szCs w:val="32"/>
    </w:rPr>
  </w:style>
  <w:style w:type="paragraph" w:styleId="Heading2">
    <w:name w:val="Heading 2"/>
    <w:basedOn w:val="Normal"/>
    <w:next w:val="Normal"/>
    <w:qFormat/>
    <w:pPr>
      <w:spacing w:after="80" w:before="240"/>
      <w:outlineLvl w:val="1"/>
    </w:pPr>
    <w:rPr>
      <w:rFonts w:ascii="Arial" w:cs="Arial" w:eastAsia="Arial" w:hAnsi="Arial"/>
      <w:b/>
      <w:bCs/>
      <w:color w:val="1B2A4A"/>
      <w:sz w:val="26"/>
      <w:szCs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165f3cd631937742a9f07cccfde2155912bf1809.png"/><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2026-04-10T19:10:33.827Z</dcterms:created>
  <dcterms:modified xsi:type="dcterms:W3CDTF">2026-10-06T15:23:00Z</dcterms:modified>
  <dc:description>Updated Oct 6, 2026: authentication completion and historical vitals edit/reassign/delete functionality.</dc:description>
  <dc:title>Vitals Mobile Application Development Roadmap - October 2026 v7</dc:title>
</cp:coreProperties>
</file>

<file path=docProps/custom.xml><?xml version="1.0" encoding="utf-8"?>
<Properties xmlns="http://schemas.openxmlformats.org/officeDocument/2006/custom-properties" xmlns:vt="http://schemas.openxmlformats.org/officeDocument/2006/docPropsVTypes"/>
</file>