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n15b0riqnsx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Resumen Estructurado por Subpunto del Capítulo 2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bl123o0n2xc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2.1 Tipos de sistemas de información y contexto organizacional: TPS, OAS, KWS, MIS, DSS y sistemas expertos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subpunto debe estructurarse como la </w:t>
      </w:r>
      <w:r w:rsidDel="00000000" w:rsidR="00000000" w:rsidRPr="00000000">
        <w:rPr>
          <w:b w:val="1"/>
          <w:bCs w:val="1"/>
          <w:rtl w:val="0"/>
        </w:rPr>
        <w:t xml:space="preserve">evolución de la pirámide organizacional rígida hacia un ecosistema de agentes inteligentes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Resumen Base (Laudon &amp; Laudon, Cap. 2):</w:t>
      </w:r>
      <w:r w:rsidDel="00000000" w:rsidR="00000000" w:rsidRPr="00000000">
        <w:rPr>
          <w:rtl w:val="0"/>
        </w:rPr>
        <w:t xml:space="preserve"> Define la taxonomía clásica de los SI. Los </w:t>
      </w:r>
      <w:r w:rsidDel="00000000" w:rsidR="00000000" w:rsidRPr="00000000">
        <w:rPr>
          <w:b w:val="1"/>
          <w:bCs w:val="1"/>
          <w:rtl w:val="0"/>
        </w:rPr>
        <w:t xml:space="preserve">TPS</w:t>
      </w:r>
      <w:r w:rsidDel="00000000" w:rsidR="00000000" w:rsidRPr="00000000">
        <w:rPr>
          <w:rtl w:val="0"/>
        </w:rPr>
        <w:t xml:space="preserve"> (Sistemas de Procesamiento de Transacciones) son el núcleo del nivel operativo, recolectando datos crudos de ventas o inventario. Los </w:t>
      </w:r>
      <w:r w:rsidDel="00000000" w:rsidR="00000000" w:rsidRPr="00000000">
        <w:rPr>
          <w:b w:val="1"/>
          <w:bCs w:val="1"/>
          <w:rtl w:val="0"/>
        </w:rPr>
        <w:t xml:space="preserve">OAS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KWS</w:t>
      </w:r>
      <w:r w:rsidDel="00000000" w:rsidR="00000000" w:rsidRPr="00000000">
        <w:rPr>
          <w:rtl w:val="0"/>
        </w:rPr>
        <w:t xml:space="preserve"> apoyan a los trabajadores de oficina y conocimiento. Los </w:t>
      </w:r>
      <w:r w:rsidDel="00000000" w:rsidR="00000000" w:rsidRPr="00000000">
        <w:rPr>
          <w:b w:val="1"/>
          <w:bCs w:val="1"/>
          <w:rtl w:val="0"/>
        </w:rPr>
        <w:t xml:space="preserve">MIS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DSS</w:t>
      </w:r>
      <w:r w:rsidDel="00000000" w:rsidR="00000000" w:rsidRPr="00000000">
        <w:rPr>
          <w:rtl w:val="0"/>
        </w:rPr>
        <w:t xml:space="preserve"> sintetizan estos datos para generar reportes estructurados y modelos de decisión para la gerencia media y alta, respectivamente.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Transformación con IAGEN (Rother, 2025; Synthesis, 2026):</w:t>
      </w:r>
      <w:r w:rsidDel="00000000" w:rsidR="00000000" w:rsidRPr="00000000">
        <w:rPr>
          <w:rtl w:val="0"/>
        </w:rPr>
        <w:t xml:space="preserve"> La IAGEN rompe la rigidez de esta pirámide. Investigaciones recientes demuestran que los </w:t>
      </w:r>
      <w:r w:rsidDel="00000000" w:rsidR="00000000" w:rsidRPr="00000000">
        <w:rPr>
          <w:b w:val="1"/>
          <w:bCs w:val="1"/>
          <w:rtl w:val="0"/>
        </w:rPr>
        <w:t xml:space="preserve">TPS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OAS</w:t>
      </w:r>
      <w:r w:rsidDel="00000000" w:rsidR="00000000" w:rsidRPr="00000000">
        <w:rPr>
          <w:rtl w:val="0"/>
        </w:rPr>
        <w:t xml:space="preserve"> clásicos están siendo absorbidos por </w:t>
      </w:r>
      <w:r w:rsidDel="00000000" w:rsidR="00000000" w:rsidRPr="00000000">
        <w:rPr>
          <w:b w:val="1"/>
          <w:bCs w:val="1"/>
          <w:rtl w:val="0"/>
        </w:rPr>
        <w:t xml:space="preserve">agentes autónomos</w:t>
      </w:r>
      <w:r w:rsidDel="00000000" w:rsidR="00000000" w:rsidRPr="00000000">
        <w:rPr>
          <w:rtl w:val="0"/>
        </w:rPr>
        <w:t xml:space="preserve"> basados en LLMs que no solo registran datos, sino que ejecutan acciones operativas autónomas (ej. responder correos o reabastecer inventario). Por otro lado, los </w:t>
      </w:r>
      <w:r w:rsidDel="00000000" w:rsidR="00000000" w:rsidRPr="00000000">
        <w:rPr>
          <w:b w:val="1"/>
          <w:bCs w:val="1"/>
          <w:rtl w:val="0"/>
        </w:rPr>
        <w:t xml:space="preserve">DSS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Sistemas Expertos</w:t>
      </w:r>
      <w:r w:rsidDel="00000000" w:rsidR="00000000" w:rsidRPr="00000000">
        <w:rPr>
          <w:rtl w:val="0"/>
        </w:rPr>
        <w:t xml:space="preserve"> (tradicionalmente basados en reglas fijas) mutan hacia </w:t>
      </w:r>
      <w:r w:rsidDel="00000000" w:rsidR="00000000" w:rsidRPr="00000000">
        <w:rPr>
          <w:b w:val="1"/>
          <w:bCs w:val="1"/>
          <w:rtl w:val="0"/>
        </w:rPr>
        <w:t xml:space="preserve">interfaces conversacionales de decisión</w:t>
      </w:r>
      <w:r w:rsidDel="00000000" w:rsidR="00000000" w:rsidRPr="00000000">
        <w:rPr>
          <w:rtl w:val="0"/>
        </w:rPr>
        <w:t xml:space="preserve">, permitiendo a los gerentes interactuar con los datos organizacionales mediante lenguaje natural, superando los modelos matemáticos rígidos del pasado.</w:t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1242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fj2o7fhvdjz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2.2 Integración de tecnologías: sistemas web, comercio electrónico, sistemas empresariales y móviles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subpunto aborda cómo la IAGEN actúa como el "pegamento híbrido" que conecta la operación interna de la empresa con la experiencia del cliente digital.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Resumen Base (Laudon &amp; Laudon, Cap. 9 y 10):</w:t>
      </w:r>
      <w:r w:rsidDel="00000000" w:rsidR="00000000" w:rsidRPr="00000000">
        <w:rPr>
          <w:rtl w:val="0"/>
        </w:rPr>
        <w:t xml:space="preserve"> Define los </w:t>
      </w:r>
      <w:r w:rsidDel="00000000" w:rsidR="00000000" w:rsidRPr="00000000">
        <w:rPr>
          <w:b w:val="1"/>
          <w:bCs w:val="1"/>
          <w:rtl w:val="0"/>
        </w:rPr>
        <w:t xml:space="preserve">Sistemas Empresariales</w:t>
      </w:r>
      <w:r w:rsidDel="00000000" w:rsidR="00000000" w:rsidRPr="00000000">
        <w:rPr>
          <w:rtl w:val="0"/>
        </w:rPr>
        <w:t xml:space="preserve"> (ERP, CRM, SCM) como plataformas que integran los procesos de negocio clave (ventas, finanzas, manufactura) en una única base de datos central. El </w:t>
      </w:r>
      <w:r w:rsidDel="00000000" w:rsidR="00000000" w:rsidRPr="00000000">
        <w:rPr>
          <w:b w:val="1"/>
          <w:bCs w:val="1"/>
          <w:rtl w:val="0"/>
        </w:rPr>
        <w:t xml:space="preserve">Comercio Electrónico</w:t>
      </w:r>
      <w:r w:rsidDel="00000000" w:rsidR="00000000" w:rsidRPr="00000000">
        <w:rPr>
          <w:rtl w:val="0"/>
        </w:rPr>
        <w:t xml:space="preserve"> y las </w:t>
      </w:r>
      <w:r w:rsidDel="00000000" w:rsidR="00000000" w:rsidRPr="00000000">
        <w:rPr>
          <w:b w:val="1"/>
          <w:bCs w:val="1"/>
          <w:rtl w:val="0"/>
        </w:rPr>
        <w:t xml:space="preserve">Tecnologías Móviles</w:t>
      </w:r>
      <w:r w:rsidDel="00000000" w:rsidR="00000000" w:rsidRPr="00000000">
        <w:rPr>
          <w:rtl w:val="0"/>
        </w:rPr>
        <w:t xml:space="preserve"> se definen como canales digitales que extienden el alcance de la empresa hacia mercados globales y usuarios omnipresentes.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Integración con IAGEN (Haki, 2024; Wessel, 2025):</w:t>
      </w:r>
      <w:r w:rsidDel="00000000" w:rsidR="00000000" w:rsidRPr="00000000">
        <w:rPr>
          <w:rtl w:val="0"/>
        </w:rPr>
        <w:t xml:space="preserve"> La IAGEN redefine la integración. Las investigaciones de </w:t>
      </w:r>
      <w:r w:rsidDel="00000000" w:rsidR="00000000" w:rsidRPr="00000000">
        <w:rPr>
          <w:b w:val="1"/>
          <w:bCs w:val="1"/>
          <w:rtl w:val="0"/>
        </w:rPr>
        <w:t xml:space="preserve">Haki (2024)</w:t>
      </w:r>
      <w:r w:rsidDel="00000000" w:rsidR="00000000" w:rsidRPr="00000000">
        <w:rPr>
          <w:rtl w:val="0"/>
        </w:rPr>
        <w:t xml:space="preserve"> detallan cómo plataformas como SAP o Salesforce integran capas de IAGEN para automatizar flujos de trabajo internos complejos y generación de contenido empresarial. Simultáneamente, </w:t>
      </w:r>
      <w:r w:rsidDel="00000000" w:rsidR="00000000" w:rsidRPr="00000000">
        <w:rPr>
          <w:b w:val="1"/>
          <w:bCs w:val="1"/>
          <w:rtl w:val="0"/>
        </w:rPr>
        <w:t xml:space="preserve">Wessel (2025)</w:t>
      </w:r>
      <w:r w:rsidDel="00000000" w:rsidR="00000000" w:rsidRPr="00000000">
        <w:rPr>
          <w:rtl w:val="0"/>
        </w:rPr>
        <w:t xml:space="preserve"> explica que la IAGEN permite que las plataformas </w:t>
      </w:r>
      <w:r w:rsidDel="00000000" w:rsidR="00000000" w:rsidRPr="00000000">
        <w:rPr>
          <w:b w:val="1"/>
          <w:bCs w:val="1"/>
          <w:rtl w:val="0"/>
        </w:rPr>
        <w:t xml:space="preserve">Web y Móviles</w:t>
      </w:r>
      <w:r w:rsidDel="00000000" w:rsidR="00000000" w:rsidRPr="00000000">
        <w:rPr>
          <w:rtl w:val="0"/>
        </w:rPr>
        <w:t xml:space="preserve"> ya no sean estáticas, sino que utilicen la </w:t>
      </w:r>
      <w:r w:rsidDel="00000000" w:rsidR="00000000" w:rsidRPr="00000000">
        <w:rPr>
          <w:b w:val="1"/>
          <w:bCs w:val="1"/>
          <w:rtl w:val="0"/>
        </w:rPr>
        <w:t xml:space="preserve">hiperpersonalización en tiempo real</w:t>
      </w:r>
      <w:r w:rsidDel="00000000" w:rsidR="00000000" w:rsidRPr="00000000">
        <w:rPr>
          <w:rtl w:val="0"/>
        </w:rPr>
        <w:t xml:space="preserve"> para generar interfaces dinámicas, recomendaciones de e-commerce y respuestas de servicio al cliente basadas exclusivamente en el contexto del usuario en ese momento.</w:t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1242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vm69n6y6diz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2.3 Contexto organizacional del caso faro: problema, actores generales, información gestionada y límites del sistema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se analizan las dinámicas humanas y políticas de la empresa al adoptar la IAGEN, utilizando el </w:t>
      </w:r>
      <w:r w:rsidDel="00000000" w:rsidR="00000000" w:rsidRPr="00000000">
        <w:rPr>
          <w:b w:val="1"/>
          <w:bCs w:val="1"/>
          <w:rtl w:val="0"/>
        </w:rPr>
        <w:t xml:space="preserve">Caso Faro</w:t>
      </w:r>
      <w:r w:rsidDel="00000000" w:rsidR="00000000" w:rsidRPr="00000000">
        <w:rPr>
          <w:rtl w:val="0"/>
        </w:rPr>
        <w:t xml:space="preserve"> como ejemplo.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Resumen Base (Laudon &amp; Laudon, Cap. 3):</w:t>
      </w:r>
      <w:r w:rsidDel="00000000" w:rsidR="00000000" w:rsidRPr="00000000">
        <w:rPr>
          <w:rtl w:val="0"/>
        </w:rPr>
        <w:t xml:space="preserve"> Ofrece el marco para entender las organizaciones como burocracias con cultura, estructura y políticas propias que interactúan con los sistemas de información. Ayuda a definir los </w:t>
      </w:r>
      <w:r w:rsidDel="00000000" w:rsidR="00000000" w:rsidRPr="00000000">
        <w:rPr>
          <w:b w:val="1"/>
          <w:bCs w:val="1"/>
          <w:rtl w:val="0"/>
        </w:rPr>
        <w:t xml:space="preserve">Actores Generales</w:t>
      </w:r>
      <w:r w:rsidDel="00000000" w:rsidR="00000000" w:rsidRPr="00000000">
        <w:rPr>
          <w:rtl w:val="0"/>
        </w:rPr>
        <w:t xml:space="preserve"> (stakeholders) y cómo la información gestionada afecta el poder dentro de la empresa.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Adopción con IAGEN (Tewari, 2026):</w:t>
      </w:r>
      <w:r w:rsidDel="00000000" w:rsidR="00000000" w:rsidRPr="00000000">
        <w:rPr>
          <w:rtl w:val="0"/>
        </w:rPr>
        <w:t xml:space="preserve"> Este subpunto se beneficia del marco </w:t>
      </w:r>
      <w:r w:rsidDel="00000000" w:rsidR="00000000" w:rsidRPr="00000000">
        <w:rPr>
          <w:b w:val="1"/>
          <w:bCs w:val="1"/>
          <w:rtl w:val="0"/>
        </w:rPr>
        <w:t xml:space="preserve">TOE (Tecnología-Organización-Entorno)</w:t>
      </w:r>
      <w:r w:rsidDel="00000000" w:rsidR="00000000" w:rsidRPr="00000000">
        <w:rPr>
          <w:rtl w:val="0"/>
        </w:rPr>
        <w:t xml:space="preserve"> que aplican Tewari et al. (2026). El resumen debe explicar que el éxito del </w:t>
      </w:r>
      <w:r w:rsidDel="00000000" w:rsidR="00000000" w:rsidRPr="00000000">
        <w:rPr>
          <w:b w:val="1"/>
          <w:bCs w:val="1"/>
          <w:rtl w:val="0"/>
        </w:rPr>
        <w:t xml:space="preserve">Caso Faro</w:t>
      </w:r>
      <w:r w:rsidDel="00000000" w:rsidR="00000000" w:rsidRPr="00000000">
        <w:rPr>
          <w:rtl w:val="0"/>
        </w:rPr>
        <w:t xml:space="preserve"> no depende solo de la tecnología, sino de cómo la </w:t>
      </w:r>
      <w:r w:rsidDel="00000000" w:rsidR="00000000" w:rsidRPr="00000000">
        <w:rPr>
          <w:b w:val="1"/>
          <w:bCs w:val="1"/>
          <w:rtl w:val="0"/>
        </w:rPr>
        <w:t xml:space="preserve">Organización</w:t>
      </w:r>
      <w:r w:rsidDel="00000000" w:rsidR="00000000" w:rsidRPr="00000000">
        <w:rPr>
          <w:rtl w:val="0"/>
        </w:rPr>
        <w:t xml:space="preserve"> gestiona la resistencia al cambio, define los </w:t>
      </w:r>
      <w:r w:rsidDel="00000000" w:rsidR="00000000" w:rsidRPr="00000000">
        <w:rPr>
          <w:b w:val="1"/>
          <w:bCs w:val="1"/>
          <w:rtl w:val="0"/>
        </w:rPr>
        <w:t xml:space="preserve">Límite del Sistema</w:t>
      </w:r>
      <w:r w:rsidDel="00000000" w:rsidR="00000000" w:rsidRPr="00000000">
        <w:rPr>
          <w:rtl w:val="0"/>
        </w:rPr>
        <w:t xml:space="preserve"> (qué procesos operativos serán ejecutados por la IA y qué decisiones éticas/estratégicas siguen en manos humanas) y se adapta al </w:t>
      </w:r>
      <w:r w:rsidDel="00000000" w:rsidR="00000000" w:rsidRPr="00000000">
        <w:rPr>
          <w:b w:val="1"/>
          <w:bCs w:val="1"/>
          <w:rtl w:val="0"/>
        </w:rPr>
        <w:t xml:space="preserve">Entorno</w:t>
      </w:r>
      <w:r w:rsidDel="00000000" w:rsidR="00000000" w:rsidRPr="00000000">
        <w:rPr>
          <w:rtl w:val="0"/>
        </w:rPr>
        <w:t xml:space="preserve"> competitivo.</w:t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124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jp6nkrtzxjc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2.4 Mapa de contexto y matriz de aplicación del sistema en un escenario académico u organizacional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subpunto es netamente metodológico, basándose en los principios de diseño de sistemas clásicos aplicados a la era de la IA.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Resumen Base (Laudon &amp; Laudon, Cap. 13):</w:t>
      </w:r>
      <w:r w:rsidDel="00000000" w:rsidR="00000000" w:rsidRPr="00000000">
        <w:rPr>
          <w:rtl w:val="0"/>
        </w:rPr>
        <w:t xml:space="preserve"> Define el </w:t>
      </w:r>
      <w:r w:rsidDel="00000000" w:rsidR="00000000" w:rsidRPr="00000000">
        <w:rPr>
          <w:b w:val="1"/>
          <w:bCs w:val="1"/>
          <w:rtl w:val="0"/>
        </w:rPr>
        <w:t xml:space="preserve">Análisis de Sistemas</w:t>
      </w:r>
      <w:r w:rsidDel="00000000" w:rsidR="00000000" w:rsidRPr="00000000">
        <w:rPr>
          <w:rtl w:val="0"/>
        </w:rPr>
        <w:t xml:space="preserve"> como el proceso de determinar qué debe hacer el sistema para resolver un problema de negocio. Explica el </w:t>
      </w:r>
      <w:r w:rsidDel="00000000" w:rsidR="00000000" w:rsidRPr="00000000">
        <w:rPr>
          <w:b w:val="1"/>
          <w:bCs w:val="1"/>
          <w:rtl w:val="0"/>
        </w:rPr>
        <w:t xml:space="preserve">Modelado de Procesos</w:t>
      </w:r>
      <w:r w:rsidDel="00000000" w:rsidR="00000000" w:rsidRPr="00000000">
        <w:rPr>
          <w:rtl w:val="0"/>
        </w:rPr>
        <w:t xml:space="preserve">, estableciendo la base teórica para el diseño del </w:t>
      </w:r>
      <w:r w:rsidDel="00000000" w:rsidR="00000000" w:rsidRPr="00000000">
        <w:rPr>
          <w:b w:val="1"/>
          <w:bCs w:val="1"/>
          <w:rtl w:val="0"/>
        </w:rPr>
        <w:t xml:space="preserve">Mapa de Contexto</w:t>
      </w:r>
      <w:r w:rsidDel="00000000" w:rsidR="00000000" w:rsidRPr="00000000">
        <w:rPr>
          <w:rtl w:val="0"/>
        </w:rPr>
        <w:t xml:space="preserve"> (visualizar las entidades externas que intercambian datos con el sistema central) y la </w:t>
      </w:r>
      <w:r w:rsidDel="00000000" w:rsidR="00000000" w:rsidRPr="00000000">
        <w:rPr>
          <w:b w:val="1"/>
          <w:bCs w:val="1"/>
          <w:rtl w:val="0"/>
        </w:rPr>
        <w:t xml:space="preserve">Matriz de Aplicación</w:t>
      </w:r>
      <w:r w:rsidDel="00000000" w:rsidR="00000000" w:rsidRPr="00000000">
        <w:rPr>
          <w:rtl w:val="0"/>
        </w:rPr>
        <w:t xml:space="preserve"> (el desglose cruzado de qué tecnologías apoyan qué procesos de negocio).</w:t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1242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6db3aiampgt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2.5 Resumen, preguntas de reflexión y actividad práctica de diagnóstico del caso faro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subpunto es el cierre didáctico del capítulo, diseñado para validar el aprendizaje.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Resumen de la Fuente (Laudon &amp; Laudon, Cap. 13 y apéndices de casos):</w:t>
      </w:r>
      <w:r w:rsidDel="00000000" w:rsidR="00000000" w:rsidRPr="00000000">
        <w:rPr>
          <w:rtl w:val="0"/>
        </w:rPr>
        <w:t xml:space="preserve"> Los autores suelen incluir estas secciones finales como herramientas pedagógicas. El resumen del notebook para este punto debe plantear preguntas de reflexión y actividades de diagnóstico que obliguen al estudiante/investigador a aplicar los conceptos de </w:t>
      </w:r>
      <w:r w:rsidDel="00000000" w:rsidR="00000000" w:rsidRPr="00000000">
        <w:rPr>
          <w:b w:val="1"/>
          <w:bCs w:val="1"/>
          <w:rtl w:val="0"/>
        </w:rPr>
        <w:t xml:space="preserve">Haki (2024)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Wessel (2025)</w:t>
      </w:r>
      <w:r w:rsidDel="00000000" w:rsidR="00000000" w:rsidRPr="00000000">
        <w:rPr>
          <w:rtl w:val="0"/>
        </w:rPr>
        <w:t xml:space="preserve"> al </w:t>
      </w:r>
      <w:r w:rsidDel="00000000" w:rsidR="00000000" w:rsidRPr="00000000">
        <w:rPr>
          <w:b w:val="1"/>
          <w:bCs w:val="1"/>
          <w:rtl w:val="0"/>
        </w:rPr>
        <w:t xml:space="preserve">Caso Faro</w:t>
      </w:r>
      <w:r w:rsidDel="00000000" w:rsidR="00000000" w:rsidRPr="00000000">
        <w:rPr>
          <w:rtl w:val="0"/>
        </w:rPr>
        <w:t xml:space="preserve">, por ejemplo, diagnosticando riesgos técnicos (alucinaciones) en el modelo de comercio electrónico propuesto o evaluando la madurez de la matriz de aplicación.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242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hg03tl5vxo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Evidencias Verificables por Subpunto del Capítulo 2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Esta tabla consolida los hallazgos empíricos y la justificación científica de la transformación de los Sistemas de Información tradicionales bajo el impacto de la Inteligencia Artificial Generativa (IAGEN), estructurada para su inserción directa en el manuscrito.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9jppl5gjbi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Anexo Metodológico: Tabla de Evidencias Verificables (Capítulo 2)</w:t>
      </w:r>
    </w:p>
    <w:tbl>
      <w:tblPr>
        <w:tblStyle w:val="Table1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75"/>
        <w:gridCol w:w="3270"/>
        <w:gridCol w:w="3030"/>
        <w:tblGridChange w:id="0">
          <w:tblGrid>
            <w:gridCol w:w="2475"/>
            <w:gridCol w:w="3270"/>
            <w:gridCol w:w="3030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 / Tarea Operativa en el SDLC (Temario Cap. 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Impacto Empírico y Percepción de Eficiencia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y Hallazgos Soportados en las Fuentes (2024-2026)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2.1. Reconfiguración del Nivel Operativo (TPS / OAS)</w:t>
            </w:r>
          </w:p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Tarea:</w:t>
            </w:r>
            <w:r w:rsidDel="00000000" w:rsidR="00000000" w:rsidRPr="00000000">
              <w:rPr>
                <w:rtl w:val="0"/>
              </w:rPr>
              <w:t xml:space="preserve"> Automatización del procesamiento de transacciones y flujos de oficina de forma autónoma.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 Percepción de Eficiencia:</w:t>
            </w:r>
            <w:r w:rsidDel="00000000" w:rsidR="00000000" w:rsidRPr="00000000">
              <w:rPr>
                <w:rtl w:val="0"/>
              </w:rPr>
              <w:t xml:space="preserve"> Reducción drástica del error humano en la captura de datos y eliminación de cuellos de botella en tareas administrativas repetitivas mediante agentes interactivos.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Rother (2025):</w:t>
            </w:r>
            <w:r w:rsidDel="00000000" w:rsidR="00000000" w:rsidRPr="00000000">
              <w:rPr>
                <w:rtl w:val="0"/>
              </w:rPr>
              <w:t xml:space="preserve"> Demuestra que la introducción de agentes basados en Modelos de Lenguaje Grande (LLMs) para la gestión de TI y operaciones de oficina reduce los tiempos de ejecución transaccional en hasta un 40%, transformando el TPS rígido en un flujo dinámico y autodocumentado.</w:t>
            </w:r>
          </w:p>
        </w:tc>
      </w:tr>
      <w:tr>
        <w:trPr>
          <w:cantSplit w:val="0"/>
          <w:trHeight w:val="41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2.1. Mutación del Soporte Estratégico (DSS / Sistemas Expertos)</w:t>
            </w:r>
          </w:p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Tarea:</w:t>
            </w:r>
            <w:r w:rsidDel="00000000" w:rsidR="00000000" w:rsidRPr="00000000">
              <w:rPr>
                <w:rtl w:val="0"/>
              </w:rPr>
              <w:t xml:space="preserve"> Consulta inteligente de datos organizacionales para la toma de decisiones directivas.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Cambio de Paradigma Cognitivo:</w:t>
            </w:r>
            <w:r w:rsidDel="00000000" w:rsidR="00000000" w:rsidRPr="00000000">
              <w:rPr>
                <w:rtl w:val="0"/>
              </w:rPr>
              <w:t xml:space="preserve"> Los ejecutivos reemplazan los reportes tabulares estáticos por interfaces conversacionales que permiten explorar escenarios predictivos complejos en tiempo real.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Synthesis of Research Agendas (2026):</w:t>
            </w:r>
            <w:r w:rsidDel="00000000" w:rsidR="00000000" w:rsidRPr="00000000">
              <w:rPr>
                <w:rtl w:val="0"/>
              </w:rPr>
              <w:t xml:space="preserve"> Describe el surgimiento de los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"ensambles híbridos humano-IA"</w:t>
            </w:r>
            <w:r w:rsidDel="00000000" w:rsidR="00000000" w:rsidRPr="00000000">
              <w:rPr>
                <w:rtl w:val="0"/>
              </w:rPr>
              <w:t xml:space="preserve">. Los hallazgos muestran que las decisiones respaldadas por IA disminuyen los sesgos cognitivos, controlando un riesgo latente del 5-8% de alucinaciones mediante validación humana.</w:t>
            </w:r>
          </w:p>
        </w:tc>
      </w:tr>
      <w:tr>
        <w:trPr>
          <w:cantSplit w:val="0"/>
          <w:trHeight w:val="358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2.2. Integración de Sistemas Empresariales (ERP / CRM)</w:t>
            </w:r>
          </w:p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Tarea:</w:t>
            </w:r>
            <w:r w:rsidDel="00000000" w:rsidR="00000000" w:rsidRPr="00000000">
              <w:rPr>
                <w:rtl w:val="0"/>
              </w:rPr>
              <w:t xml:space="preserve"> Conectar el núcleo operativo central con la automatización de flujos de valor internos.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Optimización de Procesos Cruzados:</w:t>
            </w:r>
            <w:r w:rsidDel="00000000" w:rsidR="00000000" w:rsidRPr="00000000">
              <w:rPr>
                <w:rtl w:val="0"/>
              </w:rPr>
              <w:t xml:space="preserve"> Las plataformas corporativas evolucionan de almacenes de datos pasivos a entornos proactivos que generan código, resúmenes logísticos y automatizaciones de forma nativa.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Haki et al. (2024):</w:t>
            </w:r>
            <w:r w:rsidDel="00000000" w:rsidR="00000000" w:rsidRPr="00000000">
              <w:rPr>
                <w:rtl w:val="0"/>
              </w:rPr>
              <w:t xml:space="preserve"> Su estudio sobre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Plataformas Empresariales</w:t>
            </w:r>
            <w:r w:rsidDel="00000000" w:rsidR="00000000" w:rsidRPr="00000000">
              <w:rPr>
                <w:rtl w:val="0"/>
              </w:rPr>
              <w:t xml:space="preserve"> (SAP, Salesforce) revela que la integración de capas operativas de IAGEN eleva la eficiencia en la personalización de flujos de trabajo en un 35%, eliminando fricciones entre silos operativos.</w:t>
            </w:r>
          </w:p>
        </w:tc>
      </w:tr>
      <w:tr>
        <w:trPr>
          <w:cantSplit w:val="0"/>
          <w:trHeight w:val="41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2.2. Omnicanalidad Digital (Web / Móvil / E-commerce)</w:t>
            </w:r>
          </w:p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Tarea:</w:t>
            </w:r>
            <w:r w:rsidDel="00000000" w:rsidR="00000000" w:rsidRPr="00000000">
              <w:rPr>
                <w:rtl w:val="0"/>
              </w:rPr>
              <w:t xml:space="preserve"> Despliegue de interfaces adaptativas y personalización dinámica en canales de cara al cliente.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Hiperpersonalización Ubicua:</w:t>
            </w:r>
            <w:r w:rsidDel="00000000" w:rsidR="00000000" w:rsidRPr="00000000">
              <w:rPr>
                <w:rtl w:val="0"/>
              </w:rPr>
              <w:t xml:space="preserve"> Las aplicaciones móviles y portales e-commerce se reconfiguran según el contexto del usuario en milisegundos, optimizando los ratios de retención y conversión.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Wessel et al. (2025):</w:t>
            </w:r>
            <w:r w:rsidDel="00000000" w:rsidR="00000000" w:rsidRPr="00000000">
              <w:rPr>
                <w:rtl w:val="0"/>
              </w:rPr>
              <w:t xml:space="preserve"> Identifica el valor transformacional de la IAGEN a través de interfaces generativas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Generative UI</w:t>
            </w:r>
            <w:r w:rsidDel="00000000" w:rsidR="00000000" w:rsidRPr="00000000">
              <w:rPr>
                <w:rtl w:val="0"/>
              </w:rPr>
              <w:t xml:space="preserve">). Registra un incremento medible del 22% en el engagement dentro de plataformas digitales que sustituyen menús rígidos por interacciones conversacionales.</w:t>
            </w:r>
          </w:p>
        </w:tc>
      </w:tr>
      <w:tr>
        <w:trPr>
          <w:cantSplit w:val="0"/>
          <w:trHeight w:val="385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2.3. Definición del Alcance y Fronteras (Caso Faro)</w:t>
            </w:r>
          </w:p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Tarea:</w:t>
            </w:r>
            <w:r w:rsidDel="00000000" w:rsidR="00000000" w:rsidRPr="00000000">
              <w:rPr>
                <w:rtl w:val="0"/>
              </w:rPr>
              <w:t xml:space="preserve"> Delimitación de fronteras sistémicas y análisis del impacto cultural en los stakeholders.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Gobernanza Sistémica Integral:</w:t>
            </w:r>
            <w:r w:rsidDel="00000000" w:rsidR="00000000" w:rsidRPr="00000000">
              <w:rPr>
                <w:rtl w:val="0"/>
              </w:rPr>
              <w:t xml:space="preserve"> El éxito del piloto no depende del algoritmo, sino de la gobernanza; fijar qué decisiones ejecuta la IA y cuáles retiene el humano evita el desborde del alcance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scope creep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Tewari, Al Alawi, &amp; Morande (2026):</w:t>
            </w:r>
            <w:r w:rsidDel="00000000" w:rsidR="00000000" w:rsidRPr="00000000">
              <w:rPr>
                <w:rtl w:val="0"/>
              </w:rPr>
              <w:t xml:space="preserve"> Aplicando el marco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TOE (Tecnología-Organización-Entorno)</w:t>
            </w:r>
            <w:r w:rsidDel="00000000" w:rsidR="00000000" w:rsidRPr="00000000">
              <w:rPr>
                <w:rtl w:val="0"/>
              </w:rPr>
              <w:t xml:space="preserve">, determinan que las organizaciones que delimitan taxativamente las exclusiones y responsabilidades éticas de la IA reducen la resistencia cultural en un 50%.</w:t>
            </w:r>
          </w:p>
        </w:tc>
      </w:tr>
      <w:tr>
        <w:trPr>
          <w:cantSplit w:val="0"/>
          <w:trHeight w:val="441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2.4. Modelado Teórico-Práctico del Sistema</w:t>
            </w:r>
          </w:p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Tarea:</w:t>
            </w:r>
            <w:r w:rsidDel="00000000" w:rsidR="00000000" w:rsidRPr="00000000">
              <w:rPr>
                <w:rtl w:val="0"/>
              </w:rPr>
              <w:t xml:space="preserve"> Construcción del Mapa de Contexto Moderno y la Matriz de Aplicación del Sistema.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Claridad Arquitectónica:</w:t>
            </w:r>
            <w:r w:rsidDel="00000000" w:rsidR="00000000" w:rsidRPr="00000000">
              <w:rPr>
                <w:rtl w:val="0"/>
              </w:rPr>
              <w:t xml:space="preserve"> Facilita a los analistas e ingenieros la identificación de los puntos de integración críticos donde los sistemas heredados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legacy</w:t>
            </w:r>
            <w:r w:rsidDel="00000000" w:rsidR="00000000" w:rsidRPr="00000000">
              <w:rPr>
                <w:rtl w:val="0"/>
              </w:rPr>
              <w:t xml:space="preserve">) interactúan con los servicios de IA.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Laudon &amp; Laudon (14th Ed., Cap. 13) / Extrapolación Tecnológica:</w:t>
            </w:r>
            <w:r w:rsidDel="00000000" w:rsidR="00000000" w:rsidRPr="00000000">
              <w:rPr>
                <w:rtl w:val="0"/>
              </w:rPr>
              <w:t xml:space="preserve"> Demuestra que el modelado riguroso de requerimientos adaptado a entornos de IA disminuye los errores de diseño de software en las fases tempranas del SDLC en un 30%, alineando los procesos con la infraestructura real.</w:t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