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rPr/>
      </w:pPr>
      <w:r>
        <w:rPr/>
        <w:t>А.А. Ивова, П.С. Ромов, студенты; рук. Е.С. Янко, к.т.н., доц.</w:t>
        <w:br/>
        <w:t>(РГГУ, Москва)</w:t>
      </w:r>
    </w:p>
    <w:p>
      <w:pPr>
        <w:pStyle w:val="2"/>
        <w:rPr/>
      </w:pPr>
      <w:r>
        <w:rPr/>
        <w:t>Пример оформления тезисов докладов</w:t>
      </w:r>
    </w:p>
    <w:p>
      <w:pPr>
        <w:pStyle w:val="TextBody"/>
        <w:rPr/>
      </w:pPr>
      <w:r>
        <w:rPr/>
        <w:t>Оформление «Примера…» моделирует авторский оригинал тезисов. Оно подготовлено с помощью текстового редактора Microsoft Word.</w:t>
      </w:r>
    </w:p>
    <w:p>
      <w:pPr>
        <w:pStyle w:val="TextBody"/>
        <w:rPr/>
      </w:pPr>
      <w:r>
        <w:rPr/>
        <w:t>Одной из важнейших разновидностей электротехнических систем являются системы электроэнергетические. Электроэнергетика нуждается в устройствах измерения тока в нормальных и аварийных режимах. Для этих целей обычно используются электромагнитные трансформаторы тока [1].</w:t>
      </w:r>
    </w:p>
    <w:p>
      <w:pPr>
        <w:pStyle w:val="TextBody"/>
        <w:rPr/>
      </w:pPr>
      <w:r>
        <w:rPr/>
        <w:t>Альтернативный способ решения проблемы, связанной с погрешностями трансформатора тока, это использование пояса Роговского [2]. Он получает все большее применение в качестве первичных преобразователей для релейной защиты.</w:t>
      </w:r>
    </w:p>
    <w:p>
      <w:pPr>
        <w:pStyle w:val="TextBody"/>
        <w:rPr/>
      </w:pPr>
      <w:r>
        <w:rPr/>
        <w:t>Пример насыщения магнитопровода представлен на рис. 1. Исследование заключается в построении математических моделей измерительных преобразователя на базе интегратора и пояса Роговского.</w:t>
      </w:r>
    </w:p>
    <w:p>
      <w:pPr>
        <w:pStyle w:val="Frame"/>
        <w:rPr/>
      </w:pPr>
      <w:r>
        <w:rPr/>
        <w:drawing>
          <wp:inline distT="0" distB="0" distL="114935" distR="114935">
            <wp:extent cx="1397000" cy="1405890"/>
            <wp:effectExtent l="0" t="0" r="0" b="0"/>
            <wp:docPr id="1" name="Picture" descr="Рис. 1. Пример оформления графика и подрисуночной подписи: 1 — R=0,73; 2 — R=0,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. Пример оформления графика и подрисуночной подписи: 1 — R=0,73; 2 — R=0,6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rame"/>
        <w:rPr/>
      </w:pPr>
      <w:r>
        <w:rPr/>
        <w:t xml:space="preserve">Рис. 1. Пример оформления графика и подрисуночной подписи: 1 — </w:t>
      </w:r>
      <w:r>
        <w:rPr>
          <w:i/>
        </w:rPr>
        <w:t>R</w:t>
      </w:r>
      <w:r>
        <w:rPr/>
        <w:t xml:space="preserve">=0,73; </w:t>
      </w:r>
      <w:r>
        <w:rPr>
          <w:i/>
        </w:rPr>
        <w:t>2</w:t>
      </w:r>
      <w:r>
        <w:rPr/>
        <w:t xml:space="preserve"> — R=0,6.</w:t>
      </w:r>
    </w:p>
    <w:p>
      <w:pPr>
        <w:pStyle w:val="TextBody"/>
        <w:rPr/>
      </w:pPr>
      <w:r>
        <w:rPr/>
        <w:t>Коэффициент диффузии определяется соотношением:</w:t>
      </w:r>
    </w:p>
    <w:p>
      <w:pPr>
        <w:pStyle w:val="DisplayEquation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eqArr>
          </m:e>
        </m:d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/>
        <w:tab/>
        <w:t>(1)</w:t>
      </w:r>
    </w:p>
    <w:p>
      <w:pPr>
        <w:pStyle w:val="3"/>
        <w:rPr/>
      </w:pPr>
      <w:r>
        <w:rPr/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/>
        <w:t xml:space="preserve"> - целые числа;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/>
        <w:t xml:space="preserve"> можно найти в [2].</w:t>
      </w:r>
    </w:p>
    <w:p>
      <w:pPr>
        <w:pStyle w:val="TextBody"/>
        <w:rPr/>
      </w:pPr>
      <w:r>
        <w:rPr/>
        <w:t>Параметры трансформаторов тока представлены в табл. 1.</w:t>
      </w:r>
    </w:p>
    <w:p>
      <w:pPr>
        <w:pStyle w:val="TableCaption"/>
        <w:rPr/>
      </w:pPr>
      <w:r>
        <w:rPr/>
        <w:t>Таблица 1</w:t>
        <w:br/>
      </w:r>
      <w:r>
        <w:rPr>
          <w:b/>
        </w:rPr>
        <w:t>Пример оформления таблицы</w:t>
      </w:r>
    </w:p>
    <w:tbl>
      <w:tblPr>
        <w:tblStyle w:val="Table"/>
        <w:tblW w:w="64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923"/>
        <w:gridCol w:w="923"/>
        <w:gridCol w:w="923"/>
        <w:gridCol w:w="924"/>
        <w:gridCol w:w="923"/>
        <w:gridCol w:w="923"/>
        <w:gridCol w:w="923"/>
      </w:tblGrid>
      <w:tr>
        <w:trPr>
          <w:cnfStyle w:firstRow="1"/>
        </w:trPr>
        <w:tc>
          <w:tcPr>
            <w:tcW w:w="923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>
                <w:b/>
              </w:rPr>
              <w:t>Режим</w:t>
            </w:r>
          </w:p>
        </w:tc>
        <w:tc>
          <w:tcPr>
            <w:tcW w:w="923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>
                <w:b/>
              </w:rPr>
              <w:t>Q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 xml:space="preserve"> , МВт</w:t>
            </w:r>
          </w:p>
        </w:tc>
        <w:tc>
          <w:tcPr>
            <w:tcW w:w="923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>
                <w:b/>
              </w:rPr>
              <w:t>D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>, кг/с</w:t>
            </w:r>
          </w:p>
        </w:tc>
        <w:tc>
          <w:tcPr>
            <w:tcW w:w="924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>
                <w:b/>
              </w:rPr>
              <w:t>N</w:t>
            </w:r>
            <w:r>
              <w:rPr>
                <w:b/>
                <w:vertAlign w:val="subscript"/>
              </w:rPr>
              <w:t>э</w:t>
            </w:r>
            <w:r>
              <w:rPr>
                <w:b/>
              </w:rPr>
              <w:t>, МВт</w:t>
            </w:r>
          </w:p>
        </w:tc>
        <w:tc>
          <w:tcPr>
            <w:tcW w:w="923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>
                <w:b/>
              </w:rPr>
              <w:t>Q</w:t>
            </w:r>
            <w:r>
              <w:rPr>
                <w:b/>
                <w:vertAlign w:val="subscript"/>
              </w:rPr>
              <w:t>т</w:t>
            </w:r>
            <w:r>
              <w:rPr>
                <w:b/>
              </w:rPr>
              <w:t>, МВт</w:t>
            </w:r>
          </w:p>
        </w:tc>
        <w:tc>
          <w:tcPr>
            <w:tcW w:w="923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>
                <w:b/>
              </w:rPr>
              <w:t>η</w:t>
            </w:r>
            <w:r>
              <w:rPr>
                <w:b/>
                <w:vertAlign w:val="subscript"/>
              </w:rPr>
              <w:t>э</w:t>
            </w:r>
            <w:r>
              <w:rPr>
                <w:b/>
              </w:rPr>
              <w:t>, %</w:t>
            </w:r>
          </w:p>
        </w:tc>
        <w:tc>
          <w:tcPr>
            <w:tcW w:w="923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>
                <w:b/>
              </w:rPr>
              <w:t>η</w:t>
            </w:r>
            <w:r>
              <w:rPr>
                <w:b/>
                <w:vertAlign w:val="subscript"/>
              </w:rPr>
              <w:t>эт</w:t>
            </w:r>
            <w:r>
              <w:rPr>
                <w:b/>
              </w:rPr>
              <w:t>, %</w:t>
            </w:r>
          </w:p>
        </w:tc>
      </w:tr>
      <w:tr>
        <w:trPr/>
        <w:tc>
          <w:tcPr>
            <w:tcW w:w="92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1</w:t>
            </w:r>
          </w:p>
        </w:tc>
        <w:tc>
          <w:tcPr>
            <w:tcW w:w="92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3195,4</w:t>
            </w:r>
          </w:p>
        </w:tc>
        <w:tc>
          <w:tcPr>
            <w:tcW w:w="92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1750</w:t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1091,3</w:t>
            </w:r>
          </w:p>
        </w:tc>
        <w:tc>
          <w:tcPr>
            <w:tcW w:w="92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0</w:t>
            </w:r>
          </w:p>
        </w:tc>
        <w:tc>
          <w:tcPr>
            <w:tcW w:w="92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34,75</w:t>
            </w:r>
          </w:p>
        </w:tc>
        <w:tc>
          <w:tcPr>
            <w:tcW w:w="92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-</w:t>
            </w:r>
          </w:p>
        </w:tc>
      </w:tr>
      <w:tr>
        <w:trPr/>
        <w:tc>
          <w:tcPr>
            <w:tcW w:w="92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2</w:t>
            </w:r>
          </w:p>
        </w:tc>
        <w:tc>
          <w:tcPr>
            <w:tcW w:w="92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3286,6</w:t>
            </w:r>
          </w:p>
        </w:tc>
        <w:tc>
          <w:tcPr>
            <w:tcW w:w="92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1800</w:t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1091,3</w:t>
            </w:r>
          </w:p>
        </w:tc>
        <w:tc>
          <w:tcPr>
            <w:tcW w:w="92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150</w:t>
            </w:r>
          </w:p>
        </w:tc>
        <w:tc>
          <w:tcPr>
            <w:tcW w:w="92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35,43</w:t>
            </w:r>
          </w:p>
        </w:tc>
        <w:tc>
          <w:tcPr>
            <w:tcW w:w="92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37,77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Прорабатывается методика экспериментальной оценки погрешности реального измерительного преобразователя.</w:t>
      </w:r>
    </w:p>
    <w:p>
      <w:pPr>
        <w:pStyle w:val="4"/>
        <w:rPr/>
      </w:pPr>
      <w:r>
        <w:rPr/>
        <w:t>Литература</w:t>
      </w:r>
    </w:p>
    <w:p>
      <w:pPr>
        <w:pStyle w:val="Bibliography"/>
        <w:rPr/>
      </w:pPr>
      <w:r>
        <w:rPr/>
        <w:t>1. Xie Y., Allaire J.J., Grolemund G. R markdown: The definitive guide. Taylor &amp; Francis, CRC Press, 2018.</w:t>
      </w:r>
      <w:bookmarkStart w:id="0" w:name="ref-rmd-book"/>
      <w:bookmarkEnd w:id="0"/>
    </w:p>
    <w:p>
      <w:pPr>
        <w:pStyle w:val="Bibliography"/>
        <w:rPr/>
      </w:pPr>
      <w:r>
        <w:rPr/>
        <w:t>2. Xie Y. Bookdown: Authoring books and technical documents with r markdown. CRC Press LLC, 2017.</w:t>
      </w:r>
    </w:p>
    <w:sectPr>
      <w:type w:val="nextPage"/>
      <w:pgSz w:w="8391" w:h="11906"/>
      <w:pgMar w:left="964" w:right="96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0" w:after="0"/>
      <w:ind w:left="0" w:right="0" w:firstLine="283"/>
      <w:jc w:val="both"/>
    </w:pPr>
    <w:rPr>
      <w:sz w:val="20"/>
    </w:rPr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rFonts w:ascii="Times New Roman" w:hAnsi="Times New Roman"/>
      <w:i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  <w:ind w:left="0" w:right="0" w:hanging="0"/>
    </w:pPr>
    <w:rPr>
      <w:rFonts w:ascii="Times New Roman" w:hAnsi="Times New Roman"/>
      <w:sz w:val="18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spacing w:before="0" w:after="0"/>
      <w:jc w:val="both"/>
    </w:pPr>
    <w:rPr>
      <w:sz w:val="18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  <w:spacing w:before="0" w:after="0"/>
      <w:ind w:left="0" w:right="0" w:firstLine="5669"/>
      <w:jc w:val="center"/>
    </w:pPr>
    <w:rPr>
      <w:b w:val="false"/>
      <w:i w:val="false"/>
      <w:sz w:val="18"/>
    </w:rPr>
  </w:style>
  <w:style w:type="paragraph" w:styleId="ImageCaption" w:customStyle="1">
    <w:name w:val="Image Caption"/>
    <w:basedOn w:val="Caption"/>
    <w:qFormat/>
    <w:pPr>
      <w:jc w:val="center"/>
    </w:pPr>
    <w:rPr>
      <w:b/>
      <w:i w:val="false"/>
      <w:sz w:val="16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>
      <w:rFonts w:ascii="Times New Roman" w:hAnsi="Times New Roman"/>
    </w:rPr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1" w:customStyle="1">
    <w:name w:val="1_СпАвторов"/>
    <w:basedOn w:val="TextBody"/>
    <w:qFormat/>
    <w:pPr>
      <w:jc w:val="right"/>
    </w:pPr>
    <w:rPr>
      <w:rFonts w:ascii="Times New Roman" w:hAnsi="Times New Roman"/>
      <w:b/>
      <w:i/>
      <w:sz w:val="20"/>
    </w:rPr>
  </w:style>
  <w:style w:type="paragraph" w:styleId="2" w:customStyle="1">
    <w:name w:val="2_НазвДоклада"/>
    <w:basedOn w:val="TextBody"/>
    <w:qFormat/>
    <w:pPr>
      <w:spacing w:before="0" w:after="119"/>
      <w:jc w:val="center"/>
    </w:pPr>
    <w:rPr>
      <w:rFonts w:ascii="Times New Roman" w:hAnsi="Times New Roman"/>
      <w:b/>
      <w:caps/>
      <w:sz w:val="22"/>
    </w:rPr>
  </w:style>
  <w:style w:type="paragraph" w:styleId="3" w:customStyle="1">
    <w:name w:val="3_ОснТекст_без_абзаца"/>
    <w:basedOn w:val="TextBody"/>
    <w:qFormat/>
    <w:pPr>
      <w:ind w:left="0" w:right="0" w:hanging="0"/>
    </w:pPr>
    <w:rPr>
      <w:rFonts w:ascii="Times New Roman" w:hAnsi="Times New Roman"/>
    </w:rPr>
  </w:style>
  <w:style w:type="paragraph" w:styleId="4" w:customStyle="1">
    <w:name w:val="4_СпЛитературы"/>
    <w:basedOn w:val="TextBody"/>
    <w:qFormat/>
    <w:pPr>
      <w:jc w:val="center"/>
    </w:pPr>
    <w:rPr>
      <w:rFonts w:ascii="Times New Roman" w:hAnsi="Times New Roman"/>
      <w:b/>
    </w:rPr>
  </w:style>
  <w:style w:type="paragraph" w:styleId="DisplayEquation" w:customStyle="1">
    <w:name w:val="DisplayEquation"/>
    <w:basedOn w:val="TextBody"/>
    <w:qFormat/>
    <w:pPr>
      <w:tabs>
        <w:tab w:val="clear" w:pos="720"/>
        <w:tab w:val="center" w:pos="3231" w:leader="none"/>
        <w:tab w:val="right" w:pos="6463" w:leader="none"/>
      </w:tabs>
    </w:pPr>
    <w:rPr/>
  </w:style>
  <w:style w:type="paragraph" w:styleId="Frame" w:customStyle="1">
    <w:name w:val="Frame"/>
    <w:basedOn w:val="TextBody"/>
    <w:qFormat/>
    <w:pPr/>
    <w:rPr>
      <w:b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LibreOffice/6.2.8.2$Linux_X86_64 LibreOffice_project/20$Build-2</Application>
  <Pages>2</Pages>
  <Words>216</Words>
  <Characters>1410</Characters>
  <CharactersWithSpaces>1596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2020-10-29T16:55:20Z</dcterms:created>
  <dc:creator/>
  <dc:description/>
  <dc:language>en-US</dc:language>
  <cp:lastModifiedBy>SNO </cp:lastModifiedBy>
  <dcterms:modified xsi:type="dcterms:W3CDTF">2020-10-29T19:56:21Z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article.bib</vt:lpwstr>
  </property>
  <property fmtid="{D5CDD505-2E9C-101B-9397-08002B2CF9AE}" pid="3" name="book_filename">
    <vt:lpwstr>article</vt:lpwstr>
  </property>
  <property fmtid="{D5CDD505-2E9C-101B-9397-08002B2CF9AE}" pid="4" name="csl">
    <vt:lpwstr>gost-r-7-0-5-2008-numeric.csl</vt:lpwstr>
  </property>
  <property fmtid="{D5CDD505-2E9C-101B-9397-08002B2CF9AE}" pid="5" name="documentclass">
    <vt:lpwstr>article</vt:lpwstr>
  </property>
  <property fmtid="{D5CDD505-2E9C-101B-9397-08002B2CF9AE}" pid="6" name="link-citations">
    <vt:lpwstr>no</vt:lpwstr>
  </property>
  <property fmtid="{D5CDD505-2E9C-101B-9397-08002B2CF9AE}" pid="7" name="output">
    <vt:lpwstr/>
  </property>
  <property fmtid="{D5CDD505-2E9C-101B-9397-08002B2CF9AE}" pid="8" name="papersize">
    <vt:lpwstr>a5</vt:lpwstr>
  </property>
  <property fmtid="{D5CDD505-2E9C-101B-9397-08002B2CF9AE}" pid="9" name="site">
    <vt:lpwstr>bookdown::bookdown_site</vt:lpwstr>
  </property>
</Properties>
</file>