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425" w:rsidRPr="00C57425" w:rsidRDefault="00C57425" w:rsidP="00C57425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exact"/>
        <w:ind w:left="11340"/>
        <w:rPr>
          <w:rFonts w:ascii="Times New Roman" w:eastAsia="Times New Roman" w:hAnsi="Times New Roman" w:cs="Times New Roman"/>
          <w:color w:val="000000"/>
          <w:sz w:val="28"/>
        </w:rPr>
      </w:pPr>
      <w:r w:rsidRPr="00C57425">
        <w:rPr>
          <w:rFonts w:ascii="Times New Roman" w:eastAsia="Times New Roman" w:hAnsi="Times New Roman" w:cs="Times New Roman"/>
          <w:color w:val="000000"/>
          <w:sz w:val="28"/>
        </w:rPr>
        <w:t>Приложение 3</w:t>
      </w:r>
    </w:p>
    <w:p w:rsidR="00C57425" w:rsidRPr="00C57425" w:rsidRDefault="00C57425" w:rsidP="00C57425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exact"/>
        <w:ind w:left="11340"/>
        <w:rPr>
          <w:rFonts w:ascii="Times New Roman" w:eastAsia="Times New Roman" w:hAnsi="Times New Roman" w:cs="Times New Roman"/>
          <w:color w:val="000000"/>
          <w:sz w:val="28"/>
        </w:rPr>
      </w:pPr>
      <w:r w:rsidRPr="00C57425">
        <w:rPr>
          <w:rFonts w:ascii="Times New Roman" w:eastAsia="Times New Roman" w:hAnsi="Times New Roman" w:cs="Times New Roman"/>
          <w:color w:val="000000"/>
          <w:sz w:val="28"/>
        </w:rPr>
        <w:t>к пояснительной записке</w:t>
      </w:r>
    </w:p>
    <w:p w:rsidR="00C57425" w:rsidRDefault="00C57425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:rsidR="0035282D" w:rsidRDefault="001758BB">
      <w:pPr>
        <w:tabs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auto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Финансовое обеспечение реализации Государственной программы Пермского края</w:t>
      </w:r>
    </w:p>
    <w:p w:rsidR="0035282D" w:rsidRDefault="001758BB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auto"/>
        <w:ind w:left="89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«Развитие образования и науки»</w:t>
      </w:r>
    </w:p>
    <w:p w:rsidR="00C57425" w:rsidRDefault="00C57425">
      <w:pPr>
        <w:tabs>
          <w:tab w:val="left" w:pos="5407"/>
          <w:tab w:val="left" w:pos="8098"/>
          <w:tab w:val="left" w:pos="8874"/>
          <w:tab w:val="left" w:pos="9561"/>
          <w:tab w:val="left" w:pos="10663"/>
          <w:tab w:val="left" w:pos="11324"/>
          <w:tab w:val="left" w:pos="12485"/>
          <w:tab w:val="left" w:pos="13627"/>
        </w:tabs>
        <w:spacing w:after="0" w:line="300" w:lineRule="auto"/>
        <w:ind w:left="89"/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2014-2017 годы</w:t>
      </w:r>
    </w:p>
    <w:p w:rsidR="0035282D" w:rsidRDefault="0035282D">
      <w:pPr>
        <w:spacing w:after="0" w:line="300" w:lineRule="auto"/>
        <w:ind w:left="11907"/>
        <w:rPr>
          <w:rFonts w:ascii="Times New Roman" w:eastAsia="Times New Roman" w:hAnsi="Times New Roman" w:cs="Times New Roman"/>
          <w:sz w:val="28"/>
        </w:rPr>
      </w:pPr>
    </w:p>
    <w:tbl>
      <w:tblPr>
        <w:tblW w:w="15041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0"/>
        <w:gridCol w:w="1501"/>
        <w:gridCol w:w="1544"/>
        <w:gridCol w:w="1544"/>
        <w:gridCol w:w="1545"/>
        <w:gridCol w:w="2504"/>
        <w:gridCol w:w="1097"/>
        <w:gridCol w:w="1210"/>
        <w:gridCol w:w="1276"/>
      </w:tblGrid>
      <w:tr w:rsidR="0035282D" w:rsidRPr="00BB5BD4" w:rsidTr="00C57425">
        <w:tc>
          <w:tcPr>
            <w:tcW w:w="2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Государственной программы, подпрограммы, основного мероприятия</w:t>
            </w:r>
          </w:p>
        </w:tc>
        <w:tc>
          <w:tcPr>
            <w:tcW w:w="6134" w:type="dxa"/>
            <w:gridSpan w:val="4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Расходы бюджета, тыс. рублей</w:t>
            </w:r>
          </w:p>
        </w:tc>
        <w:tc>
          <w:tcPr>
            <w:tcW w:w="2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Наименование целевого показателя</w:t>
            </w:r>
          </w:p>
        </w:tc>
        <w:tc>
          <w:tcPr>
            <w:tcW w:w="3583" w:type="dxa"/>
            <w:gridSpan w:val="3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Значение целевого показателя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(изменение**)</w:t>
            </w:r>
          </w:p>
        </w:tc>
      </w:tr>
      <w:tr w:rsidR="0035282D" w:rsidRPr="00BB5BD4" w:rsidTr="00C57425">
        <w:tc>
          <w:tcPr>
            <w:tcW w:w="2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2014 год*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2015 год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2016 год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2017 год</w:t>
            </w:r>
          </w:p>
        </w:tc>
        <w:tc>
          <w:tcPr>
            <w:tcW w:w="2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2015 год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2016 год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2017 год</w:t>
            </w:r>
          </w:p>
        </w:tc>
      </w:tr>
    </w:tbl>
    <w:p w:rsidR="00C57425" w:rsidRDefault="00C57425" w:rsidP="00C57425">
      <w:pPr>
        <w:spacing w:after="0" w:line="24" w:lineRule="auto"/>
      </w:pPr>
    </w:p>
    <w:tbl>
      <w:tblPr>
        <w:tblW w:w="15041" w:type="dxa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0"/>
        <w:gridCol w:w="1501"/>
        <w:gridCol w:w="1544"/>
        <w:gridCol w:w="1544"/>
        <w:gridCol w:w="1545"/>
        <w:gridCol w:w="2504"/>
        <w:gridCol w:w="1097"/>
        <w:gridCol w:w="1210"/>
        <w:gridCol w:w="1276"/>
      </w:tblGrid>
      <w:tr w:rsidR="0035282D" w:rsidRPr="00BB5BD4" w:rsidTr="00C57425">
        <w:trPr>
          <w:tblHeader/>
        </w:trPr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b/>
                <w:sz w:val="24"/>
              </w:rPr>
              <w:t>Государственная программа Пермского края «Развитие образования и науки»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BC3E0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27</w:t>
            </w:r>
            <w:r w:rsidR="00BC3E0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 639 333</w:t>
            </w: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,</w:t>
            </w:r>
            <w:r w:rsidR="00BC3E0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8B164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29 068 081,7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8B164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28 949 775,3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29 077 760,0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b/>
                <w:sz w:val="24"/>
              </w:rPr>
              <w:t>в том числе средства краевого бюджета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BC3E0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27</w:t>
            </w:r>
            <w:r w:rsidR="00BC3E0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 617 810,2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8B164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29 047 889,</w:t>
            </w:r>
            <w:r w:rsidR="008B164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6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8B1645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28 929 95</w:t>
            </w:r>
            <w:r w:rsidR="008B164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5</w:t>
            </w: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,</w:t>
            </w:r>
            <w:r w:rsidR="008B1645"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9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29 056 584,0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b/>
                <w:sz w:val="24"/>
              </w:rPr>
              <w:t>в том числе средства федерального бюджета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21 523,7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20 192,1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19 819,4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21 176,0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both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Подпрограмма 1: 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br/>
              <w:t>Дошкольное образование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7 409 363,8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8 501 353,7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 w:rsidP="000156C9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8 610 048,</w:t>
            </w:r>
            <w:r w:rsidR="000156C9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8 626 258,1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1.1.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обеспечение государственных гарантий реализации прав на получение общедоступного и бесплатного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дошкольного образования в муниципальных дошкольных 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7 199 974,5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8 226 922,4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8 337 592,1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8 356 077,5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1.2.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обеспечение воспитания и обучения детей-инвалидов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муниципальных дошкольных образовательных организациях и на дому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34 347,6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38 103,8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36 128,7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33 853,1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1.3.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дошкольного образования в частных дошкольных общеобразовательных организациях, осуществляющих образовательную деятельность по имеющим государственную аккредитацию основным общеобразовательным программам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161 151,7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226 537,5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226 537,5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226 537,5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Основное мероприятие</w:t>
            </w:r>
          </w:p>
          <w:p w:rsidR="0035282D" w:rsidRPr="00BB5BD4" w:rsidRDefault="000D17E5" w:rsidP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1.6.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мероприятия, обеспечивающие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функционирование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br/>
              <w:t>и развитие дошкольного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3 790,0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1 790,0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1 790,0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1 790,0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 качеством общего образования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1.7.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внедрение федеральных государственных образовательных стандартов дошкольного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10 100,0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Доля муниципальных организаций дошкольного общего образования,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которых внедрены ФГОС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both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Подпрограмма 2 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br/>
              <w:t>«Общее (начальное, основное, среднее) образование»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14 718 356,6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14 862 033,5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15 039 476,8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15 180 907,2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2.1.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государственных гарантий на получение общедоступного бесплатного дошкольного, начального, основного, среднего общего образования, а также дополнительного образования в общеобразовательных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12 077 282,1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12 211 827,8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12 371 930,5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12 508 259,5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</w:p>
          <w:p w:rsidR="0035282D" w:rsidRPr="00BB5BD4" w:rsidRDefault="000D17E5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2.2.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предоставление общедоступного и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бесплатного основного, среднего общего образования по основным общеобразовательным программам и дополнительного образования по дополнительным общеобразовательным программам естественнонаучной, физкультурно-спортивной, художественной, технической, социально-педагогической и туристско-краеведческой направленности в общеобразовательных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right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131 610,3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131 791,4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131 791,4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131 791,4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Количество детей, охваченных услугой получения общего </w:t>
            </w:r>
          </w:p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и дополнительного образования 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в учреждениях военно-патриотической направленности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320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(-340,0)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(-440,0)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320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2.3.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предоставление дошкольного, начального общего, основного общего, среднего общего образования в частных общеобразовательных организациях, осуществляющих образовательную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деятельность по имеющим государственную аккредитацию основным общеобразовательным программам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38 377,5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51 766,4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55 553,9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57 011,1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Количество детей, охваченных услугой предоставления начального общего, среднего общего образования негосударственными организациями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</w:t>
            </w:r>
            <w:r w:rsidR="000D17E5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2.4.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выплата вознаграждения за выполнение функций классного руководителя педагогическим работникам в государственных 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1 774,9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3 413,5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3 413,5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3 413,5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Количество педагогов, получающих ежемесячное денежное вознаграждение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2.5.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выплата вознаграждения за выполнение функций классного руководителя педагогическим работникам муниципальных образовательных организаций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410 003,6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415 497,3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419 991,8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423 600,5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Количество педагогов, получающих ежемесячное денежное вознаграждение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2.6.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мероприятия, обеспечивающие функционирование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br/>
              <w:t>и развитие общего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40 600,0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53 900,0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53 900,0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53 900,0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 качеством общего образования по итогам опросов общественного мнения от числа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2.7.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стипендиальное обеспечение обучающихся в 10-х и 11-х классах общеобразовательных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72 393,8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Отношение среднего балла ЕГЭ (в расчете на один предмет) в 10 % школ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с лучшими результатами ЕГЭ к среднему баллу ЕГЭ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(в расчете на один предмет)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10 % школ с худшими результатами ЕГЭ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1,55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(+0,05)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1,5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(+0,1)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1,5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Основное мероприятие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2.8.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мероприятия, обеспечивающие повышение доступности и качества общего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53 500,0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62 000,0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54 300,0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54 300,0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  <w:r w:rsidR="000D17E5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2.9.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обеспечение деятельности казенных учреждений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7 166,2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7 166,2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7 166,2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7 166,2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с ограниченными возможностями здоровья, доступностью и качеством образования по итогам опросов общественного мнения, % от числа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  <w:r w:rsidR="000D17E5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2.10. 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обеспечение деятельности казенных учреждений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85 953,3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57 416,4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57 416,4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57 416,4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с ограниченными возможностями здоровья, доступностью и качеством образования по итогам опросов общественного мнения, %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  <w:r w:rsidR="000D17E5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2.11.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общедоступного и бесплатного дошкольного, начального, основного, среднего общего образования по адаптированным основным общеобразовательным программам в специальных (коррекционных) 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166 550,1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166 814,1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166 814,1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166 814,1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с ограниченными возможностями здоровья, доступностью и качеством образования по итогам опросов общественного мнения, %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</w:p>
          <w:p w:rsidR="0035282D" w:rsidRPr="00BB5BD4" w:rsidRDefault="000D17E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2.11.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предоставление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общедоступного и бесплатного дошкольного, начального, основного, среднего общего образования </w:t>
            </w:r>
            <w:proofErr w:type="gramStart"/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по</w:t>
            </w:r>
            <w:proofErr w:type="gramEnd"/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основным</w:t>
            </w:r>
            <w:proofErr w:type="gramEnd"/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 и адаптированным основным общеобразовательным программам в специальных (коррекционных) образовательных организациях для обучающихся, воспитанников с ограниченными возможностями здоровья, специальных учебно-воспитательных организациях открытого типа, оздоровительных образовательных организациях санаторного типа для детей, нуждающихся в длительном лечении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1 526 195,9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1 582 118,1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1 593 260,8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1 593 296,3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с ограниченными возможностями здоровья, доступностью и качеством образования по итогам опросов общественного мнения, %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  <w:r w:rsidR="002E41AB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2.13. 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организация дистанционного образования детей-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инвалидов на дому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29 713,1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29 713,1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29 713,1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29 713,1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с ограниченными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возможностями здоровья, доступностью и качеством образования по итогам опросов общественного мнения, %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</w:p>
          <w:p w:rsidR="0035282D" w:rsidRPr="00BB5BD4" w:rsidRDefault="002E41A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2.14. </w:t>
            </w:r>
            <w:r w:rsidR="00DF5F39"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общедоступного и бесплатного дошкольного, начального, основного, среднего общего образования по адаптированным основным общеобразовательным программам в специальных (коррекционных) 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77 235,8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77 377,4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77 377,4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77 377,4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Удовлетворенность населения, имеющего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с ограниченными возможностями здоровья, доступностью и качеством образования по итогам опросов общественного мнения, %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65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2E41AB" w:rsidP="002E41A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2.15.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предоставление общедоступного и бесплатного дошкольного, начального, основного, среднего общего  и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дополнительного образования по основным и дополнительным общеобразовательным программам в образовательных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11 231,8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16 847,7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16 847,7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Подпрограмма 3 «Дополнительное образование и воспитание детей»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 w:rsidP="00DF5F39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10</w:t>
            </w:r>
            <w:r w:rsidR="00DF5F39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4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 </w:t>
            </w:r>
            <w:r w:rsidR="00DF5F39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96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3,</w:t>
            </w:r>
            <w:r w:rsidR="00DF5F39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110 670,9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116 670,9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116 670,9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35282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3.1.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дополнительного образования детей по дополнительным общеобразовательным программам в организациях дополнительного образования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 w:rsidP="00C57425">
            <w:pPr>
              <w:spacing w:after="0" w:line="240" w:lineRule="auto"/>
            </w:pP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65 303,7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71 610,9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71 610,9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71 610,9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Доля детей, охваченных образовательными программами дополнительного образования детей </w:t>
            </w:r>
          </w:p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 организациях неспортивной направленности, в общей численности детей </w:t>
            </w:r>
          </w:p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 молодежи в возрасте </w:t>
            </w:r>
          </w:p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5-18 лет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74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74,8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75,6</w:t>
            </w:r>
          </w:p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3.2. 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Мероприятия, обеспечивающие функционирование и развитие дополнительного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33 860,0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33 260,0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33 260,0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33 260,0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детей и молодежи, вовлеченных в реализуемые органами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исполнительной власти проекты и программы, в общем количестве детей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и молодежи в возрасте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от 7 до 18 лет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8,5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9,5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9,5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Основное мероприятие 3.3. М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ероприятия, обеспечивающие повышение доступности и качества дополнительного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5 800,0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5 800,0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11 800,0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11 800,0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Улучшение материально-технической базы учреждений дополнительного образования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Подпрограмма 4 «Профессиональное образование»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3 416 680,2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 w:rsidP="00993A97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3 685 507,</w:t>
            </w:r>
            <w:r w:rsidR="00993A97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993A97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3 652 640,1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993A97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3 655 415,8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4.1.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профессионального образования по образовательным программам профессионального образования и профессионального обучения в профессиональных образовательных организациях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96210" w:rsidRPr="00BB5BD4" w:rsidRDefault="00096210" w:rsidP="00C57425">
            <w:pPr>
              <w:spacing w:after="0" w:line="240" w:lineRule="auto"/>
            </w:pP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2 753 909,5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3 044 924,9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2 996 431,0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2 984 952,2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Доля выпускников образовательных организаций профессионального образования, трудоустроившихся </w:t>
            </w:r>
          </w:p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специальности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57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58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4.2. Стипендиальное обеспечение </w:t>
            </w:r>
          </w:p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 дополнительные формы материальной поддержки </w:t>
            </w:r>
            <w:proofErr w:type="gramStart"/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обучающихся</w:t>
            </w:r>
            <w:proofErr w:type="gramEnd"/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096210" w:rsidRPr="00BB5BD4" w:rsidRDefault="00096210" w:rsidP="00C57425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в государственных профессиональных организациях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202 584,8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179 427,5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191 604,0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205 858,5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Доля выпускников 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образовательных организаций профессионального образования, трудоустроившихся </w:t>
            </w:r>
          </w:p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специальности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55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57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58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gramStart"/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4.3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Проведение воспитательной работы среди обучающихся, проживающих в общежитиях Пермского края, на период обучения в профессиональных образовательных организациях</w:t>
            </w:r>
            <w:proofErr w:type="gramEnd"/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425 331,9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431 294,8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431 294,8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431 294,8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Доля выпускников образовательных организаций профессионального образования, трудоустроившихся </w:t>
            </w:r>
          </w:p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специальности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57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58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4.4.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Предоставление профессиональной ориентации и психологической  поддержки населения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11 604,0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13 960,3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13 960,3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13 960,3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Доля образовательных организаций профессионального образования, в которых созданы условия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для профессиональной подготовки лиц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с ограниченными возможностями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здоровья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4.5.  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Мероприятия, обеспечивающие функционирование и развитие профессионального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5 250,0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6 450,0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6 450,0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Доля обучающихся, зачисленных на </w:t>
            </w:r>
            <w:proofErr w:type="gramStart"/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обучение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по программам</w:t>
            </w:r>
            <w:proofErr w:type="gramEnd"/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 профессионального образования на места, обеспеченные заказом работодателей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57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096210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4.6.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Мероприятия, обеспечивающие повышение доступности и качества профессионального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18 000,0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11 900,0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12 900,0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12 900,0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Доля профессиональных образовательных организаций, прошедших государственно-общественную аккредитацию основных профессиональных образовательных программ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50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96210" w:rsidRPr="00BB5BD4" w:rsidRDefault="000962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55</w:t>
            </w:r>
          </w:p>
          <w:p w:rsidR="00096210" w:rsidRPr="00BB5BD4" w:rsidRDefault="00096210">
            <w:pPr>
              <w:spacing w:after="0" w:line="240" w:lineRule="auto"/>
              <w:jc w:val="center"/>
            </w:pP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C57425" w:rsidRDefault="00505C98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Подпрограмма 5: Высшее образование и наука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C57425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715 128,8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C57425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493 512,2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C57425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524 421,7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C57425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524 421,7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BB5BD4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BB5BD4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BB5BD4">
              <w:rPr>
                <w:rFonts w:ascii="Calibri" w:eastAsia="Calibri" w:hAnsi="Calibri" w:cs="Calibri"/>
              </w:rPr>
              <w:t> 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BB5BD4">
              <w:rPr>
                <w:rFonts w:ascii="Calibri" w:eastAsia="Calibri" w:hAnsi="Calibri" w:cs="Calibri"/>
              </w:rPr>
              <w:t> 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 xml:space="preserve">5.1. Предоставление дополнительных мер социальной поддержки кандидатам наук, работающим в организациях высшего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образования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8 160,0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8 400,0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9 000,0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9 000,0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публикаций статей в изданиях, входящих в международные системы цитирования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Science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SCOPUS, </w:t>
            </w: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подготовленных пермскими учеными в течение года, ед.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lastRenderedPageBreak/>
              <w:t>400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500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5.2. Предоставление дополнительных мер социальной поддержки отдельных категорий лиц, которым присуждена ученая степень доктора наук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136 881,9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134 081,9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134 081,9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134 081,9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публикаций статей в изданиях, входящих в международные системы цитирования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Science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, SCOPUS, подготовленных пермскими учеными в течение года, ед.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500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5.3. Именные стипендии для аспирантов государственных образовательных организаций (и их филиалов) высшего образования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6 085,8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8 283,5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9 660,0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9 660,0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публикаций статей в изданиях, входящих в международные системы цитирования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Science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, SCOPUS, подготовленных пермскими учеными в течение года, ед.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500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5.4. Премии Пермского края в области науки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1 975,8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1 975,8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1 975,8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1 975,8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публикаций статей в изданиях, входящих в международные системы цитирования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Web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of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Science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, SCOPUS, подготовленных пермскими учеными </w:t>
            </w: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в течение года, ед.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lastRenderedPageBreak/>
              <w:t>400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450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500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5.5. Развитие международной интеграции в сфере науки, повышение уровня научных исследований и разработок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129 603,0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71 103,0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96 103,0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96 103,0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Доля внутренних затрат на исследования и разработки в общем объеме валового регионального продукта, %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1,77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1,8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1,85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 xml:space="preserve">5.6. Именные стипендии Пермского края для студентов государственных образовательных организаций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br/>
              <w:t>(и их филиалов) высшего образования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3 055,3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3 450,0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3 450,0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3 450,0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студентов пермских вузов, получающих повышенные стипендии разного уровня, чел.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2550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2600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3000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5.7. Дополнительные стипендии для студентов государственных образовательных организаций высшего образования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146 050,0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159 321,0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163 254,0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163 254,0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студентов пермских вузов, получающих повышенные стипендии разного уровня, чел.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2550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2600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3000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 xml:space="preserve">5.8. Поддержка талантливой молодежи в образовательных организациях высшего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образования Пермского края, включая внедрение механизмов индивидуальных образовательных траекторий для работы с талантливыми студентами, введение системы «Креативный дневник»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820,0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1 000,0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Количество студентов пермских вузов, получающих повышенные стипендии разного </w:t>
            </w: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уровня, чел.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lastRenderedPageBreak/>
              <w:t>2550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2600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3000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>5.9. Популяризация науки среди молодежи, включая привлечение ведущих российских и зарубежных ученых для проведения лекций, семинаров, мастер-классов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5 897,0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5 897,0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5 897,0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5 897,0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участников научных и образовательных мероприятий с привлечением зарубежных ученых-лекторов, проведенных на коммуникативной площадке, созданной на базе краевой библиотеки им. А.М. Горького, и площадках пермских образовательных организаций высшего образования и научных организаций, чел.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5000</w:t>
            </w:r>
            <w:r w:rsidRPr="00BB5BD4">
              <w:rPr>
                <w:rFonts w:ascii="Times New Roman" w:eastAsia="Calibri" w:hAnsi="Times New Roman" w:cs="Times New Roman"/>
              </w:rPr>
              <w:br/>
              <w:t>(+3500)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8000</w:t>
            </w:r>
            <w:r w:rsidRPr="00BB5BD4">
              <w:rPr>
                <w:rFonts w:ascii="Times New Roman" w:eastAsia="Calibri" w:hAnsi="Times New Roman" w:cs="Times New Roman"/>
              </w:rPr>
              <w:br/>
              <w:t>(+6000)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10 000</w:t>
            </w:r>
          </w:p>
        </w:tc>
      </w:tr>
      <w:tr w:rsidR="00505C98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4F74BA" w:rsidP="00C57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Основное мероприятие 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t xml:space="preserve">5.10. Повышение конкурентоспособности </w:t>
            </w:r>
            <w:r w:rsidR="00505C98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образовательных организаций высшего образования Пермского края, включая поддержку программ развития ведущих университетов и развитие материально-технической базы организаций высшего образования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276 600,0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100 000,0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100 000,0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100 000,0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Доля выполненных показателей программ развития </w:t>
            </w:r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пермских вузов, </w:t>
            </w:r>
            <w:proofErr w:type="spellStart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>софинансируемых</w:t>
            </w:r>
            <w:proofErr w:type="spellEnd"/>
            <w:r w:rsidRPr="00BB5BD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из средств бюджета Пермского края, %  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lastRenderedPageBreak/>
              <w:t>100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100</w:t>
            </w:r>
            <w:r w:rsidRPr="00BB5BD4">
              <w:rPr>
                <w:rFonts w:ascii="Times New Roman" w:eastAsia="Calibri" w:hAnsi="Times New Roman" w:cs="Times New Roman"/>
              </w:rPr>
              <w:br/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505C98" w:rsidRPr="00BB5BD4" w:rsidRDefault="00505C98" w:rsidP="00C5742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B5BD4">
              <w:rPr>
                <w:rFonts w:ascii="Times New Roman" w:eastAsia="Calibri" w:hAnsi="Times New Roman" w:cs="Times New Roman"/>
              </w:rPr>
              <w:t>100</w:t>
            </w: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Подпрограмма 6 «Кадровая политика»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873 548,0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 w:rsidP="00993A97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798 815,</w:t>
            </w:r>
            <w:r w:rsidR="00993A97"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772 514,7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993A97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739 738,9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35282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6.1.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С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тимулирование педагогических работников по результатам обучения школьников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80 000,0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80 000,0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80 000,0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80 000,0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учителей Пермского края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возрасте до 35 лет в общей численности учителей общеобразовательных организаций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6.2.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М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ероприятия, обеспечивающие кадровую политику в сфере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108 519,0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105 859,0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105 859,0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105 859,0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учителей Пермского края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возрасте до 35 лет в общей численности учителей общеобразовательных организаций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  <w:r w:rsidR="004F74BA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6.3.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редоставление дополнительного профессионального образования по дополнительным профессиональным программам в организациях дополнительного профессионального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83 972,7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94 113,7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75 511,1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75 511,1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Объем выполнения государственного задания по обеспечению государственной услуги 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организации предоставления дополнительного профессионального образования по повышению квалификации работников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6.4.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Реализация проекта «Мобильный учитель»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5 400,0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6 000,0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6 000,0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Динамика снижения доли вакансий педагогических кадров в школах отдаленных сельских территорий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21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6.5.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редоставление мер социальной поддержки педагогическим работникам муниципальных образовательных организаций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562 241,6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478 142,3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470 444,2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453 868,4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учителей Пермского края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возрасте до 35 лет в общей численности учителей общеобразовательных организаций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6.6.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Д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 xml:space="preserve">ополнительные меры социальной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поддержки отдельных категорий лиц, которым присуждены ученые степени кандидата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и доктора наук, работающих 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общеобразовательных организациях Пермского края</w:t>
            </w:r>
            <w:r w:rsidR="001758BB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lastRenderedPageBreak/>
              <w:t>10 004,7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6D1977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9 896,</w:t>
            </w:r>
            <w:r w:rsidR="006D1977"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6D1977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9 896,</w:t>
            </w:r>
            <w:r w:rsidR="006D1977"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4F74BA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9 896,</w:t>
            </w:r>
            <w:r w:rsidR="006D1977"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учителей Пермского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края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возрасте до 35 лет в общей численности учителей общеобразовательных организаций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19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  <w:r w:rsidR="004F74BA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6.7. </w:t>
            </w:r>
            <w:r w:rsidR="00096210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Д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ополнительные меры социальной поддержки отдельных категорий лиц, которым присуждены ученые степени кандидата </w:t>
            </w:r>
          </w:p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и доктора наук, работающих 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в общеобразовательных и профессиональных организациях Пермского края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7 210,0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8 604,1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8 604,1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8 604,1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Удельный вес численности учителей Пермского края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в возрасте до 35 лет в общей численности учителей общеобразовательных организаций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19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22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6.8.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У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лучшение жилищных условий молодых учителей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16 200,0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16 200,0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16 200,0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Количество молодых педагогов, улучшивших жилищные условия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7B4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</w:t>
            </w:r>
          </w:p>
          <w:p w:rsidR="0035282D" w:rsidRPr="00BB5BD4" w:rsidRDefault="001758BB" w:rsidP="007B4126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(+</w:t>
            </w:r>
            <w:r w:rsidR="007B4126"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B4126" w:rsidRPr="00BB5BD4" w:rsidRDefault="007B4126" w:rsidP="007B41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50</w:t>
            </w:r>
          </w:p>
          <w:p w:rsidR="0035282D" w:rsidRPr="00BB5BD4" w:rsidRDefault="007B4126" w:rsidP="007B4126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(+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5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Подпрограмма 7 «Приведение в нормативное состояние образовательных организаций Пермского 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края»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lastRenderedPageBreak/>
              <w:t>273 946,0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501 446,0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113 946,0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113 946,0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35282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  <w:r w:rsidR="004F74BA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7.1. </w:t>
            </w:r>
            <w:r w:rsidR="00096210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М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ероприятия 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по приведению образовательных организаций в нормативное состояние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107 946,0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107 946,0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107 946,0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107 946,0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Доля государственных образовательных организаций Пермского края, имеющих лицензию 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на образовательную деятельность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  <w:r w:rsidR="004F74BA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7.2. </w:t>
            </w:r>
            <w:r w:rsidR="00096210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Ф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ормирование доступной среды среднего профессионального образования для детей-инвалидов и лиц</w:t>
            </w:r>
          </w:p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с ограниченными возможностями здоровья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6 000,0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6 000,0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6 000,0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6 000,0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Доля образовательных организаций профессионального образования, в которых созданы условия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для профессиональной подготовки лиц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>с ограниченными возможностями здоровья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14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18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4F74BA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7.3.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Б</w:t>
            </w:r>
            <w:r w:rsidR="005B3366" w:rsidRPr="00BB5BD4">
              <w:rPr>
                <w:rFonts w:ascii="Times New Roman" w:eastAsia="Times New Roman" w:hAnsi="Times New Roman" w:cs="Times New Roman"/>
                <w:sz w:val="24"/>
              </w:rPr>
              <w:t>юджетные инвестиции на строительство объектов общественной инфраструктуры регионального значения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160 000,0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387 500,0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5B3366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Ввод в эксплуатацию объектов региональной инфраструктуры, обеспечивающей сопровождение образовательных услуг, ед.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2</w:t>
            </w:r>
            <w:r w:rsidR="005B3366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(+1)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0</w:t>
            </w:r>
            <w:r w:rsidR="005B3366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</w:t>
            </w:r>
            <w:r w:rsidR="005B3366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(+1)</w:t>
            </w: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Подпрограмма 8 «Обеспечение </w:t>
            </w: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реализации государственной программы и прочие мероприятия в области образования»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lastRenderedPageBreak/>
              <w:t>127 346,8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114 742,5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120 056,8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120 401,4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35282D">
            <w:pPr>
              <w:spacing w:after="0" w:line="240" w:lineRule="auto"/>
              <w:rPr>
                <w:rFonts w:ascii="Calibri" w:eastAsia="Calibri" w:hAnsi="Calibri" w:cs="Calibri"/>
                <w:i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lastRenderedPageBreak/>
              <w:t>в том числе средства краевого бюджета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105 823,1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94 550,4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100 237,4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99 225,4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sz w:val="24"/>
              </w:rPr>
              <w:t>в том числе средства федерального бюджета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21 523,7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20 192,1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19 819,4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C57425" w:rsidRDefault="001758BB">
            <w:pPr>
              <w:spacing w:after="0" w:line="240" w:lineRule="auto"/>
              <w:jc w:val="center"/>
              <w:rPr>
                <w:i/>
              </w:rPr>
            </w:pPr>
            <w:r w:rsidRPr="00C5742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</w:rPr>
              <w:t>21 176,0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35282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</w:t>
            </w:r>
            <w:r w:rsidR="00096210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8.1.</w:t>
            </w: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:rsidR="0035282D" w:rsidRPr="00BB5BD4" w:rsidRDefault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О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беспечение выполнения функций государственными органами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57 777,2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58 073,7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58 073,7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58 073,7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Уровень освоения бюджета Программы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</w:p>
          <w:p w:rsidR="0035282D" w:rsidRPr="00BB5BD4" w:rsidRDefault="005B3366" w:rsidP="00096210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8.2.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рочие мероприятия, обеспечивающие функционирование и развитие образования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29 820,0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27 960,0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27 960,0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27 960,0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Доля образовательных организаций Пермского края, включенных в мониторинг реализации мероприятий Программы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 w:rsidP="000962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Основное мероприятие  </w:t>
            </w:r>
            <w:r w:rsidR="00096210"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8.3.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Г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t>осударственная аккредитация образовательной деятельности организаций</w:t>
            </w: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5 153,0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5 656,0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3 843,0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2 831,0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Доля образовательных организаций из числа заявившихся, получивших государственную услугу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br/>
              <w:t xml:space="preserve">по лицензированию </w:t>
            </w:r>
            <w:r w:rsidRPr="00BB5BD4">
              <w:rPr>
                <w:rFonts w:ascii="Times New Roman" w:eastAsia="Times New Roman" w:hAnsi="Times New Roman" w:cs="Times New Roman"/>
                <w:sz w:val="24"/>
              </w:rPr>
              <w:lastRenderedPageBreak/>
              <w:t>образовательной деятельности в нормативные сроки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100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  <w:tr w:rsidR="0035282D" w:rsidRPr="00BB5BD4" w:rsidTr="00C57425">
        <w:tc>
          <w:tcPr>
            <w:tcW w:w="28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Основное мероприятие  </w:t>
            </w:r>
          </w:p>
          <w:p w:rsidR="0035282D" w:rsidRPr="00BB5BD4" w:rsidRDefault="005B33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 xml:space="preserve">8.4. </w:t>
            </w:r>
            <w:r w:rsidR="00096210" w:rsidRPr="00BB5BD4">
              <w:rPr>
                <w:rFonts w:ascii="Times New Roman" w:eastAsia="Times New Roman" w:hAnsi="Times New Roman" w:cs="Times New Roman"/>
                <w:sz w:val="24"/>
              </w:rPr>
              <w:t>П</w:t>
            </w:r>
            <w:r w:rsidR="001758BB" w:rsidRPr="00BB5BD4">
              <w:rPr>
                <w:rFonts w:ascii="Times New Roman" w:eastAsia="Times New Roman" w:hAnsi="Times New Roman" w:cs="Times New Roman"/>
                <w:sz w:val="24"/>
              </w:rPr>
              <w:t>рочие мероприятия в области образования</w:t>
            </w:r>
          </w:p>
          <w:p w:rsidR="0035282D" w:rsidRPr="00BB5BD4" w:rsidRDefault="0035282D">
            <w:pPr>
              <w:spacing w:after="0" w:line="240" w:lineRule="auto"/>
            </w:pPr>
          </w:p>
        </w:tc>
        <w:tc>
          <w:tcPr>
            <w:tcW w:w="1501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13 072,9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2 860,7</w:t>
            </w:r>
          </w:p>
        </w:tc>
        <w:tc>
          <w:tcPr>
            <w:tcW w:w="1544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10 360,7</w:t>
            </w:r>
          </w:p>
        </w:tc>
        <w:tc>
          <w:tcPr>
            <w:tcW w:w="154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i/>
                <w:color w:val="000000"/>
                <w:sz w:val="24"/>
              </w:rPr>
              <w:t>10 360,7</w:t>
            </w:r>
          </w:p>
        </w:tc>
        <w:tc>
          <w:tcPr>
            <w:tcW w:w="2504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both"/>
            </w:pPr>
            <w:r w:rsidRPr="00BB5BD4">
              <w:rPr>
                <w:rFonts w:ascii="Times New Roman" w:eastAsia="Times New Roman" w:hAnsi="Times New Roman" w:cs="Times New Roman"/>
                <w:sz w:val="24"/>
              </w:rPr>
              <w:t>Удовлетворенность населения качеством общего образования по итогам опросов общественного мнения от числа опрошенных</w:t>
            </w:r>
          </w:p>
        </w:tc>
        <w:tc>
          <w:tcPr>
            <w:tcW w:w="109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67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1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68</w:t>
            </w:r>
          </w:p>
          <w:p w:rsidR="0035282D" w:rsidRPr="00BB5BD4" w:rsidRDefault="001758BB">
            <w:pPr>
              <w:spacing w:after="0" w:line="240" w:lineRule="auto"/>
              <w:jc w:val="center"/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(0)</w:t>
            </w:r>
          </w:p>
        </w:tc>
        <w:tc>
          <w:tcPr>
            <w:tcW w:w="1276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5282D" w:rsidRPr="00BB5BD4" w:rsidRDefault="00175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BB5BD4">
              <w:rPr>
                <w:rFonts w:ascii="Times New Roman" w:eastAsia="Times New Roman" w:hAnsi="Times New Roman" w:cs="Times New Roman"/>
                <w:color w:val="000000"/>
                <w:sz w:val="24"/>
              </w:rPr>
              <w:t>69</w:t>
            </w:r>
          </w:p>
          <w:p w:rsidR="0035282D" w:rsidRPr="00BB5BD4" w:rsidRDefault="0035282D">
            <w:pPr>
              <w:spacing w:after="0" w:line="240" w:lineRule="auto"/>
              <w:jc w:val="center"/>
            </w:pPr>
          </w:p>
        </w:tc>
      </w:tr>
    </w:tbl>
    <w:p w:rsidR="0035282D" w:rsidRDefault="0035282D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5282D" w:rsidSect="001758B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82D"/>
    <w:rsid w:val="000156C9"/>
    <w:rsid w:val="00096210"/>
    <w:rsid w:val="000D17E5"/>
    <w:rsid w:val="001758BB"/>
    <w:rsid w:val="002E41AB"/>
    <w:rsid w:val="0035282D"/>
    <w:rsid w:val="0048455C"/>
    <w:rsid w:val="004F74BA"/>
    <w:rsid w:val="00505C98"/>
    <w:rsid w:val="005B3366"/>
    <w:rsid w:val="006D1977"/>
    <w:rsid w:val="006E77A6"/>
    <w:rsid w:val="006F50E1"/>
    <w:rsid w:val="007B4126"/>
    <w:rsid w:val="008B1645"/>
    <w:rsid w:val="00991828"/>
    <w:rsid w:val="00993A97"/>
    <w:rsid w:val="00A7228F"/>
    <w:rsid w:val="00BB5BD4"/>
    <w:rsid w:val="00BC3E05"/>
    <w:rsid w:val="00C57425"/>
    <w:rsid w:val="00DF5F39"/>
    <w:rsid w:val="00F0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B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7E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B5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5B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A7F2D-2255-47BB-96A5-90E793F04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Департамент образования</Company>
  <LinksUpToDate>false</LinksUpToDate>
  <CharactersWithSpaces>20778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Буранова Эльвира Изимкуловна</dc:creator>
  <cp:lastModifiedBy>Петрова Наталья Павловна</cp:lastModifiedBy>
  <cp:revision>5</cp:revision>
  <cp:lastPrinted>2014-09-29T11:03:00Z</cp:lastPrinted>
  <dcterms:created xsi:type="dcterms:W3CDTF">2014-09-29T11:03:00Z</dcterms:created>
  <dcterms:modified xsi:type="dcterms:W3CDTF">2014-09-29T12:47:00Z</dcterms:modified>
</cp:coreProperties>
</file>