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Cure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336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Mr. Elamughil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bottle 6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Colourless Clear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None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Unobjectionable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0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1420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12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13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Not tested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Not tested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Not tested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Not tested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Not tested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10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11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230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123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2230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Not tested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Bottle 6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2020-07-24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