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Mayur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334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Arumugam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Bottle 1 Malaipatti Opposite to TDA  Borewell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Colourless Clear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None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Unobjectionable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0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1420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994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Not tested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Not tested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5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10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11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230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123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2230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10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Mayur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2020-07-23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