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Kabir - Pilot Before You Scale</w:t>
      </w:r>
    </w:p>
    <w:p>
      <w:r>
        <w:rPr>
          <w:i/>
        </w:rPr>
        <w:t>Case Prompt - Inter-University Strategy Challenge 2026, Round 2. VoltRide Mobility operates 1,800 dockless electric scooters in Pune and completed 410,000 rides in the last financial year. The founders must decide whether to expand into three tier-2 cities (Nagpur, Indore and Coimbatore) within eighteen months or to deepen operations in Pune by adding battery-swapping stations and corporate subscriptions. Teams must assess market attractiveness, unit economics per scooter, regulatory risk and the funding required for each option. Your submission must recommend one option, justify it with quantitative reasoning, identify the three largest risks and propose mitigation measures for each. Answers should not exceed 1,500 words excluding this prompt. Use only the case exhibits and publicly available sources, and cite every external source you rely on. Submissions will be scored on insight, rigour, feasibility and clarity of communication.</w:t>
      </w:r>
    </w:p>
    <w:p>
      <w:r>
        <w:t>Kabir's team argues for a single-city pilot in Indore rather than an immediate three city rollout. The logic is about learning cheaply. A pilot of 300 scooters costs a fraction of a full launch and tells VoltRide whether its Pune playbook transfers to a smaller market before serious capital is committed.</w:t>
      </w:r>
    </w:p>
    <w:p>
      <w:r>
        <w:t>Indore suits a pilot for three reasons. The core of the city is flat, so batteries last longer per charge. Around 1.2 lakh students study within six kilometres of Vijay Nagar, which gives a dense base of short trips. And no shared scooter operator is active there yet, so early riders will form habits around VoltRide's app.</w:t>
      </w:r>
    </w:p>
    <w:p>
      <w:r>
        <w:br w:type="page"/>
      </w:r>
    </w:p>
    <w:p>
      <w:r>
        <w:t>We would run the pilot through a franchise partner who owns the scooters while VoltRide supplies the software, the brand and the maintenance standards. This keeps the balance sheet light, and the partner carries the depreciation risk. Our model shows payback for the partner in fourteen months at five rides per scooter per day.</w:t>
      </w:r>
    </w:p>
    <w:p>
      <w:r>
        <w:t>The decision rule after six months is simple. If rides per scooter exceed 4.5 and the damage rate stays under three percent, VoltRide signs franchise partners in Nagpur and Coimbatore. If not, it pulls the fleet back to Pune and has lost less than one crore rupees.</w:t>
      </w:r>
    </w:p>
    <w:p>
      <w:pPr>
        <w:pStyle w:val="Heading2"/>
      </w:pPr>
      <w:r>
        <w:t>References</w:t>
      </w:r>
    </w:p>
    <w:p>
      <w:r>
        <w:t>VoltRide Mobility Case Exhibits 1-4, Inter-University Strategy Challenge 2026.</w:t>
      </w:r>
    </w:p>
    <w:p>
      <w:r>
        <w:t>Wikipedia contributors. Scooter-sharing system. Wikipedia, The Free Encyclopedia. Accessed October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Inter-University Strategy Challenge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