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Team Diya - Test One City First</w:t>
      </w:r>
    </w:p>
    <w:p>
      <w:r>
        <w:rPr>
          <w:i/>
        </w:rPr>
        <w:t>Case Prompt - Inter-University Strategy Challenge 2026, Round 2. VoltRide Mobility operates 1,800 dockless electric scooters in Pune and completed 410,000 rides in the last financial year. The founders must decide whether to expand into three tier-2 cities (Nagpur, Indore and Coimbatore) within eighteen months or to deepen operations in Pune by adding battery-swapping stations and corporate subscriptions. Teams must assess market attractiveness, unit economics per scooter, regulatory risk and the funding required for each option. Your submission must recommend one option, justify it with quantitative reasoning, identify the three largest risks and propose mitigation measures for each. Answers should not exceed 1,500 words excluding this prompt. Use only the case exhibits and publicly available sources, and cite every external source you rely on. Submissions will be scored on insight, rigour, feasibility and clarity of communication.</w:t>
      </w:r>
    </w:p>
    <w:p>
      <w:r>
        <w:t>In our view VoltRide should test one new market, Indore, instead of entering all three cities at once. The aim is inexpensive learning: trialling roughly three hundred e-scooters needs only a small share of the money a complete rollout would, and it reveals whether the operating model built in Pune works in a smaller city before large investments are made.</w:t>
      </w:r>
    </w:p>
    <w:p>
      <w:r>
        <w:t>There are three reasons Indore is a good test bed. Its central area has almost no slopes, which stretches battery range on every charge. About 120,000 college students live within a short ride of Vijay Nagar, producing lots of brief journeys. Finally, no rival sharing company operates in the city today, so the first users will build their routines around VoltRide.</w:t>
      </w:r>
    </w:p>
    <w:p>
      <w:r>
        <w:br w:type="page"/>
      </w:r>
    </w:p>
    <w:p>
      <w:r>
        <w:t>The trial would be operated by a local franchisee that buys the vehicles, while VoltRide provides the platform, branding and servicing rules. This approach keeps assets off VoltRide's books and shifts depreciation exposure to the franchisee, who by our estimates recovers the investment within about fourteen months if each scooter does five trips daily.</w:t>
      </w:r>
    </w:p>
    <w:p>
      <w:r>
        <w:t>After half a year, a clear threshold decides the next step. Should average trips per vehicle pass 4.5 while damage remains below 3%, the company recruits franchisees for Nagpur and Coimbatore; otherwise it brings the scooters home to Pune, having spent under ten million rupees.</w:t>
      </w:r>
    </w:p>
    <w:p>
      <w:pPr>
        <w:pStyle w:val="Heading2"/>
      </w:pPr>
      <w:r>
        <w:t>References</w:t>
      </w:r>
    </w:p>
    <w:p>
      <w:r>
        <w:t>VoltRide Mobility Case Exhibits 1-4, Inter-University Strategy Challenge 2026.</w:t>
      </w:r>
    </w:p>
    <w:p>
      <w:r>
        <w:t>Wikipedia contributors. Scooter-sharing system. Wikipedia, The Free Encyclopedia. Accessed October 2026.</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Inter-University Strategy Challenge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