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Team Rohan - Sell to Employers</w:t>
      </w:r>
    </w:p>
    <w:p>
      <w:r>
        <w:rPr>
          <w:i/>
        </w:rPr>
        <w:t>Case Prompt - Inter-University Strategy Challenge 2026, Round 2. VoltRide Mobility operates 1,800 dockless electric scooters in Pune and completed 410,000 rides in the last financial year. The founders must decide whether to expand into three tier-2 cities (Nagpur, Indore and Coimbatore) within eighteen months or to deepen operations in Pune by adding battery-swapping stations and corporate subscriptions. Teams must assess market attractiveness, unit economics per scooter, regulatory risk and the funding required for each option. Your submission must recommend one option, justify it with quantitative reasoning, identify the three largest risks and propose mitigation measures for each. Answers should not exceed 1,500 words excluding this prompt. Use only the case exhibits and publicly available sources, and cite every external source you rely on. Submissions will be scored on insight, rigour, feasibility and clarity of communication.</w:t>
      </w:r>
    </w:p>
    <w:p>
      <w:r>
        <w:t>Our team looked at the problem from the customer side. Most VoltRide trips in Pune are under three kilometres and happen between 8 and 10 in the morning, which means the scooters mostly serve office commuters getting from a bus stop or metro station to their desk.</w:t>
      </w:r>
    </w:p>
    <w:p>
      <w:r>
        <w:t>That pattern points to corporate subscriptions. If an IT park like Magarpatta buys monthly passes for its employees, VoltRide gets predictable revenue and can park scooters exactly where the demand is. We priced a pass at 499 rupees per employee per month for twenty rides, roughly a third cheaper than pay per ride.</w:t>
      </w:r>
    </w:p>
    <w:p>
      <w:r>
        <w:br w:type="page"/>
      </w:r>
    </w:p>
    <w:p>
      <w:r>
        <w:t>We spoke informally to four HR managers while preparing this. Three of them said they already reimburse cab fares for late shifts and would happily move some of that budget to scooters if the company handled insurance and helmets. That's a small sample, but it suggests the willingness to pay is real.</w:t>
      </w:r>
    </w:p>
    <w:p>
      <w:r>
        <w:t>Our main worry is that subscriptions cannibalise existing riders who already pay full price. To limit that, passes would only be sold to employers, not to individuals, and would only unlock scooters inside geofenced office zones during working hours.</w:t>
      </w:r>
    </w:p>
    <w:p>
      <w:pPr>
        <w:pStyle w:val="Heading2"/>
      </w:pPr>
      <w:r>
        <w:t>References</w:t>
      </w:r>
    </w:p>
    <w:p>
      <w:r>
        <w:t>VoltRide Mobility Case Exhibits 1-4, Inter-University Strategy Challenge 2026.</w:t>
      </w:r>
    </w:p>
    <w:p>
      <w:r>
        <w:t>Wikipedia contributors. Scooter-sharing system. Wikipedia, The Free Encyclopedia. Accessed October 2026.</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Inter-University Strategy Challenge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