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Team Vikram - Safety Before Scale</w:t>
      </w:r>
    </w:p>
    <w:p>
      <w:r>
        <w:t>Before choosing between growth options, we think VoltRide has to fix rider safety. The case exhibits mention 37 reported injuries last year but say nothing about helmets, and we couldn't find a single photo in VoltRide's marketing where a rider wears one.</w:t>
      </w:r>
    </w:p>
    <w:p>
      <w:r>
        <w:t>Insurers are starting to notice. A national insurer quoted us an indicative premium that would rise by about sixty percent per scooter if the injury rate stays where it is. That increase alone wipes out most of the margin gained from either growth plan.</w:t>
      </w:r>
    </w:p>
    <w:p>
      <w:r>
        <w:br w:type="page"/>
      </w:r>
    </w:p>
    <w:p>
      <w:r>
        <w:t>Our proposal is a helmet-lock: each scooter carries a foldable helmet in a smart box, and the ride cannot start until the helmet sensor is clipped. A pilot in Kothrud would show whether riders tolerate the extra thirty seconds at unlock.</w:t>
      </w:r>
    </w:p>
    <w:p>
      <w:r>
        <w:t>Only after injury rates fall below one per ten thousand rides would we revisit the expansion question. A company that hurts its customers will struggle to win permits in any new city anyway.</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Inter-University Strategy Challenge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