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0639087E" w:rsidR="00060C0E" w:rsidRPr="00CB3015" w:rsidRDefault="008A36B6" w:rsidP="00060C0E">
      <w:pPr>
        <w:pStyle w:val="Titolo"/>
        <w:rPr>
          <w:b/>
          <w:bCs/>
          <w:lang w:val="en-US"/>
        </w:rPr>
      </w:pPr>
      <w:r>
        <w:rPr>
          <w:b/>
          <w:bCs/>
          <w:lang w:val="en-US"/>
        </w:rPr>
        <w:t>Blue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2001070"/>
      <w:r w:rsidRPr="00CB3015">
        <w:rPr>
          <w:b/>
          <w:bCs/>
          <w:color w:val="auto"/>
          <w:lang w:val="en-US"/>
        </w:rPr>
        <w:t>Index</w:t>
      </w:r>
      <w:bookmarkEnd w:id="0"/>
    </w:p>
    <w:p w14:paraId="76A42D9C" w14:textId="36201280" w:rsidR="00FE72A9" w:rsidRPr="00FE72A9"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2001070" w:history="1">
        <w:r w:rsidR="00FE72A9" w:rsidRPr="00FE72A9">
          <w:rPr>
            <w:rStyle w:val="Collegamentoipertestuale"/>
            <w:noProof/>
            <w:lang w:val="en-US"/>
          </w:rPr>
          <w:t>Index</w:t>
        </w:r>
        <w:r w:rsidR="00FE72A9" w:rsidRPr="00FE72A9">
          <w:rPr>
            <w:noProof/>
            <w:webHidden/>
          </w:rPr>
          <w:tab/>
        </w:r>
        <w:r w:rsidR="00FE72A9" w:rsidRPr="00FE72A9">
          <w:rPr>
            <w:noProof/>
            <w:webHidden/>
          </w:rPr>
          <w:fldChar w:fldCharType="begin"/>
        </w:r>
        <w:r w:rsidR="00FE72A9" w:rsidRPr="00FE72A9">
          <w:rPr>
            <w:noProof/>
            <w:webHidden/>
          </w:rPr>
          <w:instrText xml:space="preserve"> PAGEREF _Toc182001070 \h </w:instrText>
        </w:r>
        <w:r w:rsidR="00FE72A9" w:rsidRPr="00FE72A9">
          <w:rPr>
            <w:noProof/>
            <w:webHidden/>
          </w:rPr>
        </w:r>
        <w:r w:rsidR="00FE72A9" w:rsidRPr="00FE72A9">
          <w:rPr>
            <w:noProof/>
            <w:webHidden/>
          </w:rPr>
          <w:fldChar w:fldCharType="separate"/>
        </w:r>
        <w:r w:rsidR="00087EE9">
          <w:rPr>
            <w:noProof/>
            <w:webHidden/>
          </w:rPr>
          <w:t>1</w:t>
        </w:r>
        <w:r w:rsidR="00FE72A9" w:rsidRPr="00FE72A9">
          <w:rPr>
            <w:noProof/>
            <w:webHidden/>
          </w:rPr>
          <w:fldChar w:fldCharType="end"/>
        </w:r>
      </w:hyperlink>
    </w:p>
    <w:p w14:paraId="13769F81" w14:textId="49376646" w:rsidR="00FE72A9" w:rsidRPr="00FE72A9" w:rsidRDefault="00FE72A9">
      <w:pPr>
        <w:pStyle w:val="Sommario1"/>
        <w:tabs>
          <w:tab w:val="right" w:leader="dot" w:pos="9628"/>
        </w:tabs>
        <w:rPr>
          <w:rFonts w:eastAsiaTheme="minorEastAsia"/>
          <w:noProof/>
          <w:lang w:eastAsia="it-IT"/>
        </w:rPr>
      </w:pPr>
      <w:hyperlink w:anchor="_Toc182001071" w:history="1">
        <w:r w:rsidRPr="00FE72A9">
          <w:rPr>
            <w:rStyle w:val="Collegamentoipertestuale"/>
            <w:noProof/>
          </w:rPr>
          <w:t>List of pictures</w:t>
        </w:r>
        <w:r w:rsidRPr="00FE72A9">
          <w:rPr>
            <w:noProof/>
            <w:webHidden/>
          </w:rPr>
          <w:tab/>
        </w:r>
        <w:r w:rsidRPr="00FE72A9">
          <w:rPr>
            <w:noProof/>
            <w:webHidden/>
          </w:rPr>
          <w:fldChar w:fldCharType="begin"/>
        </w:r>
        <w:r w:rsidRPr="00FE72A9">
          <w:rPr>
            <w:noProof/>
            <w:webHidden/>
          </w:rPr>
          <w:instrText xml:space="preserve"> PAGEREF _Toc182001071 \h </w:instrText>
        </w:r>
        <w:r w:rsidRPr="00FE72A9">
          <w:rPr>
            <w:noProof/>
            <w:webHidden/>
          </w:rPr>
        </w:r>
        <w:r w:rsidRPr="00FE72A9">
          <w:rPr>
            <w:noProof/>
            <w:webHidden/>
          </w:rPr>
          <w:fldChar w:fldCharType="separate"/>
        </w:r>
        <w:r w:rsidR="00087EE9">
          <w:rPr>
            <w:noProof/>
            <w:webHidden/>
          </w:rPr>
          <w:t>1</w:t>
        </w:r>
        <w:r w:rsidRPr="00FE72A9">
          <w:rPr>
            <w:noProof/>
            <w:webHidden/>
          </w:rPr>
          <w:fldChar w:fldCharType="end"/>
        </w:r>
      </w:hyperlink>
    </w:p>
    <w:p w14:paraId="48D1C5A5" w14:textId="65E71E22" w:rsidR="00FE72A9" w:rsidRPr="00FE72A9" w:rsidRDefault="00FE72A9">
      <w:pPr>
        <w:pStyle w:val="Sommario1"/>
        <w:tabs>
          <w:tab w:val="right" w:leader="dot" w:pos="9628"/>
        </w:tabs>
        <w:rPr>
          <w:rFonts w:eastAsiaTheme="minorEastAsia"/>
          <w:noProof/>
          <w:lang w:eastAsia="it-IT"/>
        </w:rPr>
      </w:pPr>
      <w:hyperlink w:anchor="_Toc182001072" w:history="1">
        <w:r w:rsidRPr="00FE72A9">
          <w:rPr>
            <w:rStyle w:val="Collegamentoipertestuale"/>
            <w:noProof/>
            <w:lang w:val="en-US"/>
          </w:rPr>
          <w:t>Disclaimer</w:t>
        </w:r>
        <w:r w:rsidRPr="00FE72A9">
          <w:rPr>
            <w:noProof/>
            <w:webHidden/>
          </w:rPr>
          <w:tab/>
        </w:r>
        <w:r w:rsidRPr="00FE72A9">
          <w:rPr>
            <w:noProof/>
            <w:webHidden/>
          </w:rPr>
          <w:fldChar w:fldCharType="begin"/>
        </w:r>
        <w:r w:rsidRPr="00FE72A9">
          <w:rPr>
            <w:noProof/>
            <w:webHidden/>
          </w:rPr>
          <w:instrText xml:space="preserve"> PAGEREF _Toc182001072 \h </w:instrText>
        </w:r>
        <w:r w:rsidRPr="00FE72A9">
          <w:rPr>
            <w:noProof/>
            <w:webHidden/>
          </w:rPr>
        </w:r>
        <w:r w:rsidRPr="00FE72A9">
          <w:rPr>
            <w:noProof/>
            <w:webHidden/>
          </w:rPr>
          <w:fldChar w:fldCharType="separate"/>
        </w:r>
        <w:r w:rsidR="00087EE9">
          <w:rPr>
            <w:noProof/>
            <w:webHidden/>
          </w:rPr>
          <w:t>2</w:t>
        </w:r>
        <w:r w:rsidRPr="00FE72A9">
          <w:rPr>
            <w:noProof/>
            <w:webHidden/>
          </w:rPr>
          <w:fldChar w:fldCharType="end"/>
        </w:r>
      </w:hyperlink>
    </w:p>
    <w:p w14:paraId="3298241B" w14:textId="23D0770E" w:rsidR="00FE72A9" w:rsidRPr="00FE72A9" w:rsidRDefault="00FE72A9">
      <w:pPr>
        <w:pStyle w:val="Sommario1"/>
        <w:tabs>
          <w:tab w:val="right" w:leader="dot" w:pos="9628"/>
        </w:tabs>
        <w:rPr>
          <w:rFonts w:eastAsiaTheme="minorEastAsia"/>
          <w:noProof/>
          <w:lang w:eastAsia="it-IT"/>
        </w:rPr>
      </w:pPr>
      <w:hyperlink w:anchor="_Toc182001073" w:history="1">
        <w:r w:rsidRPr="00FE72A9">
          <w:rPr>
            <w:rStyle w:val="Collegamentoipertestuale"/>
            <w:noProof/>
            <w:lang w:val="en-US"/>
          </w:rPr>
          <w:t>Reconnaissance</w:t>
        </w:r>
        <w:r w:rsidRPr="00FE72A9">
          <w:rPr>
            <w:noProof/>
            <w:webHidden/>
          </w:rPr>
          <w:tab/>
        </w:r>
        <w:r w:rsidRPr="00FE72A9">
          <w:rPr>
            <w:noProof/>
            <w:webHidden/>
          </w:rPr>
          <w:fldChar w:fldCharType="begin"/>
        </w:r>
        <w:r w:rsidRPr="00FE72A9">
          <w:rPr>
            <w:noProof/>
            <w:webHidden/>
          </w:rPr>
          <w:instrText xml:space="preserve"> PAGEREF _Toc182001073 \h </w:instrText>
        </w:r>
        <w:r w:rsidRPr="00FE72A9">
          <w:rPr>
            <w:noProof/>
            <w:webHidden/>
          </w:rPr>
        </w:r>
        <w:r w:rsidRPr="00FE72A9">
          <w:rPr>
            <w:noProof/>
            <w:webHidden/>
          </w:rPr>
          <w:fldChar w:fldCharType="separate"/>
        </w:r>
        <w:r w:rsidR="00087EE9">
          <w:rPr>
            <w:noProof/>
            <w:webHidden/>
          </w:rPr>
          <w:t>2</w:t>
        </w:r>
        <w:r w:rsidRPr="00FE72A9">
          <w:rPr>
            <w:noProof/>
            <w:webHidden/>
          </w:rPr>
          <w:fldChar w:fldCharType="end"/>
        </w:r>
      </w:hyperlink>
    </w:p>
    <w:p w14:paraId="11ADFF7F" w14:textId="75AE3ECE" w:rsidR="00FE72A9" w:rsidRPr="00FE72A9" w:rsidRDefault="00FE72A9">
      <w:pPr>
        <w:pStyle w:val="Sommario1"/>
        <w:tabs>
          <w:tab w:val="right" w:leader="dot" w:pos="9628"/>
        </w:tabs>
        <w:rPr>
          <w:rFonts w:eastAsiaTheme="minorEastAsia"/>
          <w:noProof/>
          <w:lang w:eastAsia="it-IT"/>
        </w:rPr>
      </w:pPr>
      <w:hyperlink w:anchor="_Toc182001074" w:history="1">
        <w:r w:rsidRPr="00FE72A9">
          <w:rPr>
            <w:rStyle w:val="Collegamentoipertestuale"/>
            <w:noProof/>
            <w:lang w:val="en-US"/>
          </w:rPr>
          <w:t>Initial foothold</w:t>
        </w:r>
        <w:r w:rsidRPr="00FE72A9">
          <w:rPr>
            <w:noProof/>
            <w:webHidden/>
          </w:rPr>
          <w:tab/>
        </w:r>
        <w:r w:rsidRPr="00FE72A9">
          <w:rPr>
            <w:noProof/>
            <w:webHidden/>
          </w:rPr>
          <w:fldChar w:fldCharType="begin"/>
        </w:r>
        <w:r w:rsidRPr="00FE72A9">
          <w:rPr>
            <w:noProof/>
            <w:webHidden/>
          </w:rPr>
          <w:instrText xml:space="preserve"> PAGEREF _Toc182001074 \h </w:instrText>
        </w:r>
        <w:r w:rsidRPr="00FE72A9">
          <w:rPr>
            <w:noProof/>
            <w:webHidden/>
          </w:rPr>
        </w:r>
        <w:r w:rsidRPr="00FE72A9">
          <w:rPr>
            <w:noProof/>
            <w:webHidden/>
          </w:rPr>
          <w:fldChar w:fldCharType="separate"/>
        </w:r>
        <w:r w:rsidR="00087EE9">
          <w:rPr>
            <w:noProof/>
            <w:webHidden/>
          </w:rPr>
          <w:t>2</w:t>
        </w:r>
        <w:r w:rsidRPr="00FE72A9">
          <w:rPr>
            <w:noProof/>
            <w:webHidden/>
          </w:rPr>
          <w:fldChar w:fldCharType="end"/>
        </w:r>
      </w:hyperlink>
    </w:p>
    <w:p w14:paraId="5B2F5CE3" w14:textId="44B37029" w:rsidR="00FE72A9" w:rsidRPr="00FE72A9" w:rsidRDefault="00FE72A9">
      <w:pPr>
        <w:pStyle w:val="Sommario1"/>
        <w:tabs>
          <w:tab w:val="right" w:leader="dot" w:pos="9628"/>
        </w:tabs>
        <w:rPr>
          <w:rFonts w:eastAsiaTheme="minorEastAsia"/>
          <w:noProof/>
          <w:lang w:eastAsia="it-IT"/>
        </w:rPr>
      </w:pPr>
      <w:hyperlink w:anchor="_Toc182001075" w:history="1">
        <w:r w:rsidRPr="00FE72A9">
          <w:rPr>
            <w:rStyle w:val="Collegamentoipertestuale"/>
            <w:noProof/>
            <w:lang w:val="en-US"/>
          </w:rPr>
          <w:t>Shell</w:t>
        </w:r>
        <w:r w:rsidRPr="00FE72A9">
          <w:rPr>
            <w:noProof/>
            <w:webHidden/>
          </w:rPr>
          <w:tab/>
        </w:r>
        <w:r w:rsidRPr="00FE72A9">
          <w:rPr>
            <w:noProof/>
            <w:webHidden/>
          </w:rPr>
          <w:fldChar w:fldCharType="begin"/>
        </w:r>
        <w:r w:rsidRPr="00FE72A9">
          <w:rPr>
            <w:noProof/>
            <w:webHidden/>
          </w:rPr>
          <w:instrText xml:space="preserve"> PAGEREF _Toc182001075 \h </w:instrText>
        </w:r>
        <w:r w:rsidRPr="00FE72A9">
          <w:rPr>
            <w:noProof/>
            <w:webHidden/>
          </w:rPr>
        </w:r>
        <w:r w:rsidRPr="00FE72A9">
          <w:rPr>
            <w:noProof/>
            <w:webHidden/>
          </w:rPr>
          <w:fldChar w:fldCharType="separate"/>
        </w:r>
        <w:r w:rsidR="00087EE9">
          <w:rPr>
            <w:noProof/>
            <w:webHidden/>
          </w:rPr>
          <w:t>3</w:t>
        </w:r>
        <w:r w:rsidRPr="00FE72A9">
          <w:rPr>
            <w:noProof/>
            <w:webHidden/>
          </w:rPr>
          <w:fldChar w:fldCharType="end"/>
        </w:r>
      </w:hyperlink>
    </w:p>
    <w:p w14:paraId="430B61AE" w14:textId="3E7886E8" w:rsidR="00FE72A9" w:rsidRPr="00FE72A9" w:rsidRDefault="00FE72A9">
      <w:pPr>
        <w:pStyle w:val="Sommario1"/>
        <w:tabs>
          <w:tab w:val="right" w:leader="dot" w:pos="9628"/>
        </w:tabs>
        <w:rPr>
          <w:rFonts w:eastAsiaTheme="minorEastAsia"/>
          <w:noProof/>
          <w:lang w:eastAsia="it-IT"/>
        </w:rPr>
      </w:pPr>
      <w:hyperlink w:anchor="_Toc182001076" w:history="1">
        <w:r w:rsidRPr="00FE72A9">
          <w:rPr>
            <w:rStyle w:val="Collegamentoipertestuale"/>
            <w:noProof/>
            <w:lang w:val="en-US"/>
          </w:rPr>
          <w:t>Personal comments</w:t>
        </w:r>
        <w:r w:rsidRPr="00FE72A9">
          <w:rPr>
            <w:noProof/>
            <w:webHidden/>
          </w:rPr>
          <w:tab/>
        </w:r>
        <w:r w:rsidRPr="00FE72A9">
          <w:rPr>
            <w:noProof/>
            <w:webHidden/>
          </w:rPr>
          <w:fldChar w:fldCharType="begin"/>
        </w:r>
        <w:r w:rsidRPr="00FE72A9">
          <w:rPr>
            <w:noProof/>
            <w:webHidden/>
          </w:rPr>
          <w:instrText xml:space="preserve"> PAGEREF _Toc182001076 \h </w:instrText>
        </w:r>
        <w:r w:rsidRPr="00FE72A9">
          <w:rPr>
            <w:noProof/>
            <w:webHidden/>
          </w:rPr>
        </w:r>
        <w:r w:rsidRPr="00FE72A9">
          <w:rPr>
            <w:noProof/>
            <w:webHidden/>
          </w:rPr>
          <w:fldChar w:fldCharType="separate"/>
        </w:r>
        <w:r w:rsidR="00087EE9">
          <w:rPr>
            <w:noProof/>
            <w:webHidden/>
          </w:rPr>
          <w:t>4</w:t>
        </w:r>
        <w:r w:rsidRPr="00FE72A9">
          <w:rPr>
            <w:noProof/>
            <w:webHidden/>
          </w:rPr>
          <w:fldChar w:fldCharType="end"/>
        </w:r>
      </w:hyperlink>
    </w:p>
    <w:p w14:paraId="26AF3BA9" w14:textId="0F2D29C1" w:rsidR="00FE72A9" w:rsidRPr="00FE72A9" w:rsidRDefault="00FE72A9">
      <w:pPr>
        <w:pStyle w:val="Sommario1"/>
        <w:tabs>
          <w:tab w:val="right" w:leader="dot" w:pos="9628"/>
        </w:tabs>
        <w:rPr>
          <w:rFonts w:eastAsiaTheme="minorEastAsia"/>
          <w:noProof/>
          <w:lang w:eastAsia="it-IT"/>
        </w:rPr>
      </w:pPr>
      <w:hyperlink w:anchor="_Toc182001077" w:history="1">
        <w:r w:rsidRPr="00FE72A9">
          <w:rPr>
            <w:rStyle w:val="Collegamentoipertestuale"/>
            <w:noProof/>
            <w:lang w:val="en-US"/>
          </w:rPr>
          <w:t>Appendix A – CVE-2017-0144 (EternalBlue)</w:t>
        </w:r>
        <w:r w:rsidRPr="00FE72A9">
          <w:rPr>
            <w:noProof/>
            <w:webHidden/>
          </w:rPr>
          <w:tab/>
        </w:r>
        <w:r w:rsidRPr="00FE72A9">
          <w:rPr>
            <w:noProof/>
            <w:webHidden/>
          </w:rPr>
          <w:fldChar w:fldCharType="begin"/>
        </w:r>
        <w:r w:rsidRPr="00FE72A9">
          <w:rPr>
            <w:noProof/>
            <w:webHidden/>
          </w:rPr>
          <w:instrText xml:space="preserve"> PAGEREF _Toc182001077 \h </w:instrText>
        </w:r>
        <w:r w:rsidRPr="00FE72A9">
          <w:rPr>
            <w:noProof/>
            <w:webHidden/>
          </w:rPr>
        </w:r>
        <w:r w:rsidRPr="00FE72A9">
          <w:rPr>
            <w:noProof/>
            <w:webHidden/>
          </w:rPr>
          <w:fldChar w:fldCharType="separate"/>
        </w:r>
        <w:r w:rsidR="00087EE9">
          <w:rPr>
            <w:noProof/>
            <w:webHidden/>
          </w:rPr>
          <w:t>4</w:t>
        </w:r>
        <w:r w:rsidRPr="00FE72A9">
          <w:rPr>
            <w:noProof/>
            <w:webHidden/>
          </w:rPr>
          <w:fldChar w:fldCharType="end"/>
        </w:r>
      </w:hyperlink>
    </w:p>
    <w:p w14:paraId="2B908801" w14:textId="01AA2E9B" w:rsidR="00FE72A9" w:rsidRPr="00FE72A9" w:rsidRDefault="00FE72A9">
      <w:pPr>
        <w:pStyle w:val="Sommario1"/>
        <w:tabs>
          <w:tab w:val="right" w:leader="dot" w:pos="9628"/>
        </w:tabs>
        <w:rPr>
          <w:rFonts w:eastAsiaTheme="minorEastAsia"/>
          <w:noProof/>
          <w:lang w:eastAsia="it-IT"/>
        </w:rPr>
      </w:pPr>
      <w:hyperlink w:anchor="_Toc182001078" w:history="1">
        <w:r w:rsidRPr="00FE72A9">
          <w:rPr>
            <w:rStyle w:val="Collegamentoipertestuale"/>
            <w:noProof/>
            <w:lang w:val="en-US"/>
          </w:rPr>
          <w:t>References</w:t>
        </w:r>
        <w:r w:rsidRPr="00FE72A9">
          <w:rPr>
            <w:noProof/>
            <w:webHidden/>
          </w:rPr>
          <w:tab/>
        </w:r>
        <w:r w:rsidRPr="00FE72A9">
          <w:rPr>
            <w:noProof/>
            <w:webHidden/>
          </w:rPr>
          <w:fldChar w:fldCharType="begin"/>
        </w:r>
        <w:r w:rsidRPr="00FE72A9">
          <w:rPr>
            <w:noProof/>
            <w:webHidden/>
          </w:rPr>
          <w:instrText xml:space="preserve"> PAGEREF _Toc182001078 \h </w:instrText>
        </w:r>
        <w:r w:rsidRPr="00FE72A9">
          <w:rPr>
            <w:noProof/>
            <w:webHidden/>
          </w:rPr>
        </w:r>
        <w:r w:rsidRPr="00FE72A9">
          <w:rPr>
            <w:noProof/>
            <w:webHidden/>
          </w:rPr>
          <w:fldChar w:fldCharType="separate"/>
        </w:r>
        <w:r w:rsidR="00087EE9">
          <w:rPr>
            <w:noProof/>
            <w:webHidden/>
          </w:rPr>
          <w:t>5</w:t>
        </w:r>
        <w:r w:rsidRPr="00FE72A9">
          <w:rPr>
            <w:noProof/>
            <w:webHidden/>
          </w:rPr>
          <w:fldChar w:fldCharType="end"/>
        </w:r>
      </w:hyperlink>
    </w:p>
    <w:p w14:paraId="4CFEF614" w14:textId="62BE5E63"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2001071"/>
      <w:r w:rsidRPr="00D265A3">
        <w:rPr>
          <w:b/>
          <w:bCs/>
          <w:color w:val="auto"/>
        </w:rPr>
        <w:t>List of pictures</w:t>
      </w:r>
      <w:bookmarkEnd w:id="1"/>
    </w:p>
    <w:p w14:paraId="2D44DB93" w14:textId="46FDA49E" w:rsidR="00FE72A9" w:rsidRDefault="00FE72A9">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2001067" w:history="1">
        <w:r w:rsidRPr="007E1BA8">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_Toc182001067 \h </w:instrText>
        </w:r>
        <w:r>
          <w:rPr>
            <w:noProof/>
            <w:webHidden/>
          </w:rPr>
        </w:r>
        <w:r>
          <w:rPr>
            <w:noProof/>
            <w:webHidden/>
          </w:rPr>
          <w:fldChar w:fldCharType="separate"/>
        </w:r>
        <w:r w:rsidR="00087EE9">
          <w:rPr>
            <w:noProof/>
            <w:webHidden/>
          </w:rPr>
          <w:t>2</w:t>
        </w:r>
        <w:r>
          <w:rPr>
            <w:noProof/>
            <w:webHidden/>
          </w:rPr>
          <w:fldChar w:fldCharType="end"/>
        </w:r>
      </w:hyperlink>
    </w:p>
    <w:p w14:paraId="45A85C89" w14:textId="4148062F" w:rsidR="00FE72A9" w:rsidRDefault="00FE72A9">
      <w:pPr>
        <w:pStyle w:val="Indicedellefigure"/>
        <w:tabs>
          <w:tab w:val="right" w:leader="dot" w:pos="9628"/>
        </w:tabs>
        <w:rPr>
          <w:rFonts w:eastAsiaTheme="minorEastAsia"/>
          <w:noProof/>
          <w:lang w:eastAsia="it-IT"/>
        </w:rPr>
      </w:pPr>
      <w:hyperlink w:anchor="_Toc182001068" w:history="1">
        <w:r w:rsidRPr="007E1BA8">
          <w:rPr>
            <w:rStyle w:val="Collegamentoipertestuale"/>
            <w:noProof/>
            <w:lang w:val="en-US"/>
          </w:rPr>
          <w:t>Figure 2 - Eternal Blue vulnerability check</w:t>
        </w:r>
        <w:r>
          <w:rPr>
            <w:noProof/>
            <w:webHidden/>
          </w:rPr>
          <w:tab/>
        </w:r>
        <w:r>
          <w:rPr>
            <w:noProof/>
            <w:webHidden/>
          </w:rPr>
          <w:fldChar w:fldCharType="begin"/>
        </w:r>
        <w:r>
          <w:rPr>
            <w:noProof/>
            <w:webHidden/>
          </w:rPr>
          <w:instrText xml:space="preserve"> PAGEREF _Toc182001068 \h </w:instrText>
        </w:r>
        <w:r>
          <w:rPr>
            <w:noProof/>
            <w:webHidden/>
          </w:rPr>
        </w:r>
        <w:r>
          <w:rPr>
            <w:noProof/>
            <w:webHidden/>
          </w:rPr>
          <w:fldChar w:fldCharType="separate"/>
        </w:r>
        <w:r w:rsidR="00087EE9">
          <w:rPr>
            <w:noProof/>
            <w:webHidden/>
          </w:rPr>
          <w:t>3</w:t>
        </w:r>
        <w:r>
          <w:rPr>
            <w:noProof/>
            <w:webHidden/>
          </w:rPr>
          <w:fldChar w:fldCharType="end"/>
        </w:r>
      </w:hyperlink>
    </w:p>
    <w:p w14:paraId="66F2CE35" w14:textId="4A87ABD9" w:rsidR="00FE72A9" w:rsidRDefault="00FE72A9">
      <w:pPr>
        <w:pStyle w:val="Indicedellefigure"/>
        <w:tabs>
          <w:tab w:val="right" w:leader="dot" w:pos="9628"/>
        </w:tabs>
        <w:rPr>
          <w:rFonts w:eastAsiaTheme="minorEastAsia"/>
          <w:noProof/>
          <w:lang w:eastAsia="it-IT"/>
        </w:rPr>
      </w:pPr>
      <w:hyperlink w:anchor="_Toc182001069" w:history="1">
        <w:r w:rsidRPr="007E1BA8">
          <w:rPr>
            <w:rStyle w:val="Collegamentoipertestuale"/>
            <w:noProof/>
            <w:lang w:val="en-US"/>
          </w:rPr>
          <w:t>Figure 3 - Exploit successful</w:t>
        </w:r>
        <w:r>
          <w:rPr>
            <w:noProof/>
            <w:webHidden/>
          </w:rPr>
          <w:tab/>
        </w:r>
        <w:r>
          <w:rPr>
            <w:noProof/>
            <w:webHidden/>
          </w:rPr>
          <w:fldChar w:fldCharType="begin"/>
        </w:r>
        <w:r>
          <w:rPr>
            <w:noProof/>
            <w:webHidden/>
          </w:rPr>
          <w:instrText xml:space="preserve"> PAGEREF _Toc182001069 \h </w:instrText>
        </w:r>
        <w:r>
          <w:rPr>
            <w:noProof/>
            <w:webHidden/>
          </w:rPr>
        </w:r>
        <w:r>
          <w:rPr>
            <w:noProof/>
            <w:webHidden/>
          </w:rPr>
          <w:fldChar w:fldCharType="separate"/>
        </w:r>
        <w:r w:rsidR="00087EE9">
          <w:rPr>
            <w:noProof/>
            <w:webHidden/>
          </w:rPr>
          <w:t>3</w:t>
        </w:r>
        <w:r>
          <w:rPr>
            <w:noProof/>
            <w:webHidden/>
          </w:rPr>
          <w:fldChar w:fldCharType="end"/>
        </w:r>
      </w:hyperlink>
    </w:p>
    <w:p w14:paraId="0D0EA927" w14:textId="0BDDAA50" w:rsidR="00CB3015" w:rsidRPr="00D265A3" w:rsidRDefault="00FE72A9">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2001072"/>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2001073"/>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572546C7" w14:textId="77777777" w:rsidR="008A36B6" w:rsidRDefault="008A36B6" w:rsidP="008A36B6">
      <w:pPr>
        <w:keepNext/>
        <w:jc w:val="center"/>
      </w:pPr>
      <w:r>
        <w:rPr>
          <w:noProof/>
          <w:lang w:val="en-US"/>
        </w:rPr>
        <w:drawing>
          <wp:inline distT="0" distB="0" distL="0" distR="0" wp14:anchorId="66506415" wp14:editId="75F21CFA">
            <wp:extent cx="6120130" cy="4526280"/>
            <wp:effectExtent l="0" t="0" r="0" b="7620"/>
            <wp:docPr id="7647706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70688" name="Immagine 764770688"/>
                    <pic:cNvPicPr/>
                  </pic:nvPicPr>
                  <pic:blipFill>
                    <a:blip r:embed="rId5">
                      <a:extLst>
                        <a:ext uri="{28A0092B-C50C-407E-A947-70E740481C1C}">
                          <a14:useLocalDpi xmlns:a14="http://schemas.microsoft.com/office/drawing/2010/main" val="0"/>
                        </a:ext>
                      </a:extLst>
                    </a:blip>
                    <a:stretch>
                      <a:fillRect/>
                    </a:stretch>
                  </pic:blipFill>
                  <pic:spPr>
                    <a:xfrm>
                      <a:off x="0" y="0"/>
                      <a:ext cx="6120130" cy="4526280"/>
                    </a:xfrm>
                    <a:prstGeom prst="rect">
                      <a:avLst/>
                    </a:prstGeom>
                  </pic:spPr>
                </pic:pic>
              </a:graphicData>
            </a:graphic>
          </wp:inline>
        </w:drawing>
      </w:r>
    </w:p>
    <w:p w14:paraId="1A313D56" w14:textId="25034FB2" w:rsidR="00633AD3" w:rsidRDefault="008A36B6" w:rsidP="008A36B6">
      <w:pPr>
        <w:pStyle w:val="Didascalia"/>
        <w:jc w:val="center"/>
        <w:rPr>
          <w:lang w:val="en-US"/>
        </w:rPr>
      </w:pPr>
      <w:bookmarkStart w:id="4" w:name="_Toc182001067"/>
      <w:r w:rsidRPr="008A36B6">
        <w:rPr>
          <w:lang w:val="en-US"/>
        </w:rPr>
        <w:t xml:space="preserve">Figure </w:t>
      </w:r>
      <w:r>
        <w:fldChar w:fldCharType="begin"/>
      </w:r>
      <w:r w:rsidRPr="008A36B6">
        <w:rPr>
          <w:lang w:val="en-US"/>
        </w:rPr>
        <w:instrText xml:space="preserve"> SEQ Figure \* ARABIC </w:instrText>
      </w:r>
      <w:r>
        <w:fldChar w:fldCharType="separate"/>
      </w:r>
      <w:r w:rsidR="00087EE9">
        <w:rPr>
          <w:noProof/>
          <w:lang w:val="en-US"/>
        </w:rPr>
        <w:t>1</w:t>
      </w:r>
      <w:r>
        <w:fldChar w:fldCharType="end"/>
      </w:r>
      <w:r w:rsidRPr="008A36B6">
        <w:rPr>
          <w:lang w:val="en-US"/>
        </w:rPr>
        <w:t xml:space="preserve"> - nMap scan results</w:t>
      </w:r>
      <w:bookmarkEnd w:id="4"/>
    </w:p>
    <w:p w14:paraId="6CEC5F0A" w14:textId="3DCCB4A2" w:rsidR="00633AD3" w:rsidRDefault="008A36B6" w:rsidP="00633AD3">
      <w:pPr>
        <w:rPr>
          <w:b/>
          <w:bCs/>
          <w:u w:val="single"/>
          <w:lang w:val="en-US"/>
        </w:rPr>
      </w:pPr>
      <w:r>
        <w:rPr>
          <w:lang w:val="en-US"/>
        </w:rPr>
        <w:t xml:space="preserve">Open ports are 135, 139, 445, </w:t>
      </w:r>
      <w:r>
        <w:rPr>
          <w:lang w:val="en-US"/>
        </w:rPr>
        <w:t>49152</w:t>
      </w:r>
      <w:r>
        <w:rPr>
          <w:lang w:val="en-US"/>
        </w:rPr>
        <w:t xml:space="preserve">, </w:t>
      </w:r>
      <w:r>
        <w:rPr>
          <w:lang w:val="en-US"/>
        </w:rPr>
        <w:t>4915</w:t>
      </w:r>
      <w:r>
        <w:rPr>
          <w:lang w:val="en-US"/>
        </w:rPr>
        <w:t xml:space="preserve">3, </w:t>
      </w:r>
      <w:r>
        <w:rPr>
          <w:lang w:val="en-US"/>
        </w:rPr>
        <w:t>4915</w:t>
      </w:r>
      <w:r>
        <w:rPr>
          <w:lang w:val="en-US"/>
        </w:rPr>
        <w:t xml:space="preserve">4, </w:t>
      </w:r>
      <w:r>
        <w:rPr>
          <w:lang w:val="en-US"/>
        </w:rPr>
        <w:t>4915</w:t>
      </w:r>
      <w:r>
        <w:rPr>
          <w:lang w:val="en-US"/>
        </w:rPr>
        <w:t xml:space="preserve">5, </w:t>
      </w:r>
      <w:r>
        <w:rPr>
          <w:lang w:val="en-US"/>
        </w:rPr>
        <w:t>4915</w:t>
      </w:r>
      <w:r>
        <w:rPr>
          <w:lang w:val="en-US"/>
        </w:rPr>
        <w:t xml:space="preserve">6 and </w:t>
      </w:r>
      <w:r>
        <w:rPr>
          <w:lang w:val="en-US"/>
        </w:rPr>
        <w:t>4915</w:t>
      </w:r>
      <w:r>
        <w:rPr>
          <w:lang w:val="en-US"/>
        </w:rPr>
        <w:t xml:space="preserve">7. So, this box has RPC service (135, </w:t>
      </w:r>
      <w:r>
        <w:rPr>
          <w:lang w:val="en-US"/>
        </w:rPr>
        <w:t>49152, 49153, 49154, 49155, 49156 and 49157</w:t>
      </w:r>
      <w:r>
        <w:rPr>
          <w:lang w:val="en-US"/>
        </w:rPr>
        <w:t xml:space="preserve">), </w:t>
      </w:r>
      <w:r w:rsidR="00FE72A9">
        <w:rPr>
          <w:lang w:val="en-US"/>
        </w:rPr>
        <w:t>NetBIOS</w:t>
      </w:r>
      <w:r>
        <w:rPr>
          <w:lang w:val="en-US"/>
        </w:rPr>
        <w:t xml:space="preserve"> service (139) and SMB service (445) enabled. Also, nMap script recognized Windows 7 Professional 7601 Service pack 1 as Operative System.</w:t>
      </w:r>
    </w:p>
    <w:p w14:paraId="38416F98" w14:textId="4162DABB" w:rsidR="00633AD3" w:rsidRDefault="00D265A3" w:rsidP="00D265A3">
      <w:pPr>
        <w:pStyle w:val="Titolo1"/>
        <w:rPr>
          <w:b/>
          <w:bCs/>
          <w:color w:val="auto"/>
          <w:u w:val="single"/>
          <w:lang w:val="en-US"/>
        </w:rPr>
      </w:pPr>
      <w:bookmarkStart w:id="5" w:name="_Toc182001074"/>
      <w:r>
        <w:rPr>
          <w:b/>
          <w:bCs/>
          <w:color w:val="auto"/>
          <w:u w:val="single"/>
          <w:lang w:val="en-US"/>
        </w:rPr>
        <w:t>Initial foothold</w:t>
      </w:r>
      <w:bookmarkEnd w:id="5"/>
    </w:p>
    <w:p w14:paraId="03EE709C" w14:textId="5ED34F85" w:rsidR="00633AD3" w:rsidRDefault="008A36B6" w:rsidP="00633AD3">
      <w:pPr>
        <w:rPr>
          <w:lang w:val="en-US"/>
        </w:rPr>
      </w:pPr>
      <w:r>
        <w:rPr>
          <w:lang w:val="en-US"/>
        </w:rPr>
        <w:t xml:space="preserve">Since nMap scan provided </w:t>
      </w:r>
      <w:r>
        <w:rPr>
          <w:lang w:val="en-US"/>
        </w:rPr>
        <w:t>Windows 7 Professional 7601 Service pack 1 as Operative System</w:t>
      </w:r>
      <w:r>
        <w:rPr>
          <w:lang w:val="en-US"/>
        </w:rPr>
        <w:t xml:space="preserve">, I checked if it was vulnerable to </w:t>
      </w:r>
      <w:r w:rsidR="00FE72A9">
        <w:rPr>
          <w:lang w:val="en-US"/>
        </w:rPr>
        <w:t>Eternal Blue</w:t>
      </w:r>
      <w:r>
        <w:rPr>
          <w:lang w:val="en-US"/>
        </w:rPr>
        <w:t xml:space="preserve"> vulnerability:</w:t>
      </w:r>
    </w:p>
    <w:p w14:paraId="1EFD1DDA" w14:textId="77777777" w:rsidR="008A36B6" w:rsidRDefault="008A36B6" w:rsidP="008A36B6">
      <w:pPr>
        <w:keepNext/>
        <w:jc w:val="center"/>
      </w:pPr>
      <w:r>
        <w:rPr>
          <w:noProof/>
          <w:lang w:val="en-US"/>
        </w:rPr>
        <w:lastRenderedPageBreak/>
        <w:drawing>
          <wp:inline distT="0" distB="0" distL="0" distR="0" wp14:anchorId="02F7C068" wp14:editId="483BBB1F">
            <wp:extent cx="6120130" cy="3206115"/>
            <wp:effectExtent l="0" t="0" r="0" b="0"/>
            <wp:docPr id="8483776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77606" name="Immagine 848377606"/>
                    <pic:cNvPicPr/>
                  </pic:nvPicPr>
                  <pic:blipFill>
                    <a:blip r:embed="rId6">
                      <a:extLst>
                        <a:ext uri="{28A0092B-C50C-407E-A947-70E740481C1C}">
                          <a14:useLocalDpi xmlns:a14="http://schemas.microsoft.com/office/drawing/2010/main" val="0"/>
                        </a:ext>
                      </a:extLst>
                    </a:blip>
                    <a:stretch>
                      <a:fillRect/>
                    </a:stretch>
                  </pic:blipFill>
                  <pic:spPr>
                    <a:xfrm>
                      <a:off x="0" y="0"/>
                      <a:ext cx="6120130" cy="3206115"/>
                    </a:xfrm>
                    <a:prstGeom prst="rect">
                      <a:avLst/>
                    </a:prstGeom>
                  </pic:spPr>
                </pic:pic>
              </a:graphicData>
            </a:graphic>
          </wp:inline>
        </w:drawing>
      </w:r>
    </w:p>
    <w:p w14:paraId="6136FF86" w14:textId="20F3B5E6" w:rsidR="008A36B6" w:rsidRDefault="008A36B6" w:rsidP="008A36B6">
      <w:pPr>
        <w:pStyle w:val="Didascalia"/>
        <w:jc w:val="center"/>
        <w:rPr>
          <w:lang w:val="en-US"/>
        </w:rPr>
      </w:pPr>
      <w:bookmarkStart w:id="6" w:name="_Toc182001068"/>
      <w:r w:rsidRPr="008A36B6">
        <w:rPr>
          <w:lang w:val="en-US"/>
        </w:rPr>
        <w:t xml:space="preserve">Figure </w:t>
      </w:r>
      <w:r>
        <w:fldChar w:fldCharType="begin"/>
      </w:r>
      <w:r w:rsidRPr="008A36B6">
        <w:rPr>
          <w:lang w:val="en-US"/>
        </w:rPr>
        <w:instrText xml:space="preserve"> SEQ Figure \* ARABIC </w:instrText>
      </w:r>
      <w:r>
        <w:fldChar w:fldCharType="separate"/>
      </w:r>
      <w:r w:rsidR="00087EE9">
        <w:rPr>
          <w:noProof/>
          <w:lang w:val="en-US"/>
        </w:rPr>
        <w:t>2</w:t>
      </w:r>
      <w:r>
        <w:fldChar w:fldCharType="end"/>
      </w:r>
      <w:r w:rsidRPr="008A36B6">
        <w:rPr>
          <w:lang w:val="en-US"/>
        </w:rPr>
        <w:t xml:space="preserve"> - Eternal Blue vulnerability check</w:t>
      </w:r>
      <w:bookmarkEnd w:id="6"/>
    </w:p>
    <w:p w14:paraId="3DCDE349" w14:textId="5D8BAE94" w:rsidR="00633AD3" w:rsidRPr="00633AD3" w:rsidRDefault="008A36B6" w:rsidP="00633AD3">
      <w:pPr>
        <w:rPr>
          <w:lang w:val="en-US"/>
        </w:rPr>
      </w:pPr>
      <w:r>
        <w:rPr>
          <w:lang w:val="en-US"/>
        </w:rPr>
        <w:t>Well, the machine result to be vulnerable.</w:t>
      </w:r>
    </w:p>
    <w:p w14:paraId="2891A773" w14:textId="1839F37B" w:rsidR="00D265A3" w:rsidRDefault="008A36B6" w:rsidP="00D265A3">
      <w:pPr>
        <w:pStyle w:val="Titolo1"/>
        <w:rPr>
          <w:b/>
          <w:bCs/>
          <w:color w:val="auto"/>
          <w:u w:val="single"/>
          <w:lang w:val="en-US"/>
        </w:rPr>
      </w:pPr>
      <w:bookmarkStart w:id="7" w:name="_Toc182001075"/>
      <w:r>
        <w:rPr>
          <w:b/>
          <w:bCs/>
          <w:color w:val="auto"/>
          <w:u w:val="single"/>
          <w:lang w:val="en-US"/>
        </w:rPr>
        <w:t>Shell</w:t>
      </w:r>
      <w:bookmarkEnd w:id="7"/>
    </w:p>
    <w:p w14:paraId="3F035CBE" w14:textId="34672664" w:rsidR="00497385" w:rsidRDefault="008A36B6" w:rsidP="00497385">
      <w:pPr>
        <w:rPr>
          <w:lang w:val="en-US"/>
        </w:rPr>
      </w:pPr>
      <w:r>
        <w:rPr>
          <w:lang w:val="en-US"/>
        </w:rPr>
        <w:t>Since the machine was vulnerable to Eternal Blue vulnerability, I looked for an exploit on the Internet and I run it to obtain a shell, as shown in the following figure:</w:t>
      </w:r>
    </w:p>
    <w:p w14:paraId="14D5F585" w14:textId="77777777" w:rsidR="008A36B6" w:rsidRDefault="008A36B6" w:rsidP="008A36B6">
      <w:pPr>
        <w:keepNext/>
        <w:jc w:val="center"/>
      </w:pPr>
      <w:r>
        <w:rPr>
          <w:noProof/>
          <w:lang w:val="en-US"/>
        </w:rPr>
        <w:drawing>
          <wp:inline distT="0" distB="0" distL="0" distR="0" wp14:anchorId="3C96CEFD" wp14:editId="73A9AD63">
            <wp:extent cx="5777575" cy="2720340"/>
            <wp:effectExtent l="0" t="0" r="0" b="3810"/>
            <wp:docPr id="118921099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10993" name="Immagine 11892109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2445" cy="2727341"/>
                    </a:xfrm>
                    <a:prstGeom prst="rect">
                      <a:avLst/>
                    </a:prstGeom>
                  </pic:spPr>
                </pic:pic>
              </a:graphicData>
            </a:graphic>
          </wp:inline>
        </w:drawing>
      </w:r>
    </w:p>
    <w:p w14:paraId="38B77D0F" w14:textId="4B0AAD46" w:rsidR="008A36B6" w:rsidRDefault="008A36B6" w:rsidP="008A36B6">
      <w:pPr>
        <w:pStyle w:val="Didascalia"/>
        <w:jc w:val="center"/>
        <w:rPr>
          <w:lang w:val="en-US"/>
        </w:rPr>
      </w:pPr>
      <w:bookmarkStart w:id="8" w:name="_Toc182001069"/>
      <w:r w:rsidRPr="008A36B6">
        <w:rPr>
          <w:lang w:val="en-US"/>
        </w:rPr>
        <w:t xml:space="preserve">Figure </w:t>
      </w:r>
      <w:r>
        <w:fldChar w:fldCharType="begin"/>
      </w:r>
      <w:r w:rsidRPr="008A36B6">
        <w:rPr>
          <w:lang w:val="en-US"/>
        </w:rPr>
        <w:instrText xml:space="preserve"> SEQ Figure \* ARABIC </w:instrText>
      </w:r>
      <w:r>
        <w:fldChar w:fldCharType="separate"/>
      </w:r>
      <w:r w:rsidR="00087EE9">
        <w:rPr>
          <w:noProof/>
          <w:lang w:val="en-US"/>
        </w:rPr>
        <w:t>3</w:t>
      </w:r>
      <w:r>
        <w:fldChar w:fldCharType="end"/>
      </w:r>
      <w:r w:rsidRPr="008A36B6">
        <w:rPr>
          <w:lang w:val="en-US"/>
        </w:rPr>
        <w:t xml:space="preserve"> - Exploit successful</w:t>
      </w:r>
      <w:bookmarkEnd w:id="8"/>
    </w:p>
    <w:p w14:paraId="031CC179" w14:textId="5FE2D6C6" w:rsidR="00497385" w:rsidRDefault="008A36B6" w:rsidP="00497385">
      <w:pPr>
        <w:rPr>
          <w:lang w:val="en-US"/>
        </w:rPr>
      </w:pPr>
      <w:r>
        <w:rPr>
          <w:lang w:val="en-US"/>
        </w:rPr>
        <w:t xml:space="preserve">I obtained the shell as </w:t>
      </w:r>
      <m:oMath>
        <m:r>
          <w:rPr>
            <w:rFonts w:ascii="Cambria Math" w:hAnsi="Cambria Math"/>
            <w:lang w:val="en-US"/>
          </w:rPr>
          <m:t>NT AUTHORITY\SYSTEM</m:t>
        </m:r>
      </m:oMath>
      <w:r>
        <w:rPr>
          <w:rFonts w:eastAsiaTheme="minorEastAsia"/>
          <w:lang w:val="en-US"/>
        </w:rPr>
        <w:t xml:space="preserve">. </w:t>
      </w:r>
      <w:r>
        <w:rPr>
          <w:lang w:val="en-US"/>
        </w:rPr>
        <w:t>However, I am sad to say that the flag files didn’t show me the content, so I didn’t insert in the Hack The Box platform.</w:t>
      </w:r>
    </w:p>
    <w:p w14:paraId="6F78F037" w14:textId="56B58E78" w:rsidR="00633AD3" w:rsidRDefault="003A2D2C" w:rsidP="00760EB9">
      <w:pPr>
        <w:pStyle w:val="Titolo1"/>
        <w:rPr>
          <w:b/>
          <w:bCs/>
          <w:color w:val="auto"/>
          <w:u w:val="single"/>
          <w:lang w:val="en-US"/>
        </w:rPr>
      </w:pPr>
      <w:bookmarkStart w:id="9" w:name="_Toc182001076"/>
      <w:r>
        <w:rPr>
          <w:b/>
          <w:bCs/>
          <w:color w:val="auto"/>
          <w:u w:val="single"/>
          <w:lang w:val="en-US"/>
        </w:rPr>
        <w:lastRenderedPageBreak/>
        <w:t>Personal comments</w:t>
      </w:r>
      <w:bookmarkEnd w:id="9"/>
    </w:p>
    <w:p w14:paraId="50A29E5C" w14:textId="4F84D448" w:rsidR="00633AD3" w:rsidRPr="00633AD3" w:rsidRDefault="008A36B6" w:rsidP="00633AD3">
      <w:pPr>
        <w:rPr>
          <w:lang w:val="en-US"/>
        </w:rPr>
      </w:pPr>
      <w:r>
        <w:rPr>
          <w:lang w:val="en-US"/>
        </w:rPr>
        <w:t xml:space="preserve">I really don’t understand this box. It is very straight, just exploit a very known vulnerability, and I wasn’t able to retrieve the flags to insert in the Hack The Box platform. Very disappointed. I </w:t>
      </w:r>
      <w:r w:rsidR="005B5F56">
        <w:rPr>
          <w:lang w:val="en-US"/>
        </w:rPr>
        <w:t>would rate it as a piece of cake.</w:t>
      </w:r>
    </w:p>
    <w:p w14:paraId="602F3D2D" w14:textId="584B7D87" w:rsidR="00760EB9" w:rsidRDefault="00760EB9" w:rsidP="00760EB9">
      <w:pPr>
        <w:pStyle w:val="Titolo1"/>
        <w:rPr>
          <w:b/>
          <w:bCs/>
          <w:color w:val="auto"/>
          <w:u w:val="single"/>
          <w:lang w:val="en-US"/>
        </w:rPr>
      </w:pPr>
      <w:bookmarkStart w:id="10" w:name="_Toc182001077"/>
      <w:r>
        <w:rPr>
          <w:b/>
          <w:bCs/>
          <w:color w:val="auto"/>
          <w:u w:val="single"/>
          <w:lang w:val="en-US"/>
        </w:rPr>
        <w:t xml:space="preserve">Appendix A – </w:t>
      </w:r>
      <w:r w:rsidR="005B5F56" w:rsidRPr="005B5F56">
        <w:rPr>
          <w:b/>
          <w:bCs/>
          <w:color w:val="auto"/>
          <w:u w:val="single"/>
          <w:lang w:val="en-US"/>
        </w:rPr>
        <w:t>CVE-2017-0144</w:t>
      </w:r>
      <w:r w:rsidR="005B5F56">
        <w:rPr>
          <w:b/>
          <w:bCs/>
          <w:color w:val="auto"/>
          <w:u w:val="single"/>
          <w:lang w:val="en-US"/>
        </w:rPr>
        <w:t xml:space="preserve"> (EternalBlue)</w:t>
      </w:r>
      <w:bookmarkEnd w:id="10"/>
    </w:p>
    <w:p w14:paraId="26FF46AF" w14:textId="5CBB5EC3" w:rsidR="005B5F56" w:rsidRPr="005B5F56" w:rsidRDefault="005B5F56" w:rsidP="005B5F56">
      <w:pPr>
        <w:rPr>
          <w:lang w:val="en-US"/>
        </w:rPr>
      </w:pPr>
      <w:r w:rsidRPr="005B5F56">
        <w:rPr>
          <w:lang w:val="en-US"/>
        </w:rPr>
        <w:t>CVE-2017-0143 to CVE-2017-0148 are a family of critical vulnerabilities in Microsoft SMBv1 server used in Windows 7, Windows Server 2008, Windows XP and even Windows 10 running on port 445.</w:t>
      </w:r>
      <w:r>
        <w:rPr>
          <w:lang w:val="en-US"/>
        </w:rPr>
        <w:t xml:space="preserve"> </w:t>
      </w:r>
      <w:r w:rsidRPr="005B5F56">
        <w:rPr>
          <w:lang w:val="en-US"/>
        </w:rPr>
        <w:t>The vulnerability doesn’t just apply to Microsoft Windows, though; in fact, anything that uses the Microsoft SMBv1 server protocol, such as Siemens ultrasound medical equipment, is potentially vulnerable.</w:t>
      </w:r>
    </w:p>
    <w:p w14:paraId="2A11F560" w14:textId="3AD054BA" w:rsidR="00633AD3" w:rsidRPr="005B5F56" w:rsidRDefault="00FE72A9" w:rsidP="005B5F56">
      <w:pPr>
        <w:rPr>
          <w:lang w:val="en-US"/>
        </w:rPr>
      </w:pPr>
      <w:r w:rsidRPr="005B5F56">
        <w:rPr>
          <w:lang w:val="en-US"/>
        </w:rPr>
        <w:t>EternalBlue</w:t>
      </w:r>
      <w:r w:rsidR="005B5F56" w:rsidRPr="005B5F56">
        <w:rPr>
          <w:lang w:val="en-US"/>
        </w:rPr>
        <w:t xml:space="preserve"> itself concerns CVE-2017-0144, a flaw that allows remote attackers to execute arbitrary code on a target system by sending specially crafted messages to the SMBv1 server. Other related exploits were labelled Eternalchampion, Eternalromance and Eternalsynergy by the Equation Group, the nickname for a hacker APT that is now assumed to be the US National Security Agency.</w:t>
      </w:r>
    </w:p>
    <w:p w14:paraId="13BBA97C" w14:textId="2D9D23AD" w:rsidR="00633AD3" w:rsidRDefault="005B5F56" w:rsidP="00633AD3">
      <w:pPr>
        <w:rPr>
          <w:lang w:val="en-US"/>
        </w:rPr>
      </w:pPr>
      <w:r w:rsidRPr="005B5F56">
        <w:rPr>
          <w:lang w:val="en-US"/>
        </w:rPr>
        <w:t xml:space="preserve">To exploit the vulnerability, an unauthenticated attacker only has to send a maliciously-crafted packet to the server, which is precisely how WannaCry and NotPetya ransomware were able to propagate. Essentially, </w:t>
      </w:r>
      <w:r w:rsidR="00FE72A9" w:rsidRPr="005B5F56">
        <w:rPr>
          <w:lang w:val="en-US"/>
        </w:rPr>
        <w:t>EternalBlue</w:t>
      </w:r>
      <w:r w:rsidRPr="005B5F56">
        <w:rPr>
          <w:lang w:val="en-US"/>
        </w:rPr>
        <w:t xml:space="preserve"> allowed the ransomware to gain access to other machines on the network. Attackers can leverage DoublePulsar, also developed by the Equation Group and leaked by the Shadow Brokers, as the payload to install and launch a copy of the ransomware on any vulnerable target.</w:t>
      </w:r>
    </w:p>
    <w:p w14:paraId="24AD3D64" w14:textId="1A4DA4DE" w:rsidR="005B5F56" w:rsidRPr="005B5F56" w:rsidRDefault="00FE72A9" w:rsidP="005B5F56">
      <w:pPr>
        <w:rPr>
          <w:lang w:val="en-US"/>
        </w:rPr>
      </w:pPr>
      <w:r w:rsidRPr="005B5F56">
        <w:rPr>
          <w:lang w:val="en-US"/>
        </w:rPr>
        <w:t>EternalBlue</w:t>
      </w:r>
      <w:r w:rsidR="005B5F56" w:rsidRPr="005B5F56">
        <w:rPr>
          <w:lang w:val="en-US"/>
        </w:rPr>
        <w:t xml:space="preserve"> relies on a Windows function named </w:t>
      </w:r>
      <m:oMath>
        <m:r>
          <w:rPr>
            <w:rFonts w:ascii="Cambria Math" w:hAnsi="Cambria Math"/>
            <w:lang w:val="en-US"/>
          </w:rPr>
          <m:t>srv!SrvOS2FeaListSizeToNt</m:t>
        </m:r>
      </m:oMath>
      <w:r w:rsidR="005B5F56" w:rsidRPr="005B5F56">
        <w:rPr>
          <w:lang w:val="en-US"/>
        </w:rPr>
        <w:t>. To see how this leads to remote code execution, let’s take a quick look at how SMB works.</w:t>
      </w:r>
    </w:p>
    <w:p w14:paraId="4686F9E5" w14:textId="77A5B7F9" w:rsidR="005B5F56" w:rsidRPr="005B5F56" w:rsidRDefault="005B5F56" w:rsidP="005B5F56">
      <w:pPr>
        <w:rPr>
          <w:lang w:val="en-US"/>
        </w:rPr>
      </w:pPr>
      <w:r w:rsidRPr="005B5F56">
        <w:rPr>
          <w:lang w:val="en-US"/>
        </w:rPr>
        <w:t>Primarily, SMB (Server Message Block) is a protocol used to request file and print services from server systems over a network. Among the protocol’s specifications are structures that allow the protocol to communicate information about a file’s extended attributes, essentially metadata about the file’s properties on the file system.</w:t>
      </w:r>
    </w:p>
    <w:p w14:paraId="4783CE89" w14:textId="0EA8C586" w:rsidR="005B5F56" w:rsidRPr="005B5F56" w:rsidRDefault="00FE72A9" w:rsidP="005B5F56">
      <w:pPr>
        <w:rPr>
          <w:lang w:val="en-US"/>
        </w:rPr>
      </w:pPr>
      <w:r w:rsidRPr="005B5F56">
        <w:rPr>
          <w:lang w:val="en-US"/>
        </w:rPr>
        <w:t>EternalBlue</w:t>
      </w:r>
      <w:r w:rsidR="005B5F56" w:rsidRPr="005B5F56">
        <w:rPr>
          <w:lang w:val="en-US"/>
        </w:rPr>
        <w:t xml:space="preserve"> takes advantage of three different bugs. The first is a mathematical error when the protocol tries to cast an OS/2 FileExtended Attribute (FEA) list structure to an NT FEA structure in order to determine how much memory to allocate. A miscalculation creates an integer overflow that causes less memory to be allocated than expected, which in turns leads to a buffer overflow. With more data than expected being written, the extra data can overflow into adjacent memory space.</w:t>
      </w:r>
    </w:p>
    <w:p w14:paraId="13BB7C25" w14:textId="63722686" w:rsidR="005B5F56" w:rsidRPr="005B5F56" w:rsidRDefault="005B5F56" w:rsidP="005B5F56">
      <w:pPr>
        <w:rPr>
          <w:lang w:val="en-US"/>
        </w:rPr>
      </w:pPr>
      <w:r w:rsidRPr="005B5F56">
        <w:rPr>
          <w:lang w:val="en-US"/>
        </w:rPr>
        <w:t xml:space="preserve">Triggering the buffer overflow is achieved thanks to the second bug, which results from a difference in the SMB protocol’s definition of two related sub commands: </w:t>
      </w:r>
      <m:oMath>
        <m:r>
          <w:rPr>
            <w:rFonts w:ascii="Cambria Math" w:hAnsi="Cambria Math"/>
            <w:lang w:val="en-US"/>
          </w:rPr>
          <m:t>SMB_COM_TRANSACTION2</m:t>
        </m:r>
      </m:oMath>
      <w:r w:rsidRPr="005B5F56">
        <w:rPr>
          <w:lang w:val="en-US"/>
        </w:rPr>
        <w:t xml:space="preserve"> and </w:t>
      </w:r>
      <m:oMath>
        <m:r>
          <w:rPr>
            <w:rFonts w:ascii="Cambria Math" w:hAnsi="Cambria Math"/>
            <w:lang w:val="en-US"/>
          </w:rPr>
          <m:t>SMB_COM_NT_TRANSACT</m:t>
        </m:r>
      </m:oMath>
      <w:r w:rsidRPr="005B5F56">
        <w:rPr>
          <w:lang w:val="en-US"/>
        </w:rPr>
        <w:t xml:space="preserve">. Both have a </w:t>
      </w:r>
      <m:oMath>
        <m:r>
          <w:rPr>
            <w:rFonts w:ascii="Cambria Math" w:hAnsi="Cambria Math"/>
            <w:lang w:val="en-US"/>
          </w:rPr>
          <m:t>_SECONDARY</m:t>
        </m:r>
      </m:oMath>
      <w:r w:rsidRPr="005B5F56">
        <w:rPr>
          <w:lang w:val="en-US"/>
        </w:rPr>
        <w:t xml:space="preserve"> command that is used when there is too much data to include in a single packet. The crucial difference between </w:t>
      </w:r>
      <m:oMath>
        <m:r>
          <w:rPr>
            <w:rFonts w:ascii="Cambria Math" w:hAnsi="Cambria Math"/>
            <w:lang w:val="en-US"/>
          </w:rPr>
          <m:t>TRANSACTION2</m:t>
        </m:r>
      </m:oMath>
      <w:r w:rsidRPr="005B5F56">
        <w:rPr>
          <w:lang w:val="en-US"/>
        </w:rPr>
        <w:t xml:space="preserve"> and </w:t>
      </w:r>
      <m:oMath>
        <m:r>
          <w:rPr>
            <w:rFonts w:ascii="Cambria Math" w:hAnsi="Cambria Math"/>
            <w:lang w:val="en-US"/>
          </w:rPr>
          <m:t>NT_TRANSACT</m:t>
        </m:r>
      </m:oMath>
      <w:r w:rsidRPr="005B5F56">
        <w:rPr>
          <w:lang w:val="en-US"/>
        </w:rPr>
        <w:t xml:space="preserve"> is that the latter calls for a data packet twice the size of the former. This is significant because an error in validation occurs if the client sends a crafted message using the </w:t>
      </w:r>
      <m:oMath>
        <m:r>
          <w:rPr>
            <w:rFonts w:ascii="Cambria Math" w:hAnsi="Cambria Math"/>
            <w:lang w:val="en-US"/>
          </w:rPr>
          <m:t>NT_TRANSACT</m:t>
        </m:r>
      </m:oMath>
      <w:r w:rsidRPr="005B5F56">
        <w:rPr>
          <w:lang w:val="en-US"/>
        </w:rPr>
        <w:t xml:space="preserve"> sub-command immediately before the </w:t>
      </w:r>
      <m:oMath>
        <m:r>
          <w:rPr>
            <w:rFonts w:ascii="Cambria Math" w:hAnsi="Cambria Math"/>
            <w:lang w:val="en-US"/>
          </w:rPr>
          <m:t>TRANSACTION2</m:t>
        </m:r>
      </m:oMath>
      <w:r w:rsidRPr="005B5F56">
        <w:rPr>
          <w:lang w:val="en-US"/>
        </w:rPr>
        <w:t xml:space="preserve"> one. While the protocol recognizes that two separate sub-commands have been received, it assigns the type and size of both packets (and allocates memory accordingly) based only on the type of the last one received. Since the last one is smaller, the first packet will occupy more space than it is allocated.</w:t>
      </w:r>
    </w:p>
    <w:p w14:paraId="16CCDC9E" w14:textId="2959C2FC" w:rsidR="005B5F56" w:rsidRPr="005B5F56" w:rsidRDefault="005B5F56" w:rsidP="005B5F56">
      <w:pPr>
        <w:rPr>
          <w:lang w:val="en-US"/>
        </w:rPr>
      </w:pPr>
      <w:r w:rsidRPr="005B5F56">
        <w:rPr>
          <w:lang w:val="en-US"/>
        </w:rPr>
        <w:t>Once the attackers achieve this initial overflow, they can take advantage of a third bug in SMBv1 which allows heap spraying, a technique which results in allocating a chunk of memory at a given address. From here, the attacker can write and execute shellcode to take control of the system.</w:t>
      </w:r>
    </w:p>
    <w:p w14:paraId="2751A4CE" w14:textId="0F08B567" w:rsidR="00633AD3" w:rsidRDefault="005B5F56" w:rsidP="00633AD3">
      <w:pPr>
        <w:rPr>
          <w:lang w:val="en-US"/>
        </w:rPr>
      </w:pPr>
      <w:r w:rsidRPr="005B5F56">
        <w:rPr>
          <w:lang w:val="en-US"/>
        </w:rPr>
        <w:lastRenderedPageBreak/>
        <w:t>It didn’t take long for penetration testers and red teams to see the value in using these related exploits, and they were soon improved upon and incorporated into the Metasploit framework.</w:t>
      </w:r>
    </w:p>
    <w:p w14:paraId="416C94C3" w14:textId="68DC0EFF" w:rsidR="00760EB9" w:rsidRDefault="00760EB9" w:rsidP="00760EB9">
      <w:pPr>
        <w:pStyle w:val="Titolo1"/>
        <w:rPr>
          <w:b/>
          <w:bCs/>
          <w:color w:val="auto"/>
          <w:u w:val="single"/>
          <w:lang w:val="en-US"/>
        </w:rPr>
      </w:pPr>
      <w:bookmarkStart w:id="11" w:name="_Toc182001078"/>
      <w:r>
        <w:rPr>
          <w:b/>
          <w:bCs/>
          <w:color w:val="auto"/>
          <w:u w:val="single"/>
          <w:lang w:val="en-US"/>
        </w:rPr>
        <w:t>References</w:t>
      </w:r>
      <w:bookmarkEnd w:id="11"/>
    </w:p>
    <w:p w14:paraId="545CBDAA" w14:textId="066C1D71" w:rsidR="00FA0C91" w:rsidRDefault="00FE72A9" w:rsidP="00FA0C91">
      <w:pPr>
        <w:rPr>
          <w:lang w:val="en-US"/>
        </w:rPr>
      </w:pPr>
      <w:hyperlink r:id="rId8" w:history="1">
        <w:r w:rsidRPr="00FE72A9">
          <w:rPr>
            <w:rStyle w:val="Collegamentoipertestuale"/>
            <w:lang w:val="en-US"/>
          </w:rPr>
          <w:t>https://www.sentinelone.com/blog/eternalblue-nsa-developed-exploit-just-wont-die/</w:t>
        </w:r>
      </w:hyperlink>
      <w:r w:rsidRPr="00FE72A9">
        <w:rPr>
          <w:lang w:val="en-US"/>
        </w:rPr>
        <w:t xml:space="preserve"> -&gt; EternalBlue exp</w:t>
      </w:r>
      <w:r>
        <w:rPr>
          <w:lang w:val="en-US"/>
        </w:rPr>
        <w:t>lained by SentinelOne</w:t>
      </w:r>
    </w:p>
    <w:p w14:paraId="3AEFE643" w14:textId="2C177B30" w:rsidR="00FE72A9" w:rsidRDefault="00FE72A9" w:rsidP="00FA0C91">
      <w:pPr>
        <w:rPr>
          <w:lang w:val="en-US"/>
        </w:rPr>
      </w:pPr>
      <w:hyperlink r:id="rId9" w:history="1">
        <w:r w:rsidRPr="00FE72A9">
          <w:rPr>
            <w:rStyle w:val="Collegamentoipertestuale"/>
            <w:lang w:val="en-US"/>
          </w:rPr>
          <w:t>https://research.checkpoint.com/2017/eternalblue-everything-know/</w:t>
        </w:r>
      </w:hyperlink>
      <w:r w:rsidRPr="00FE72A9">
        <w:rPr>
          <w:lang w:val="en-US"/>
        </w:rPr>
        <w:t xml:space="preserve"> -&gt; EternalBlue exp</w:t>
      </w:r>
      <w:r>
        <w:rPr>
          <w:lang w:val="en-US"/>
        </w:rPr>
        <w:t>lained by CheckPoint</w:t>
      </w:r>
    </w:p>
    <w:p w14:paraId="246285EA" w14:textId="5F81EA98" w:rsidR="00FE72A9" w:rsidRPr="00FE72A9" w:rsidRDefault="00FE72A9" w:rsidP="00FA0C91">
      <w:hyperlink r:id="rId10" w:history="1">
        <w:r w:rsidRPr="00FE72A9">
          <w:rPr>
            <w:rStyle w:val="Collegamentoipertestuale"/>
          </w:rPr>
          <w:t>https://cve.mitre.org/cgi-bin/cvename.cgi?name=cve-2017-0144</w:t>
        </w:r>
      </w:hyperlink>
      <w:r w:rsidRPr="00FE72A9">
        <w:t xml:space="preserve"> -&gt; MIT</w:t>
      </w:r>
      <w:r>
        <w:t>RE CVE-2017-0144</w:t>
      </w:r>
    </w:p>
    <w:p w14:paraId="41A40973" w14:textId="77777777" w:rsidR="00633AD3" w:rsidRPr="00FE72A9" w:rsidRDefault="00633AD3" w:rsidP="00FA0C91"/>
    <w:p w14:paraId="46C89AC5" w14:textId="77777777" w:rsidR="00633AD3" w:rsidRPr="00FE72A9" w:rsidRDefault="00633AD3" w:rsidP="00FA0C91"/>
    <w:p w14:paraId="570FF17A" w14:textId="77777777" w:rsidR="00633AD3" w:rsidRPr="00FE72A9" w:rsidRDefault="00633AD3" w:rsidP="00FA0C91"/>
    <w:p w14:paraId="06D9474D" w14:textId="77777777" w:rsidR="00633AD3" w:rsidRPr="00FE72A9" w:rsidRDefault="00633AD3" w:rsidP="00FA0C91"/>
    <w:p w14:paraId="05241344" w14:textId="77777777" w:rsidR="00633AD3" w:rsidRPr="00FE72A9" w:rsidRDefault="00633AD3" w:rsidP="00FA0C91"/>
    <w:sectPr w:rsidR="00633AD3" w:rsidRPr="00FE72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40B57"/>
    <w:rsid w:val="00060C0E"/>
    <w:rsid w:val="000675E7"/>
    <w:rsid w:val="000844C3"/>
    <w:rsid w:val="00087EE9"/>
    <w:rsid w:val="00103ABC"/>
    <w:rsid w:val="001409A8"/>
    <w:rsid w:val="00253185"/>
    <w:rsid w:val="003354CC"/>
    <w:rsid w:val="003A2D2C"/>
    <w:rsid w:val="003C423B"/>
    <w:rsid w:val="003E7890"/>
    <w:rsid w:val="004917A9"/>
    <w:rsid w:val="00497385"/>
    <w:rsid w:val="004B1DB7"/>
    <w:rsid w:val="004E245C"/>
    <w:rsid w:val="00507AF9"/>
    <w:rsid w:val="00513674"/>
    <w:rsid w:val="00534027"/>
    <w:rsid w:val="005702DD"/>
    <w:rsid w:val="005B5F56"/>
    <w:rsid w:val="005D07C6"/>
    <w:rsid w:val="00626D66"/>
    <w:rsid w:val="00633AD3"/>
    <w:rsid w:val="006D481D"/>
    <w:rsid w:val="006F4E0C"/>
    <w:rsid w:val="00760EB9"/>
    <w:rsid w:val="00786806"/>
    <w:rsid w:val="008A36B6"/>
    <w:rsid w:val="008E6D55"/>
    <w:rsid w:val="008F0C16"/>
    <w:rsid w:val="00915D60"/>
    <w:rsid w:val="009A4998"/>
    <w:rsid w:val="009E1538"/>
    <w:rsid w:val="00A84B06"/>
    <w:rsid w:val="00AC7714"/>
    <w:rsid w:val="00AD3DCE"/>
    <w:rsid w:val="00AE7EC9"/>
    <w:rsid w:val="00B672A4"/>
    <w:rsid w:val="00B95A87"/>
    <w:rsid w:val="00BC3B9E"/>
    <w:rsid w:val="00CB3015"/>
    <w:rsid w:val="00CD62ED"/>
    <w:rsid w:val="00D0225B"/>
    <w:rsid w:val="00D23825"/>
    <w:rsid w:val="00D265A3"/>
    <w:rsid w:val="00DB3E6E"/>
    <w:rsid w:val="00DF72E4"/>
    <w:rsid w:val="00E11AAF"/>
    <w:rsid w:val="00EF34C6"/>
    <w:rsid w:val="00F94AA3"/>
    <w:rsid w:val="00FA0C91"/>
    <w:rsid w:val="00FC7FA9"/>
    <w:rsid w:val="00FE72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04560">
      <w:bodyDiv w:val="1"/>
      <w:marLeft w:val="0"/>
      <w:marRight w:val="0"/>
      <w:marTop w:val="0"/>
      <w:marBottom w:val="0"/>
      <w:divBdr>
        <w:top w:val="none" w:sz="0" w:space="0" w:color="auto"/>
        <w:left w:val="none" w:sz="0" w:space="0" w:color="auto"/>
        <w:bottom w:val="none" w:sz="0" w:space="0" w:color="auto"/>
        <w:right w:val="none" w:sz="0" w:space="0" w:color="auto"/>
      </w:divBdr>
    </w:div>
    <w:div w:id="430123839">
      <w:bodyDiv w:val="1"/>
      <w:marLeft w:val="0"/>
      <w:marRight w:val="0"/>
      <w:marTop w:val="0"/>
      <w:marBottom w:val="0"/>
      <w:divBdr>
        <w:top w:val="none" w:sz="0" w:space="0" w:color="auto"/>
        <w:left w:val="none" w:sz="0" w:space="0" w:color="auto"/>
        <w:bottom w:val="none" w:sz="0" w:space="0" w:color="auto"/>
        <w:right w:val="none" w:sz="0" w:space="0" w:color="auto"/>
      </w:divBdr>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1750612296">
      <w:bodyDiv w:val="1"/>
      <w:marLeft w:val="0"/>
      <w:marRight w:val="0"/>
      <w:marTop w:val="0"/>
      <w:marBottom w:val="0"/>
      <w:divBdr>
        <w:top w:val="none" w:sz="0" w:space="0" w:color="auto"/>
        <w:left w:val="none" w:sz="0" w:space="0" w:color="auto"/>
        <w:bottom w:val="none" w:sz="0" w:space="0" w:color="auto"/>
        <w:right w:val="none" w:sz="0" w:space="0" w:color="auto"/>
      </w:divBdr>
    </w:div>
    <w:div w:id="18065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tinelone.com/blog/eternalblue-nsa-developed-exploit-just-wont-di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ve.mitre.org/cgi-bin/cvename.cgi?name=cve-2017-0144" TargetMode="External"/><Relationship Id="rId4" Type="http://schemas.openxmlformats.org/officeDocument/2006/relationships/webSettings" Target="webSettings.xml"/><Relationship Id="rId9" Type="http://schemas.openxmlformats.org/officeDocument/2006/relationships/hyperlink" Target="https://research.checkpoint.com/2017/eternalblue-everything-kno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1119</Words>
  <Characters>6383</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2024-11-08T22:33:00Z</cp:lastPrinted>
  <dcterms:created xsi:type="dcterms:W3CDTF">2024-11-08T22:09:00Z</dcterms:created>
  <dcterms:modified xsi:type="dcterms:W3CDTF">2024-11-08T22:33:00Z</dcterms:modified>
</cp:coreProperties>
</file>