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203CCEC5">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w:t>
      </w:r>
      <w:r>
        <w:rPr>
          <w:sz w:val="24"/>
          <w:szCs w:val="24"/>
        </w:rPr>
        <w:lastRenderedPageBreak/>
        <w:t xml:space="preserve">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w:t>
      </w:r>
      <w:proofErr w:type="spellStart"/>
      <w:r>
        <w:rPr>
          <w:sz w:val="24"/>
          <w:szCs w:val="24"/>
        </w:rPr>
        <w:t>daily_sleep</w:t>
      </w:r>
      <w:proofErr w:type="spellEnd"/>
      <w:r>
        <w:rPr>
          <w:sz w:val="24"/>
          <w:szCs w:val="24"/>
        </w:rPr>
        <w:t xml:space="preserve">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lastRenderedPageBreak/>
        <w:drawing>
          <wp:inline distT="0" distB="0" distL="0" distR="0" wp14:anchorId="367EFEEE" wp14:editId="087B9AA2">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1EE24938">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drawing>
          <wp:inline distT="0" distB="0" distL="0" distR="0" wp14:anchorId="02A45265" wp14:editId="2F7EE2DB">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69396119">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578D1798">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327D4444">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0AB0AB10">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369F4DCB">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18783B71">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4F29FE42">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520657CC">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0EA508F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49C1B6D" w14:textId="77777777" w:rsidR="00B07386" w:rsidRDefault="00B07386" w:rsidP="00321726">
      <w:pPr>
        <w:rPr>
          <w:sz w:val="24"/>
          <w:szCs w:val="24"/>
        </w:rPr>
      </w:pPr>
    </w:p>
    <w:p w14:paraId="6071A738" w14:textId="0292DD04" w:rsidR="00B07386" w:rsidRDefault="00B07386" w:rsidP="00321726">
      <w:pPr>
        <w:rPr>
          <w:sz w:val="24"/>
          <w:szCs w:val="24"/>
        </w:rPr>
      </w:pPr>
      <w:r>
        <w:rPr>
          <w:sz w:val="24"/>
          <w:szCs w:val="24"/>
        </w:rPr>
        <w:t xml:space="preserve">The chart above has repeated from a previous </w:t>
      </w:r>
      <w:proofErr w:type="gramStart"/>
      <w:r>
        <w:rPr>
          <w:sz w:val="24"/>
          <w:szCs w:val="24"/>
        </w:rPr>
        <w:t>section, but</w:t>
      </w:r>
      <w:proofErr w:type="gramEnd"/>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7C4027D2">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BCF55C" w14:textId="41FF3F2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lastRenderedPageBreak/>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24" w:history="1">
        <w:r w:rsidRPr="00AC5B9B">
          <w:rPr>
            <w:rStyle w:val="Hyperlink"/>
            <w:sz w:val="24"/>
            <w:szCs w:val="24"/>
          </w:rPr>
          <w:t>study</w:t>
        </w:r>
      </w:hyperlink>
      <w:r>
        <w:rPr>
          <w:sz w:val="24"/>
          <w:szCs w:val="24"/>
        </w:rPr>
        <w:t xml:space="preserve"> from 2011 published through </w:t>
      </w:r>
      <w:hyperlink r:id="rId25"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lastRenderedPageBreak/>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lastRenderedPageBreak/>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56948"/>
    <w:rsid w:val="00A81F5D"/>
    <w:rsid w:val="00A85FCF"/>
    <w:rsid w:val="00AB16BE"/>
    <w:rsid w:val="00AB3618"/>
    <w:rsid w:val="00AB4DB0"/>
    <w:rsid w:val="00AB5B1C"/>
    <w:rsid w:val="00AC2D95"/>
    <w:rsid w:val="00AC5264"/>
    <w:rsid w:val="00AC5B9B"/>
    <w:rsid w:val="00B07386"/>
    <w:rsid w:val="00B3222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45B4"/>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biomedcentral.com/about" TargetMode="Externa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24" Type="http://schemas.openxmlformats.org/officeDocument/2006/relationships/hyperlink" Target="https://ijbnpa.biomedcentral.com/articles/10.1186/1479-5868-8-79" TargetMode="Externa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A24F7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4C72B0"/>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4C72B0"/>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4C72B0"/>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219"/>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4C72B0"/>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4C72B0"/>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4C72B0"/>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5E4FA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94994</TotalTime>
  <Pages>21</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20</cp:revision>
  <dcterms:created xsi:type="dcterms:W3CDTF">2022-07-28T18:39:00Z</dcterms:created>
  <dcterms:modified xsi:type="dcterms:W3CDTF">2024-05-18T14:02:00Z</dcterms:modified>
</cp:coreProperties>
</file>