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2D945EE"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w:t>
      </w:r>
      <w:r>
        <w:rPr>
          <w:sz w:val="24"/>
          <w:szCs w:val="24"/>
        </w:rPr>
        <w:lastRenderedPageBreak/>
        <w:t>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15F696F6">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2CA94E2A" w14:textId="312FCB93"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BC78AD" w14:textId="2FE10E87"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xml:space="preserve">, making up the bulk of the 67 total </w:t>
      </w:r>
      <w:r w:rsidR="002A0FAF">
        <w:rPr>
          <w:sz w:val="24"/>
          <w:szCs w:val="24"/>
        </w:rPr>
        <w:lastRenderedPageBreak/>
        <w:t>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16905"/>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C3950"/>
    <w:rsid w:val="004D2F5A"/>
    <w:rsid w:val="004D3185"/>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99311</TotalTime>
  <Pages>25</Pages>
  <Words>4068</Words>
  <Characters>23190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25</cp:revision>
  <dcterms:created xsi:type="dcterms:W3CDTF">2022-07-28T18:39:00Z</dcterms:created>
  <dcterms:modified xsi:type="dcterms:W3CDTF">2024-05-21T14:16:00Z</dcterms:modified>
</cp:coreProperties>
</file>