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7D04310D"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73EF467">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40919D44">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45C8AF80" w:rsidR="003840BE" w:rsidRPr="001A7325" w:rsidRDefault="003840BE" w:rsidP="00283574">
      <w:pPr>
        <w:rPr>
          <w:sz w:val="24"/>
          <w:szCs w:val="24"/>
        </w:rPr>
      </w:pPr>
      <w:r w:rsidRPr="001A7325">
        <w:rPr>
          <w:sz w:val="24"/>
          <w:szCs w:val="24"/>
        </w:rPr>
        <w:t>Monday and Tuesday have the highest Very Active Minutes per day as well as the highest Sedentary minutes per day.</w:t>
      </w:r>
    </w:p>
    <w:p w14:paraId="3C77815B" w14:textId="5BCCBB7C" w:rsidR="003840BE" w:rsidRDefault="003840BE" w:rsidP="00283574">
      <w:pPr>
        <w:rPr>
          <w:sz w:val="24"/>
          <w:szCs w:val="24"/>
        </w:rPr>
      </w:pPr>
      <w:r w:rsidRPr="001A7325">
        <w:rPr>
          <w:sz w:val="24"/>
          <w:szCs w:val="24"/>
        </w:rPr>
        <w:t>Overall, the chart is somewhat consistent across the days of the week</w:t>
      </w:r>
      <w:r w:rsidR="001A7325">
        <w:rPr>
          <w:sz w:val="24"/>
          <w:szCs w:val="24"/>
        </w:rPr>
        <w:t xml:space="preserve">, especially when </w:t>
      </w:r>
      <w:proofErr w:type="gramStart"/>
      <w:r w:rsidR="001A7325">
        <w:rPr>
          <w:sz w:val="24"/>
          <w:szCs w:val="24"/>
        </w:rPr>
        <w:t>giving specific consideration to</w:t>
      </w:r>
      <w:proofErr w:type="gramEnd"/>
      <w:r w:rsidR="001A7325">
        <w:rPr>
          <w:sz w:val="24"/>
          <w:szCs w:val="24"/>
        </w:rPr>
        <w:t xml:space="preserve"> the values for Very Active and Fairly Active Minutes Per Day.</w:t>
      </w:r>
    </w:p>
    <w:p w14:paraId="74430050" w14:textId="721ECFF6" w:rsidR="008F53F2" w:rsidRDefault="00211161" w:rsidP="00283574">
      <w:pPr>
        <w:rPr>
          <w:sz w:val="24"/>
          <w:szCs w:val="24"/>
        </w:rPr>
      </w:pPr>
      <w:r>
        <w:rPr>
          <w:noProof/>
        </w:rPr>
        <w:lastRenderedPageBreak/>
        <w:drawing>
          <wp:inline distT="0" distB="0" distL="0" distR="0" wp14:anchorId="231D112C" wp14:editId="71A8BC9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55263B7D" w:rsidR="000E4EBE" w:rsidRDefault="001A7325" w:rsidP="00283574">
      <w:pPr>
        <w:rPr>
          <w:sz w:val="24"/>
          <w:szCs w:val="24"/>
        </w:rPr>
      </w:pPr>
      <w:r>
        <w:rPr>
          <w:sz w:val="24"/>
          <w:szCs w:val="24"/>
        </w:rPr>
        <w:t>Similarly to the previous chart, the values for Very Active and Fairly Active Distance Per Day are quite consistent across the week.</w:t>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13F62B0"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715356">
        <w:rPr>
          <w:sz w:val="24"/>
          <w:szCs w:val="24"/>
        </w:rPr>
        <w:t>were</w:t>
      </w:r>
      <w:r>
        <w:rPr>
          <w:sz w:val="24"/>
          <w:szCs w:val="24"/>
        </w:rPr>
        <w:t xml:space="preserve"> between 03:00 (3AM) and 04:00 (4AM) with 68 average calories burned per hour.</w:t>
      </w:r>
    </w:p>
    <w:p w14:paraId="3A71F925" w14:textId="77777777" w:rsidR="00715356" w:rsidRDefault="00715356" w:rsidP="00283574">
      <w:pPr>
        <w:rPr>
          <w:sz w:val="24"/>
          <w:szCs w:val="24"/>
        </w:rPr>
      </w:pPr>
    </w:p>
    <w:p w14:paraId="534D6DC9" w14:textId="75F93C98" w:rsidR="00194EE0" w:rsidRDefault="00194EE0" w:rsidP="00283574">
      <w:pPr>
        <w:rPr>
          <w:sz w:val="24"/>
          <w:szCs w:val="24"/>
        </w:rPr>
      </w:pPr>
      <w:r>
        <w:rPr>
          <w:sz w:val="24"/>
          <w:szCs w:val="24"/>
        </w:rPr>
        <w:t>Both average steps per hour and average calories burned per hour were in line with each other.  Given the context, this makes sense and was to be expected.</w:t>
      </w:r>
      <w:r w:rsidR="00715356">
        <w:rPr>
          <w:sz w:val="24"/>
          <w:szCs w:val="24"/>
        </w:rPr>
        <w:t xml:space="preserve">  However, since there is no indication that the physical locations of all the participants </w:t>
      </w:r>
      <w:proofErr w:type="gramStart"/>
      <w:r w:rsidR="00715356">
        <w:rPr>
          <w:sz w:val="24"/>
          <w:szCs w:val="24"/>
        </w:rPr>
        <w:t>was</w:t>
      </w:r>
      <w:proofErr w:type="gramEnd"/>
      <w:r w:rsidR="00715356">
        <w:rPr>
          <w:sz w:val="24"/>
          <w:szCs w:val="24"/>
        </w:rPr>
        <w:t xml:space="preserve"> within the same time zone, this all could have been a happy accident that their daily routines seem to line up so conveniently.</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6E07E09F" w:rsidR="003E7AA9" w:rsidRDefault="003E7AA9">
      <w:pPr>
        <w:rPr>
          <w:b/>
          <w:bCs/>
          <w:sz w:val="24"/>
          <w:szCs w:val="24"/>
        </w:rPr>
      </w:pPr>
      <w:r w:rsidRPr="00C56AC4">
        <w:rPr>
          <w:b/>
          <w:bCs/>
          <w:sz w:val="24"/>
          <w:szCs w:val="24"/>
        </w:rPr>
        <w:t xml:space="preserve">Recommendations </w:t>
      </w:r>
      <w:r w:rsidR="00393452">
        <w:rPr>
          <w:b/>
          <w:bCs/>
          <w:sz w:val="24"/>
          <w:szCs w:val="24"/>
        </w:rPr>
        <w:t>B</w:t>
      </w:r>
      <w:r w:rsidRPr="00C56AC4">
        <w:rPr>
          <w:b/>
          <w:bCs/>
          <w:sz w:val="24"/>
          <w:szCs w:val="24"/>
        </w:rPr>
        <w:t>ased on Analysis</w:t>
      </w:r>
    </w:p>
    <w:p w14:paraId="330AC021" w14:textId="77777777" w:rsidR="00305905" w:rsidRDefault="00305905" w:rsidP="00305905">
      <w:pPr>
        <w:rPr>
          <w:sz w:val="24"/>
          <w:szCs w:val="24"/>
        </w:rPr>
      </w:pPr>
    </w:p>
    <w:p w14:paraId="3F2065A8" w14:textId="2F06500C" w:rsidR="00251541" w:rsidRPr="00305905" w:rsidRDefault="00305905" w:rsidP="00305905">
      <w:pPr>
        <w:pStyle w:val="ListParagraph"/>
        <w:numPr>
          <w:ilvl w:val="0"/>
          <w:numId w:val="17"/>
        </w:numPr>
        <w:rPr>
          <w:sz w:val="24"/>
          <w:szCs w:val="24"/>
        </w:rPr>
      </w:pPr>
      <w:r w:rsidRPr="00305905">
        <w:rPr>
          <w:sz w:val="24"/>
          <w:szCs w:val="24"/>
        </w:rPr>
        <w:t>Add goal tracking functionality options to the Bellabeat app, such as weight, or some</w:t>
      </w:r>
      <w:r>
        <w:rPr>
          <w:sz w:val="24"/>
          <w:szCs w:val="24"/>
        </w:rPr>
        <w:t xml:space="preserve"> </w:t>
      </w:r>
      <w:r w:rsidRPr="00305905">
        <w:rPr>
          <w:sz w:val="24"/>
          <w:szCs w:val="24"/>
        </w:rPr>
        <w:t>other fitness related metric (couch to 5k?)</w:t>
      </w:r>
      <w:r w:rsidRPr="00305905">
        <w:rPr>
          <w:sz w:val="24"/>
          <w:szCs w:val="24"/>
        </w:rPr>
        <w:t>.  The a</w:t>
      </w:r>
      <w:r w:rsidRPr="00305905">
        <w:rPr>
          <w:sz w:val="24"/>
          <w:szCs w:val="24"/>
        </w:rPr>
        <w:t>pp could offer</w:t>
      </w:r>
      <w:r w:rsidRPr="00305905">
        <w:rPr>
          <w:sz w:val="24"/>
          <w:szCs w:val="24"/>
        </w:rPr>
        <w:t xml:space="preserve"> an</w:t>
      </w:r>
      <w:r w:rsidRPr="00305905">
        <w:rPr>
          <w:sz w:val="24"/>
          <w:szCs w:val="24"/>
        </w:rPr>
        <w:t xml:space="preserve"> option of “morning/evening briefing report” that showed the previous/current day’s stats to help with daily and long-term goal setting/tracking.</w:t>
      </w:r>
      <w:r w:rsidRPr="00305905">
        <w:rPr>
          <w:sz w:val="24"/>
          <w:szCs w:val="24"/>
        </w:rPr>
        <w:t xml:space="preserve">  A</w:t>
      </w:r>
      <w:r w:rsidR="00251541" w:rsidRPr="00305905">
        <w:rPr>
          <w:sz w:val="24"/>
          <w:szCs w:val="24"/>
        </w:rPr>
        <w:t xml:space="preserve">s previously stated in the analysis summary, weight logging doesn’t seem to be a high priority for the Fitbit </w:t>
      </w:r>
      <w:r w:rsidR="00287762" w:rsidRPr="00305905">
        <w:rPr>
          <w:sz w:val="24"/>
          <w:szCs w:val="24"/>
        </w:rPr>
        <w:t>participants</w:t>
      </w:r>
      <w:r w:rsidR="00251541" w:rsidRPr="00305905">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sidRPr="00305905">
        <w:rPr>
          <w:sz w:val="24"/>
          <w:szCs w:val="24"/>
        </w:rPr>
        <w:t>weight_log</w:t>
      </w:r>
      <w:proofErr w:type="spellEnd"/>
      <w:r w:rsidR="00251541" w:rsidRPr="00305905">
        <w:rPr>
          <w:sz w:val="24"/>
          <w:szCs w:val="24"/>
        </w:rPr>
        <w:t xml:space="preserve"> table.  However, the fact that the </w:t>
      </w:r>
      <w:r w:rsidR="00287762" w:rsidRPr="00305905">
        <w:rPr>
          <w:sz w:val="24"/>
          <w:szCs w:val="24"/>
        </w:rPr>
        <w:t>members of the</w:t>
      </w:r>
      <w:r w:rsidR="00251541" w:rsidRPr="00305905">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sidRPr="00305905">
        <w:rPr>
          <w:sz w:val="24"/>
          <w:szCs w:val="24"/>
        </w:rPr>
        <w:t xml:space="preserve">more limited scope </w:t>
      </w:r>
      <w:r w:rsidR="00251541" w:rsidRPr="00305905">
        <w:rPr>
          <w:sz w:val="24"/>
          <w:szCs w:val="24"/>
        </w:rPr>
        <w:t xml:space="preserve">might be </w:t>
      </w:r>
      <w:r w:rsidR="00456E3C" w:rsidRPr="00305905">
        <w:rPr>
          <w:sz w:val="24"/>
          <w:szCs w:val="24"/>
        </w:rPr>
        <w:t>how</w:t>
      </w:r>
      <w:r w:rsidR="00287762" w:rsidRPr="00305905">
        <w:rPr>
          <w:sz w:val="24"/>
          <w:szCs w:val="24"/>
        </w:rPr>
        <w:t xml:space="preserve"> </w:t>
      </w:r>
      <w:r w:rsidR="002C04BD" w:rsidRPr="00305905">
        <w:rPr>
          <w:sz w:val="24"/>
          <w:szCs w:val="24"/>
        </w:rPr>
        <w:t>users would</w:t>
      </w:r>
      <w:r w:rsidR="00456E3C" w:rsidRPr="00305905">
        <w:rPr>
          <w:sz w:val="24"/>
          <w:szCs w:val="24"/>
        </w:rPr>
        <w:t xml:space="preserve"> respond to the weight logging feature if they were issued a reminder through the device app.  Perhaps the participation numbers were so low because the other data is </w:t>
      </w:r>
      <w:r w:rsidRPr="00305905">
        <w:rPr>
          <w:sz w:val="24"/>
          <w:szCs w:val="24"/>
        </w:rPr>
        <w:t xml:space="preserve">by-and-large </w:t>
      </w:r>
      <w:r w:rsidR="00456E3C" w:rsidRPr="00305905">
        <w:rPr>
          <w:sz w:val="24"/>
          <w:szCs w:val="24"/>
        </w:rPr>
        <w:t xml:space="preserve">collected </w:t>
      </w:r>
      <w:r w:rsidR="00C26224" w:rsidRPr="00305905">
        <w:rPr>
          <w:sz w:val="24"/>
          <w:szCs w:val="24"/>
        </w:rPr>
        <w:t>automatically,</w:t>
      </w:r>
      <w:r w:rsidR="00456E3C" w:rsidRPr="00305905">
        <w:rPr>
          <w:sz w:val="24"/>
          <w:szCs w:val="24"/>
        </w:rPr>
        <w:t xml:space="preserve"> and weight logging requires the </w:t>
      </w:r>
      <w:r w:rsidR="00287762" w:rsidRPr="00305905">
        <w:rPr>
          <w:sz w:val="24"/>
          <w:szCs w:val="24"/>
        </w:rPr>
        <w:t>participant</w:t>
      </w:r>
      <w:r w:rsidR="00456E3C" w:rsidRPr="00305905">
        <w:rPr>
          <w:sz w:val="24"/>
          <w:szCs w:val="24"/>
        </w:rPr>
        <w:t xml:space="preserve"> to remember and </w:t>
      </w:r>
      <w:proofErr w:type="gramStart"/>
      <w:r w:rsidR="00456E3C" w:rsidRPr="00305905">
        <w:rPr>
          <w:sz w:val="24"/>
          <w:szCs w:val="24"/>
        </w:rPr>
        <w:t>take action</w:t>
      </w:r>
      <w:proofErr w:type="gramEnd"/>
      <w:r w:rsidR="00456E3C" w:rsidRPr="00305905">
        <w:rPr>
          <w:sz w:val="24"/>
          <w:szCs w:val="24"/>
        </w:rPr>
        <w:t>.</w:t>
      </w:r>
    </w:p>
    <w:p w14:paraId="31435744" w14:textId="77777777" w:rsidR="00287762" w:rsidRPr="00C56AC4" w:rsidRDefault="00287762">
      <w:pPr>
        <w:rPr>
          <w:sz w:val="24"/>
          <w:szCs w:val="24"/>
        </w:rPr>
      </w:pPr>
    </w:p>
    <w:p w14:paraId="72D4FFAA" w14:textId="190E21CC" w:rsidR="00F3449E" w:rsidRPr="009D13D9" w:rsidRDefault="00F3449E" w:rsidP="009D13D9">
      <w:pPr>
        <w:pStyle w:val="ListParagraph"/>
        <w:numPr>
          <w:ilvl w:val="0"/>
          <w:numId w:val="17"/>
        </w:numPr>
        <w:rPr>
          <w:sz w:val="24"/>
          <w:szCs w:val="24"/>
        </w:rPr>
      </w:pPr>
      <w:r w:rsidRPr="009D13D9">
        <w:rPr>
          <w:sz w:val="24"/>
          <w:szCs w:val="24"/>
        </w:rPr>
        <w:t xml:space="preserve">Create </w:t>
      </w:r>
      <w:r w:rsidR="00305905" w:rsidRPr="009D13D9">
        <w:rPr>
          <w:sz w:val="24"/>
          <w:szCs w:val="24"/>
        </w:rPr>
        <w:t xml:space="preserve">and market </w:t>
      </w:r>
      <w:r w:rsidRPr="009D13D9">
        <w:rPr>
          <w:sz w:val="24"/>
          <w:szCs w:val="24"/>
        </w:rPr>
        <w:t>a new product as a connected smart scale so that users would be more likely to log their weight with a reminder prompt from the app</w:t>
      </w:r>
      <w:r w:rsidR="00287762" w:rsidRPr="009D13D9">
        <w:rPr>
          <w:sz w:val="24"/>
          <w:szCs w:val="24"/>
        </w:rPr>
        <w:t>, or</w:t>
      </w:r>
      <w:r w:rsidRPr="009D13D9">
        <w:rPr>
          <w:sz w:val="24"/>
          <w:szCs w:val="24"/>
        </w:rPr>
        <w:t xml:space="preserve"> partner with a company with an existing smart-enabled product that could be made compatible with the Bell</w:t>
      </w:r>
      <w:r w:rsidR="009D13D9">
        <w:rPr>
          <w:sz w:val="24"/>
          <w:szCs w:val="24"/>
        </w:rPr>
        <w:t>a</w:t>
      </w:r>
      <w:r w:rsidRPr="009D13D9">
        <w:rPr>
          <w:sz w:val="24"/>
          <w:szCs w:val="24"/>
        </w:rPr>
        <w:t>beat app.</w:t>
      </w:r>
    </w:p>
    <w:p w14:paraId="4161729D" w14:textId="37A5A7F5" w:rsidR="00520D0C" w:rsidRDefault="00520D0C">
      <w:pPr>
        <w:rPr>
          <w:sz w:val="24"/>
          <w:szCs w:val="24"/>
        </w:rPr>
      </w:pPr>
    </w:p>
    <w:p w14:paraId="6929420F" w14:textId="38DC3397" w:rsidR="002709FF" w:rsidRPr="009D13D9" w:rsidRDefault="002709FF" w:rsidP="009D13D9">
      <w:pPr>
        <w:pStyle w:val="ListParagraph"/>
        <w:numPr>
          <w:ilvl w:val="0"/>
          <w:numId w:val="17"/>
        </w:numPr>
        <w:rPr>
          <w:sz w:val="24"/>
          <w:szCs w:val="24"/>
        </w:rPr>
      </w:pPr>
      <w:r w:rsidRPr="009D13D9">
        <w:rPr>
          <w:sz w:val="24"/>
          <w:szCs w:val="24"/>
        </w:rPr>
        <w:t>The Bell</w:t>
      </w:r>
      <w:r w:rsidR="009D13D9">
        <w:rPr>
          <w:sz w:val="24"/>
          <w:szCs w:val="24"/>
        </w:rPr>
        <w:t>a</w:t>
      </w:r>
      <w:r w:rsidRPr="009D13D9">
        <w:rPr>
          <w:sz w:val="24"/>
          <w:szCs w:val="24"/>
        </w:rPr>
        <w:t>beat app could have active reminders based on activity tracking, such as alarms</w:t>
      </w:r>
      <w:r w:rsidR="002C04BD" w:rsidRPr="009D13D9">
        <w:rPr>
          <w:sz w:val="24"/>
          <w:szCs w:val="24"/>
        </w:rPr>
        <w:t xml:space="preserve"> or reminders</w:t>
      </w:r>
      <w:r w:rsidRPr="009D13D9">
        <w:rPr>
          <w:sz w:val="24"/>
          <w:szCs w:val="24"/>
        </w:rPr>
        <w:t xml:space="preserve"> for consistent sleep habits, or notifications after either a </w:t>
      </w:r>
      <w:r w:rsidR="009D13D9">
        <w:rPr>
          <w:sz w:val="24"/>
          <w:szCs w:val="24"/>
        </w:rPr>
        <w:t>pre</w:t>
      </w:r>
      <w:r w:rsidRPr="009D13D9">
        <w:rPr>
          <w:sz w:val="24"/>
          <w:szCs w:val="24"/>
        </w:rPr>
        <w:t>set</w:t>
      </w:r>
      <w:r w:rsidR="009D13D9">
        <w:rPr>
          <w:sz w:val="24"/>
          <w:szCs w:val="24"/>
        </w:rPr>
        <w:t xml:space="preserve"> default</w:t>
      </w:r>
      <w:r w:rsidRPr="009D13D9">
        <w:rPr>
          <w:sz w:val="24"/>
          <w:szCs w:val="24"/>
        </w:rPr>
        <w:t xml:space="preserve"> or customizable duration of recoded sedentary activity.</w:t>
      </w:r>
      <w:r w:rsidR="009D13D9">
        <w:rPr>
          <w:sz w:val="24"/>
          <w:szCs w:val="24"/>
        </w:rPr>
        <w:t xml:space="preserve">  This could be done in conjunction with la</w:t>
      </w:r>
      <w:r w:rsidR="009D13D9" w:rsidRPr="009D13D9">
        <w:rPr>
          <w:sz w:val="24"/>
          <w:szCs w:val="24"/>
        </w:rPr>
        <w:t>unch</w:t>
      </w:r>
      <w:r w:rsidR="009D13D9">
        <w:rPr>
          <w:sz w:val="24"/>
          <w:szCs w:val="24"/>
        </w:rPr>
        <w:t>ing</w:t>
      </w:r>
      <w:r w:rsidR="009D13D9" w:rsidRPr="009D13D9">
        <w:rPr>
          <w:sz w:val="24"/>
          <w:szCs w:val="24"/>
        </w:rPr>
        <w:t xml:space="preserve"> an education campaign about health-related topics, such as </w:t>
      </w:r>
      <w:r w:rsidR="009D13D9">
        <w:rPr>
          <w:sz w:val="24"/>
          <w:szCs w:val="24"/>
        </w:rPr>
        <w:t xml:space="preserve">the </w:t>
      </w:r>
      <w:r w:rsidR="009D13D9" w:rsidRPr="009D13D9">
        <w:rPr>
          <w:sz w:val="24"/>
          <w:szCs w:val="24"/>
        </w:rPr>
        <w:t>benefits of reaching daily step goals.</w:t>
      </w:r>
    </w:p>
    <w:p w14:paraId="63D153CA" w14:textId="67FE6B8A" w:rsidR="002709FF" w:rsidRDefault="002709FF">
      <w:pPr>
        <w:rPr>
          <w:sz w:val="24"/>
          <w:szCs w:val="24"/>
        </w:rPr>
      </w:pPr>
    </w:p>
    <w:p w14:paraId="396D492C" w14:textId="309CE78A" w:rsidR="002709FF" w:rsidRDefault="002709FF">
      <w:pPr>
        <w:rPr>
          <w:sz w:val="24"/>
          <w:szCs w:val="24"/>
        </w:rPr>
      </w:pPr>
    </w:p>
    <w:p w14:paraId="611EF007" w14:textId="71B9BAE0" w:rsidR="002A444D" w:rsidRPr="009D13D9" w:rsidRDefault="002709FF" w:rsidP="002139DB">
      <w:pPr>
        <w:pStyle w:val="ListParagraph"/>
        <w:numPr>
          <w:ilvl w:val="0"/>
          <w:numId w:val="17"/>
        </w:numPr>
        <w:rPr>
          <w:sz w:val="24"/>
          <w:szCs w:val="24"/>
        </w:rPr>
      </w:pPr>
      <w:r w:rsidRPr="009D13D9">
        <w:rPr>
          <w:sz w:val="24"/>
          <w:szCs w:val="24"/>
        </w:rPr>
        <w:t xml:space="preserve">Push the message </w:t>
      </w:r>
      <w:r w:rsidR="00DD4A13" w:rsidRPr="009D13D9">
        <w:rPr>
          <w:sz w:val="24"/>
          <w:szCs w:val="24"/>
        </w:rPr>
        <w:t xml:space="preserve">with marketing </w:t>
      </w:r>
      <w:r w:rsidRPr="009D13D9">
        <w:rPr>
          <w:sz w:val="24"/>
          <w:szCs w:val="24"/>
        </w:rPr>
        <w:t>that Bellabeat products have 6-month battery life and don’t require daily charging.</w:t>
      </w:r>
      <w:r w:rsidR="002C04BD" w:rsidRPr="009D13D9">
        <w:rPr>
          <w:sz w:val="24"/>
          <w:szCs w:val="24"/>
        </w:rPr>
        <w:t xml:space="preserve">  </w:t>
      </w:r>
      <w:r w:rsidRPr="009D13D9">
        <w:rPr>
          <w:sz w:val="24"/>
          <w:szCs w:val="24"/>
        </w:rPr>
        <w:t>Also, that they are elegant style and fashion statements that can be worn for almost any occasion</w:t>
      </w:r>
      <w:r w:rsidR="002C04BD" w:rsidRPr="009D13D9">
        <w:rPr>
          <w:sz w:val="24"/>
          <w:szCs w:val="24"/>
        </w:rPr>
        <w:t>, and</w:t>
      </w:r>
      <w:r w:rsidRPr="009D13D9">
        <w:rPr>
          <w:sz w:val="24"/>
          <w:szCs w:val="24"/>
        </w:rPr>
        <w:t xml:space="preserve"> that </w:t>
      </w:r>
      <w:proofErr w:type="spellStart"/>
      <w:r w:rsidRPr="009D13D9">
        <w:rPr>
          <w:sz w:val="24"/>
          <w:szCs w:val="24"/>
        </w:rPr>
        <w:t>Bellbeat</w:t>
      </w:r>
      <w:proofErr w:type="spellEnd"/>
      <w:r w:rsidRPr="009D13D9">
        <w:rPr>
          <w:sz w:val="24"/>
          <w:szCs w:val="24"/>
        </w:rPr>
        <w:t xml:space="preserve"> products can potentially be worn more comfortably </w:t>
      </w:r>
      <w:r w:rsidR="002C04BD" w:rsidRPr="009D13D9">
        <w:rPr>
          <w:sz w:val="24"/>
          <w:szCs w:val="24"/>
        </w:rPr>
        <w:t>and conveniently than a smartwatch-style device</w:t>
      </w:r>
      <w:r w:rsidR="009D13D9">
        <w:rPr>
          <w:sz w:val="24"/>
          <w:szCs w:val="24"/>
        </w:rPr>
        <w:t>, especially during sleep.</w:t>
      </w:r>
    </w:p>
    <w:sectPr w:rsidR="002A444D" w:rsidRPr="009D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A75367"/>
    <w:multiLevelType w:val="hybridMultilevel"/>
    <w:tmpl w:val="4E04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924B2"/>
    <w:multiLevelType w:val="hybridMultilevel"/>
    <w:tmpl w:val="4EA4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1"/>
  </w:num>
  <w:num w:numId="2" w16cid:durableId="2046100131">
    <w:abstractNumId w:val="13"/>
  </w:num>
  <w:num w:numId="3" w16cid:durableId="695468047">
    <w:abstractNumId w:val="15"/>
  </w:num>
  <w:num w:numId="4" w16cid:durableId="252400313">
    <w:abstractNumId w:val="10"/>
  </w:num>
  <w:num w:numId="5" w16cid:durableId="500854819">
    <w:abstractNumId w:val="8"/>
  </w:num>
  <w:num w:numId="6" w16cid:durableId="2003699819">
    <w:abstractNumId w:val="7"/>
  </w:num>
  <w:num w:numId="7" w16cid:durableId="1128428932">
    <w:abstractNumId w:val="14"/>
  </w:num>
  <w:num w:numId="8" w16cid:durableId="536281598">
    <w:abstractNumId w:val="3"/>
  </w:num>
  <w:num w:numId="9" w16cid:durableId="163908744">
    <w:abstractNumId w:val="6"/>
  </w:num>
  <w:num w:numId="10" w16cid:durableId="76757494">
    <w:abstractNumId w:val="4"/>
  </w:num>
  <w:num w:numId="11" w16cid:durableId="1065377375">
    <w:abstractNumId w:val="5"/>
  </w:num>
  <w:num w:numId="12" w16cid:durableId="1861121485">
    <w:abstractNumId w:val="0"/>
  </w:num>
  <w:num w:numId="13" w16cid:durableId="417941695">
    <w:abstractNumId w:val="9"/>
  </w:num>
  <w:num w:numId="14" w16cid:durableId="1664770470">
    <w:abstractNumId w:val="1"/>
  </w:num>
  <w:num w:numId="15" w16cid:durableId="1693337974">
    <w:abstractNumId w:val="16"/>
  </w:num>
  <w:num w:numId="16" w16cid:durableId="931857718">
    <w:abstractNumId w:val="2"/>
  </w:num>
  <w:num w:numId="17" w16cid:durableId="902259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94EE0"/>
    <w:rsid w:val="001A7325"/>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54E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05905"/>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DFB"/>
    <w:rsid w:val="006D2E2E"/>
    <w:rsid w:val="006D3D57"/>
    <w:rsid w:val="006D401D"/>
    <w:rsid w:val="006F18AF"/>
    <w:rsid w:val="006F4D24"/>
    <w:rsid w:val="00703075"/>
    <w:rsid w:val="00715356"/>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13D9"/>
    <w:rsid w:val="009D768D"/>
    <w:rsid w:val="009E0B2F"/>
    <w:rsid w:val="009F0B17"/>
    <w:rsid w:val="009F3A7B"/>
    <w:rsid w:val="00A0363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022"/>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sz="1400" b="0">
                <a:solidFill>
                  <a:schemeClr val="tx1">
                    <a:lumMod val="65000"/>
                    <a:lumOff val="35000"/>
                  </a:schemeClr>
                </a:solidFill>
              </a:rPr>
              <a:t>B</a:t>
            </a:r>
            <a:r>
              <a:rPr lang="en-US">
                <a:solidFill>
                  <a:schemeClr val="tx1">
                    <a:lumMod val="65000"/>
                    <a:lumOff val="35000"/>
                  </a:schemeClr>
                </a:solidFill>
              </a:rPr>
              <a:t>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sz="1400" b="0" baseline="0">
                <a:solidFill>
                  <a:schemeClr val="tx1">
                    <a:lumMod val="65000"/>
                    <a:lumOff val="35000"/>
                  </a:schemeClr>
                </a:solidFill>
              </a:rPr>
              <a:t>B</a:t>
            </a:r>
            <a:r>
              <a:rPr lang="en-US" baseline="0">
                <a:solidFill>
                  <a:schemeClr val="tx1">
                    <a:lumMod val="65000"/>
                    <a:lumOff val="35000"/>
                  </a:schemeClr>
                </a:solidFill>
              </a:rPr>
              <a:t>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100741</TotalTime>
  <Pages>26</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34</cp:revision>
  <dcterms:created xsi:type="dcterms:W3CDTF">2022-07-28T18:39:00Z</dcterms:created>
  <dcterms:modified xsi:type="dcterms:W3CDTF">2024-05-22T14:43:00Z</dcterms:modified>
</cp:coreProperties>
</file>