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5539BAC4" w14:textId="5271F012" w:rsidR="00EA6D08" w:rsidRDefault="00EA6D08" w:rsidP="003C7695">
      <w:r>
        <w:t>Note: All values are in thousands of dollars unless otherwise indicated.</w:t>
      </w:r>
    </w:p>
    <w:p w14:paraId="5AD3C36C" w14:textId="77777777" w:rsidR="00097F7B" w:rsidRDefault="00097F7B" w:rsidP="003C7695"/>
    <w:p w14:paraId="6CD8D4C6" w14:textId="6BE76D66" w:rsidR="00097F7B" w:rsidRDefault="008A0F4B" w:rsidP="003C7695">
      <w:r>
        <w:rPr>
          <w:b/>
          <w:bCs/>
          <w:sz w:val="28"/>
          <w:szCs w:val="28"/>
        </w:rPr>
        <w:t xml:space="preserve">### </w:t>
      </w:r>
      <w:r w:rsidR="00097F7B">
        <w:rPr>
          <w:b/>
          <w:bCs/>
          <w:sz w:val="28"/>
          <w:szCs w:val="28"/>
        </w:rPr>
        <w:t>Income Statement Analysis</w:t>
      </w:r>
    </w:p>
    <w:p w14:paraId="24160C00" w14:textId="77777777" w:rsidR="000B3738" w:rsidRDefault="00097F7B" w:rsidP="003C7695">
      <w:pPr>
        <w:rPr>
          <w:b/>
          <w:bCs/>
        </w:rPr>
      </w:pPr>
      <w:r w:rsidRPr="006A2924">
        <w:rPr>
          <w:b/>
          <w:bCs/>
        </w:rPr>
        <w:t>Top-line Revenue</w:t>
      </w:r>
    </w:p>
    <w:p w14:paraId="48503D52" w14:textId="04DE6875" w:rsidR="005A451A" w:rsidRDefault="005A451A" w:rsidP="003C7695">
      <w:r>
        <w:rPr>
          <w:noProof/>
        </w:rPr>
        <w:drawing>
          <wp:inline distT="0" distB="0" distL="0" distR="0" wp14:anchorId="6359F584" wp14:editId="0D2CBED2">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D588DA" w14:textId="6580CD35" w:rsidR="000B3738" w:rsidRDefault="000B3738" w:rsidP="003C7695">
      <w:r>
        <w:t>When compared to the most recent quarterly earnings report (three months ended 03/31/2024)</w:t>
      </w:r>
      <w:r w:rsidR="00EA6D08">
        <w:t>, the same period from two- and one-year previous has seen top-line revenue increase of 16% and 1</w:t>
      </w:r>
      <w:r w:rsidR="007D0634">
        <w:t>2.9</w:t>
      </w:r>
      <w:r w:rsidR="00EA6D08">
        <w:t>%, respectively.</w:t>
      </w:r>
      <w:r w:rsidR="007D0634">
        <w:t xml:space="preserve">  However, the year-over-year (YOY) increase between Q1 </w:t>
      </w:r>
      <w:r w:rsidR="00622F60">
        <w:t>‘</w:t>
      </w:r>
      <w:r w:rsidR="007D0634">
        <w:t xml:space="preserve">22 and Q1 </w:t>
      </w:r>
      <w:r w:rsidR="00622F60">
        <w:t>‘</w:t>
      </w:r>
      <w:r w:rsidR="007D0634">
        <w:t>23 was only 3.6%.</w:t>
      </w:r>
    </w:p>
    <w:p w14:paraId="6C06B79B" w14:textId="748A60B3" w:rsidR="005A451A" w:rsidRDefault="005A451A" w:rsidP="003C7695">
      <w:r>
        <w:rPr>
          <w:noProof/>
        </w:rPr>
        <w:drawing>
          <wp:inline distT="0" distB="0" distL="0" distR="0" wp14:anchorId="7BACB0D4" wp14:editId="2B08B452">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9D5B4B" w14:textId="43998A6B" w:rsidR="00622F60" w:rsidRDefault="00622F60" w:rsidP="003C7695">
      <w:r>
        <w:t xml:space="preserve">The consistency of revenue growth demonstrates the strength of the NFLX business model, as well as their placement among their competitors </w:t>
      </w:r>
      <w:r w:rsidR="00401A0D">
        <w:t>with</w:t>
      </w:r>
      <w:r>
        <w:t xml:space="preserve"> respect to capturing market share.</w:t>
      </w:r>
    </w:p>
    <w:p w14:paraId="561D7260" w14:textId="1E64187C" w:rsidR="00622F60" w:rsidRDefault="00622F60" w:rsidP="00622F60"/>
    <w:tbl>
      <w:tblPr>
        <w:tblW w:w="6680" w:type="dxa"/>
        <w:tblLook w:val="04A0" w:firstRow="1" w:lastRow="0" w:firstColumn="1" w:lastColumn="0" w:noHBand="0" w:noVBand="1"/>
      </w:tblPr>
      <w:tblGrid>
        <w:gridCol w:w="2740"/>
        <w:gridCol w:w="2340"/>
        <w:gridCol w:w="1600"/>
      </w:tblGrid>
      <w:tr w:rsidR="00622F60" w:rsidRPr="00EC5B3E" w14:paraId="00A19A73"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2B9A8A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lastRenderedPageBreak/>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8848C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25D4EB6"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22F60" w:rsidRPr="00EC5B3E" w14:paraId="70055009"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AEEAD8"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743BB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5524636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22F60" w:rsidRPr="00EC5B3E" w14:paraId="7040299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C5445"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999D3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2931A2D2"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22F60" w:rsidRPr="00EC5B3E" w14:paraId="61BD02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88040E"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07F8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24F8395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22F60" w:rsidRPr="00EC5B3E" w14:paraId="45C4D80D"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628BD"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5A238"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3E3D03B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22F60" w:rsidRPr="00EC5B3E" w14:paraId="03928310"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A150A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9EE529"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78CA4A54"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22F60" w:rsidRPr="00EC5B3E" w14:paraId="427B4E0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AAAB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5221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2B6AFD1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22F60" w:rsidRPr="00EC5B3E" w14:paraId="701F7D2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6DBFC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642A7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1DBCD40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22F60" w:rsidRPr="00EC5B3E" w14:paraId="6771D26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11B45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3F24D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667667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22F60" w:rsidRPr="00EC5B3E" w14:paraId="09EC11A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A136CC"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BFFC3E"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6B3C78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22F60" w:rsidRPr="00EC5B3E" w14:paraId="4FABB531"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6EF064"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8FE4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23109EE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22F60" w:rsidRPr="00EC5B3E" w14:paraId="082C9999"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952ED06"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D5BB8F3"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52D31DD7"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320D49EA" w14:textId="77777777" w:rsidR="00622F60" w:rsidRDefault="00622F60" w:rsidP="00622F60"/>
    <w:p w14:paraId="42D96CDA" w14:textId="680B14C5" w:rsidR="00622F60" w:rsidRDefault="00622F60" w:rsidP="00622F60">
      <w:pPr>
        <w:rPr>
          <w:rFonts w:ascii="Calibri" w:hAnsi="Calibri" w:cs="Calibri"/>
        </w:rPr>
      </w:pPr>
      <w:r>
        <w:rPr>
          <w:rFonts w:ascii="Calibri" w:hAnsi="Calibri" w:cs="Calibri"/>
        </w:rPr>
        <w:t>With 269.6 million worldwide subscribers, NFLX currently controls roughly 15% of the current global streaming subscription</w:t>
      </w:r>
      <w:r w:rsidR="00401A0D">
        <w:rPr>
          <w:rFonts w:ascii="Calibri" w:hAnsi="Calibri" w:cs="Calibri"/>
        </w:rPr>
        <w:t xml:space="preserve"> services</w:t>
      </w:r>
      <w:r>
        <w:rPr>
          <w:rFonts w:ascii="Calibri" w:hAnsi="Calibri" w:cs="Calibri"/>
        </w:rPr>
        <w:t>, which number roughly 1.8 billion.</w:t>
      </w:r>
    </w:p>
    <w:p w14:paraId="2D959F37" w14:textId="77777777" w:rsidR="000B3738" w:rsidRDefault="000B3738" w:rsidP="003C7695">
      <w:pPr>
        <w:rPr>
          <w:b/>
          <w:bCs/>
        </w:rPr>
      </w:pPr>
    </w:p>
    <w:p w14:paraId="2F22CF9F" w14:textId="0ECCEE5F" w:rsidR="00090E1D" w:rsidRDefault="00090E1D" w:rsidP="003C7695">
      <w:pPr>
        <w:rPr>
          <w:b/>
          <w:bCs/>
        </w:rPr>
      </w:pPr>
      <w:r>
        <w:rPr>
          <w:b/>
          <w:bCs/>
        </w:rPr>
        <w:t>Cost of Revenue (</w:t>
      </w:r>
      <w:r w:rsidR="00097F7B" w:rsidRPr="006A2924">
        <w:rPr>
          <w:b/>
          <w:bCs/>
        </w:rPr>
        <w:t>COGS</w:t>
      </w:r>
      <w:r>
        <w:rPr>
          <w:b/>
          <w:bCs/>
        </w:rPr>
        <w:t>)</w:t>
      </w:r>
    </w:p>
    <w:p w14:paraId="67D4D58F" w14:textId="07AAA062" w:rsidR="005A451A" w:rsidRDefault="005A451A" w:rsidP="003C7695">
      <w:r>
        <w:rPr>
          <w:noProof/>
        </w:rPr>
        <w:drawing>
          <wp:inline distT="0" distB="0" distL="0" distR="0" wp14:anchorId="37D78913" wp14:editId="62B25D97">
            <wp:extent cx="4573905" cy="2743200"/>
            <wp:effectExtent l="0" t="0" r="17145" b="0"/>
            <wp:docPr id="846413107" name="Chart 1">
              <a:extLst xmlns:a="http://schemas.openxmlformats.org/drawingml/2006/main">
                <a:ext uri="{FF2B5EF4-FFF2-40B4-BE49-F238E27FC236}">
                  <a16:creationId xmlns:a16="http://schemas.microsoft.com/office/drawing/2014/main" id="{1E1A7833-F70C-84FC-515F-4EE73DAC4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4C3AEF" w14:textId="77777777" w:rsidR="00780B27" w:rsidRDefault="00780B27" w:rsidP="003C7695"/>
    <w:p w14:paraId="70F5825D" w14:textId="4234E413" w:rsidR="00090E1D" w:rsidRDefault="00090E1D" w:rsidP="003C7695">
      <w:commentRangeStart w:id="6"/>
      <w:r>
        <w:t>Along with a rising trend in top-line revenue, NFLX has also seen a rise in their costs associated with revenues.</w:t>
      </w:r>
      <w:commentRangeEnd w:id="6"/>
      <w:r>
        <w:rPr>
          <w:rStyle w:val="CommentReference"/>
        </w:rPr>
        <w:commentReference w:id="6"/>
      </w:r>
      <w:r w:rsidR="00EE10C4">
        <w:t xml:space="preserve">  However, they have been able to keep the growth of their costs </w:t>
      </w:r>
      <w:proofErr w:type="gramStart"/>
      <w:r w:rsidR="00EE10C4">
        <w:t>fairly consistent</w:t>
      </w:r>
      <w:proofErr w:type="gramEnd"/>
      <w:r w:rsidR="00EE10C4">
        <w:t>.</w:t>
      </w:r>
    </w:p>
    <w:p w14:paraId="0F4C459F" w14:textId="77777777" w:rsidR="00090E1D" w:rsidRPr="00090E1D" w:rsidRDefault="00090E1D" w:rsidP="003C7695"/>
    <w:p w14:paraId="339AB10F" w14:textId="54C2E805" w:rsidR="00090E1D" w:rsidRDefault="00097F7B" w:rsidP="003C7695">
      <w:r w:rsidRPr="006A2924">
        <w:rPr>
          <w:b/>
          <w:bCs/>
        </w:rPr>
        <w:t>Gross Margin</w:t>
      </w:r>
    </w:p>
    <w:p w14:paraId="29C400BA" w14:textId="1059605C" w:rsidR="005A451A" w:rsidRDefault="005A451A" w:rsidP="003C7695">
      <w:r>
        <w:rPr>
          <w:noProof/>
        </w:rPr>
        <w:lastRenderedPageBreak/>
        <w:drawing>
          <wp:inline distT="0" distB="0" distL="0" distR="0" wp14:anchorId="4FD25A0D" wp14:editId="48D0BD99">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72C5D3" w14:textId="69D5B8D1" w:rsidR="00097F7B" w:rsidRDefault="00090E1D" w:rsidP="00780B27">
      <w:r>
        <w:t xml:space="preserve">Over the past two years NFLX has seen some variability in their gross margins.  However, the prevailing trend is positive with the lowest period (Q4 ’22) showing 31% </w:t>
      </w:r>
      <w:r w:rsidR="005A451A">
        <w:t>of revenue retained as gross profit.</w:t>
      </w:r>
      <w:r w:rsidR="002262E3">
        <w:t xml:space="preserve">  </w:t>
      </w:r>
      <w:proofErr w:type="gramStart"/>
      <w:r w:rsidR="002262E3">
        <w:t>Generally speaking, after</w:t>
      </w:r>
      <w:proofErr w:type="gramEnd"/>
      <w:r w:rsidR="002262E3">
        <w:t xml:space="preserve"> incurring the costs for content creation, streaming services such as NFLX could greatly benefit from overall low marginal costs.  This gives them the ability to maintain lower gross margins, relatively speaking, and </w:t>
      </w:r>
      <w:proofErr w:type="gramStart"/>
      <w:r w:rsidR="002262E3">
        <w:t>still remain</w:t>
      </w:r>
      <w:proofErr w:type="gramEnd"/>
      <w:r w:rsidR="002262E3">
        <w:t xml:space="preserve"> quite competitive in their market.</w:t>
      </w:r>
    </w:p>
    <w:p w14:paraId="7383D745" w14:textId="77777777" w:rsidR="005A451A" w:rsidRDefault="005A451A" w:rsidP="003C7695">
      <w:pPr>
        <w:rPr>
          <w:b/>
          <w:bCs/>
        </w:rPr>
      </w:pPr>
    </w:p>
    <w:p w14:paraId="3DEE8E65" w14:textId="77777777" w:rsidR="005A451A" w:rsidRDefault="00097F7B" w:rsidP="003C7695">
      <w:r w:rsidRPr="006A2924">
        <w:rPr>
          <w:b/>
          <w:bCs/>
        </w:rPr>
        <w:t>Operating Income (EBIT</w:t>
      </w:r>
      <w:r>
        <w:t>)</w:t>
      </w:r>
    </w:p>
    <w:p w14:paraId="0E171909" w14:textId="6F9ACCAC" w:rsidR="005A451A" w:rsidRDefault="005A451A" w:rsidP="003C7695">
      <w:pPr>
        <w:rPr>
          <w:rFonts w:ascii="Calibri" w:hAnsi="Calibri" w:cs="Calibri"/>
        </w:rPr>
      </w:pPr>
      <w:r>
        <w:rPr>
          <w:noProof/>
        </w:rPr>
        <w:drawing>
          <wp:inline distT="0" distB="0" distL="0" distR="0" wp14:anchorId="20AAD6ED" wp14:editId="55040010">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B67EF6" w14:textId="5F86D1C7" w:rsidR="00097F7B" w:rsidRDefault="00780B27" w:rsidP="003C7695">
      <w:pPr>
        <w:rPr>
          <w:rFonts w:ascii="Calibri" w:hAnsi="Calibri" w:cs="Calibri"/>
        </w:rPr>
      </w:pPr>
      <w:r>
        <w:rPr>
          <w:rFonts w:ascii="Calibri" w:hAnsi="Calibri" w:cs="Calibri"/>
        </w:rPr>
        <w:t>They have maintained an overall positive trend in their operating Income</w:t>
      </w:r>
      <w:r w:rsidR="00EE10C4">
        <w:rPr>
          <w:rFonts w:ascii="Calibri" w:hAnsi="Calibri" w:cs="Calibri"/>
        </w:rPr>
        <w:t>,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437A8802" w14:textId="77777777" w:rsidR="00EC5B3E" w:rsidRDefault="00EC5B3E" w:rsidP="003C7695">
      <w:pPr>
        <w:rPr>
          <w:rFonts w:ascii="Calibri" w:hAnsi="Calibri" w:cs="Calibri"/>
        </w:rPr>
      </w:pPr>
    </w:p>
    <w:p w14:paraId="5BB64554" w14:textId="77777777" w:rsidR="00AA56FE" w:rsidRDefault="00AA56FE" w:rsidP="00AA56FE">
      <w:pPr>
        <w:rPr>
          <w:b/>
          <w:bCs/>
          <w:sz w:val="28"/>
          <w:szCs w:val="28"/>
        </w:rPr>
      </w:pPr>
    </w:p>
    <w:p w14:paraId="7A8E937C" w14:textId="77777777" w:rsidR="00AA56FE" w:rsidRDefault="00AA56FE" w:rsidP="00AA56FE">
      <w:r>
        <w:rPr>
          <w:b/>
          <w:bCs/>
        </w:rPr>
        <w:t>Net Profit Margin</w:t>
      </w:r>
    </w:p>
    <w:p w14:paraId="4ABCF26F" w14:textId="77777777" w:rsidR="00AA56FE" w:rsidRDefault="00AA56FE" w:rsidP="00AA56FE">
      <w:r>
        <w:rPr>
          <w:noProof/>
        </w:rPr>
        <w:drawing>
          <wp:inline distT="0" distB="0" distL="0" distR="0" wp14:anchorId="1029AB73" wp14:editId="29A31E4A">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28F0C2" w14:textId="77777777" w:rsidR="00132899" w:rsidRDefault="00132899" w:rsidP="00AA56FE"/>
    <w:p w14:paraId="5A4D1F4A" w14:textId="01701C0A" w:rsidR="00AA56FE" w:rsidRDefault="00AA56FE" w:rsidP="003C7695">
      <w:pPr>
        <w:rPr>
          <w:rFonts w:ascii="Calibri" w:hAnsi="Calibri" w:cs="Calibri"/>
        </w:rPr>
      </w:pPr>
      <w:r>
        <w:t>Since Net Profit Margin is a metric that shows what percentage of each revenue dollar is being converted into profit, the chart above shows that NFLX has been a bit of a mixed bag in that ability.</w:t>
      </w:r>
      <w:r w:rsidR="00132899">
        <w:t xml:space="preserve">  Although the long-term trend may indicate improvement, it shows that NFLX has been rather inconsistent in its efficiency of managing the conversion of revenue to profit with consideration of total costs.</w:t>
      </w:r>
    </w:p>
    <w:p w14:paraId="30646E3A" w14:textId="77777777" w:rsidR="00AA56FE" w:rsidRDefault="00AA56FE" w:rsidP="003C7695">
      <w:pPr>
        <w:rPr>
          <w:rFonts w:ascii="Calibri" w:hAnsi="Calibri" w:cs="Calibri"/>
        </w:rPr>
      </w:pPr>
    </w:p>
    <w:p w14:paraId="4E074CE1" w14:textId="1731B2B8" w:rsidR="00EC5B3E" w:rsidRDefault="00EC5B3E" w:rsidP="003C7695">
      <w:pPr>
        <w:rPr>
          <w:rFonts w:ascii="Calibri" w:hAnsi="Calibri" w:cs="Calibri"/>
        </w:rPr>
      </w:pPr>
      <w:r>
        <w:rPr>
          <w:rFonts w:ascii="Calibri" w:hAnsi="Calibri" w:cs="Calibri"/>
          <w:b/>
          <w:bCs/>
        </w:rPr>
        <w:t>Operating Margin</w:t>
      </w:r>
    </w:p>
    <w:p w14:paraId="2A112E7E" w14:textId="19CA93D9" w:rsidR="00EC5B3E" w:rsidRDefault="00EC5B3E" w:rsidP="003C7695">
      <w:r>
        <w:rPr>
          <w:noProof/>
        </w:rPr>
        <w:lastRenderedPageBreak/>
        <w:drawing>
          <wp:inline distT="0" distB="0" distL="0" distR="0" wp14:anchorId="0B96AC46" wp14:editId="2E5BB500">
            <wp:extent cx="4572000" cy="2743200"/>
            <wp:effectExtent l="0" t="0" r="0" b="0"/>
            <wp:docPr id="1860405499" name="Chart 1">
              <a:extLst xmlns:a="http://schemas.openxmlformats.org/drawingml/2006/main">
                <a:ext uri="{FF2B5EF4-FFF2-40B4-BE49-F238E27FC236}">
                  <a16:creationId xmlns:a16="http://schemas.microsoft.com/office/drawing/2014/main" id="{000E2039-95C1-CB61-1D45-6F1EB74A4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707630" w14:textId="77777777" w:rsidR="00132899" w:rsidRDefault="00AA56FE" w:rsidP="003C7695">
      <w:r>
        <w:t>Similarly to the Net Profit Margin, the chart above shows a bit of a struggle for NFLX</w:t>
      </w:r>
      <w:r w:rsidR="00132899">
        <w:t xml:space="preserve"> in managing costs.  However, it indicates that they are slightly more efficient at managing costs that pertain specifically to their operations.</w:t>
      </w:r>
    </w:p>
    <w:p w14:paraId="2BE8539F" w14:textId="782458D2" w:rsidR="005A451A" w:rsidRDefault="00097F7B" w:rsidP="003C7695">
      <w:r w:rsidRPr="006A2924">
        <w:rPr>
          <w:b/>
          <w:bCs/>
        </w:rPr>
        <w:t>Net Income</w:t>
      </w:r>
    </w:p>
    <w:p w14:paraId="4FD0036D" w14:textId="7B264BB6" w:rsidR="005A451A" w:rsidRDefault="005A451A" w:rsidP="003C7695">
      <w:r>
        <w:rPr>
          <w:noProof/>
        </w:rPr>
        <w:drawing>
          <wp:inline distT="0" distB="0" distL="0" distR="0" wp14:anchorId="07336F98" wp14:editId="5B4CD20A">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1CA36C" w14:textId="0D78925F" w:rsidR="00097F7B" w:rsidRDefault="00132899" w:rsidP="003C7695">
      <w:pPr>
        <w:rPr>
          <w:rFonts w:ascii="Calibri" w:hAnsi="Calibri" w:cs="Calibri"/>
        </w:rPr>
      </w:pPr>
      <w:r>
        <w:rPr>
          <w:rFonts w:ascii="Calibri" w:hAnsi="Calibri" w:cs="Calibri"/>
        </w:rPr>
        <w:t xml:space="preserve">As previously noted, </w:t>
      </w:r>
      <w:r w:rsidR="00CA163F">
        <w:rPr>
          <w:rFonts w:ascii="Calibri" w:hAnsi="Calibri" w:cs="Calibri"/>
        </w:rPr>
        <w:t>NFLX has not been without its struggles.</w:t>
      </w:r>
      <w:r w:rsidR="00F1183A">
        <w:rPr>
          <w:rFonts w:ascii="Calibri" w:hAnsi="Calibri" w:cs="Calibri"/>
        </w:rPr>
        <w:t xml:space="preserve"> They maintained solid growth in subscribers until </w:t>
      </w:r>
      <w:r w:rsidR="00B2236C">
        <w:rPr>
          <w:rFonts w:ascii="Calibri" w:hAnsi="Calibri" w:cs="Calibri"/>
        </w:rPr>
        <w:t xml:space="preserve">the early part of </w:t>
      </w:r>
      <w:r w:rsidR="00F1183A">
        <w:rPr>
          <w:rFonts w:ascii="Calibri" w:hAnsi="Calibri" w:cs="Calibri"/>
        </w:rPr>
        <w:t>2022</w:t>
      </w:r>
      <w:r w:rsidR="00B2236C">
        <w:rPr>
          <w:rFonts w:ascii="Calibri" w:hAnsi="Calibri" w:cs="Calibri"/>
        </w:rPr>
        <w:t xml:space="preserve"> when they experienced their first net subscriber draw-down</w:t>
      </w:r>
      <w:r w:rsidR="005E176A">
        <w:rPr>
          <w:rFonts w:ascii="Calibri" w:hAnsi="Calibri" w:cs="Calibri"/>
        </w:rPr>
        <w:t>.</w:t>
      </w:r>
      <w:r w:rsidR="00B2236C">
        <w:rPr>
          <w:rFonts w:ascii="Calibri" w:hAnsi="Calibri" w:cs="Calibri"/>
        </w:rPr>
        <w:t xml:space="preserve">  This came of the heels of a viewer surge during the COVID-19 pandemic.</w:t>
      </w:r>
      <w:r w:rsidR="005E176A">
        <w:rPr>
          <w:rFonts w:ascii="Calibri" w:hAnsi="Calibri" w:cs="Calibri"/>
        </w:rPr>
        <w:t xml:space="preserve">  </w:t>
      </w:r>
      <w:r w:rsidR="00B2236C">
        <w:rPr>
          <w:rFonts w:ascii="Calibri" w:hAnsi="Calibri" w:cs="Calibri"/>
        </w:rPr>
        <w:t xml:space="preserve">Q4 ’22 was when </w:t>
      </w:r>
      <w:r w:rsidR="00F1183A">
        <w:rPr>
          <w:rFonts w:ascii="Calibri" w:hAnsi="Calibri" w:cs="Calibri"/>
        </w:rPr>
        <w:t>they launched their lower-priced ad-supported subscription service</w:t>
      </w:r>
      <w:r w:rsidR="00B2236C">
        <w:rPr>
          <w:rFonts w:ascii="Calibri" w:hAnsi="Calibri" w:cs="Calibri"/>
        </w:rPr>
        <w:t xml:space="preserve">, which has since helped to bolster their overall </w:t>
      </w:r>
      <w:r w:rsidR="00A23A37">
        <w:rPr>
          <w:rFonts w:ascii="Calibri" w:hAnsi="Calibri" w:cs="Calibri"/>
        </w:rPr>
        <w:t>subscriber base</w:t>
      </w:r>
      <w:r w:rsidR="00B2236C">
        <w:rPr>
          <w:rFonts w:ascii="Calibri" w:hAnsi="Calibri" w:cs="Calibri"/>
        </w:rPr>
        <w:t xml:space="preserve"> as well as revenues</w:t>
      </w:r>
      <w:r w:rsidR="00F1183A">
        <w:rPr>
          <w:rFonts w:ascii="Calibri" w:hAnsi="Calibri" w:cs="Calibri"/>
        </w:rPr>
        <w:t>.</w:t>
      </w:r>
    </w:p>
    <w:p w14:paraId="0EBB0385" w14:textId="46130238" w:rsidR="00A07566" w:rsidRDefault="00A07566" w:rsidP="003C7695">
      <w:r>
        <w:rPr>
          <w:rFonts w:ascii="Calibri" w:hAnsi="Calibri" w:cs="Calibri"/>
        </w:rPr>
        <w:t>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customer-base.</w:t>
      </w:r>
    </w:p>
    <w:p w14:paraId="149721B5" w14:textId="77777777" w:rsidR="005A451A" w:rsidRDefault="005A451A" w:rsidP="003C7695">
      <w:pPr>
        <w:rPr>
          <w:b/>
          <w:bCs/>
          <w:sz w:val="28"/>
          <w:szCs w:val="28"/>
        </w:rPr>
      </w:pPr>
    </w:p>
    <w:p w14:paraId="5580A34C" w14:textId="10B5043F" w:rsidR="005A451A" w:rsidRDefault="005A451A" w:rsidP="003C7695">
      <w:pPr>
        <w:rPr>
          <w:b/>
          <w:bCs/>
        </w:rPr>
      </w:pPr>
      <w:r>
        <w:rPr>
          <w:b/>
          <w:bCs/>
        </w:rPr>
        <w:t>Earnings Per Share (EPS)</w:t>
      </w:r>
    </w:p>
    <w:p w14:paraId="671BBBDE" w14:textId="77AB70F8" w:rsidR="005A451A" w:rsidRDefault="005A451A" w:rsidP="003C7695">
      <w:r>
        <w:rPr>
          <w:noProof/>
        </w:rPr>
        <w:drawing>
          <wp:inline distT="0" distB="0" distL="0" distR="0" wp14:anchorId="404840D9" wp14:editId="2EEC98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45EFFA" w14:textId="41F818A6" w:rsidR="00A23A37" w:rsidRDefault="00A23A37" w:rsidP="003C7695">
      <w:r>
        <w:t xml:space="preserve">Looking at the EPS Basic trend for NFLX is somewhat inconclusive due to some variability in quarterly results.  Although the prevailing trend is positive, eliminating Q4 ’22, Q4 ’23, as well as Q1 ’24 as potential outliers </w:t>
      </w:r>
      <w:r w:rsidR="009B3B2D">
        <w:t>leave</w:t>
      </w:r>
      <w:r>
        <w:t xml:space="preserve"> a set of points that are much more consistent.  </w:t>
      </w:r>
      <w:r w:rsidR="009B3B2D">
        <w:t>NFLX has been showing mild, if somewhat erratic, improvement in their ability to effectively convert revenue into profit.  Some of these fluctuations can be explained by one-time events or idiosyncrasies in an evolving market.</w:t>
      </w:r>
    </w:p>
    <w:p w14:paraId="6E4D6DF7" w14:textId="655BD616" w:rsidR="009B3B2D" w:rsidRDefault="009B3B2D" w:rsidP="003C7695">
      <w:r>
        <w:t>However, when viewed in context alongside the chart for profit margin, but especially for the strong trend in revenue growth, any anomalies should be excused as being just that.</w:t>
      </w:r>
    </w:p>
    <w:p w14:paraId="50C10172" w14:textId="77777777" w:rsidR="005A451A" w:rsidRDefault="005A451A" w:rsidP="003C7695"/>
    <w:p w14:paraId="0C74B73E" w14:textId="1666CDAC" w:rsidR="005A451A" w:rsidRDefault="005A451A" w:rsidP="003C7695">
      <w:r>
        <w:rPr>
          <w:b/>
          <w:bCs/>
        </w:rPr>
        <w:t>Asset Turnover Ratio</w:t>
      </w:r>
    </w:p>
    <w:p w14:paraId="75FA4033" w14:textId="255F65C3" w:rsidR="005A451A" w:rsidRDefault="005A451A" w:rsidP="003C7695">
      <w:pPr>
        <w:rPr>
          <w:b/>
          <w:bCs/>
          <w:sz w:val="28"/>
          <w:szCs w:val="28"/>
        </w:rPr>
      </w:pPr>
      <w:r>
        <w:rPr>
          <w:noProof/>
        </w:rPr>
        <w:lastRenderedPageBreak/>
        <w:drawing>
          <wp:inline distT="0" distB="0" distL="0" distR="0" wp14:anchorId="57CFBA63" wp14:editId="572E4BEB">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B898CCA" w14:textId="0DA82B0C" w:rsidR="009C2CF0" w:rsidRPr="00B2236C" w:rsidRDefault="00B2236C" w:rsidP="003C7695">
      <w:r>
        <w:t xml:space="preserve">The </w:t>
      </w:r>
      <w:r w:rsidR="00A23A37">
        <w:t>increasing values of the Asset Turnover Ratio</w:t>
      </w:r>
      <w:r>
        <w:t xml:space="preserve"> shows that NFLX is improving in their ability to use their assets to generate revenue</w:t>
      </w:r>
      <w:r w:rsidR="00A23A37">
        <w:t>.</w:t>
      </w:r>
    </w:p>
    <w:p w14:paraId="23BFB710" w14:textId="77777777" w:rsidR="005A451A" w:rsidRDefault="005A451A" w:rsidP="003C7695">
      <w:pPr>
        <w:rPr>
          <w:b/>
          <w:bCs/>
          <w:sz w:val="28"/>
          <w:szCs w:val="28"/>
        </w:rPr>
      </w:pPr>
    </w:p>
    <w:p w14:paraId="437BA61B" w14:textId="34EF2A9F" w:rsidR="00097F7B" w:rsidRDefault="00AD286C" w:rsidP="003C7695">
      <w:r>
        <w:rPr>
          <w:b/>
          <w:bCs/>
          <w:sz w:val="28"/>
          <w:szCs w:val="28"/>
        </w:rPr>
        <w:t xml:space="preserve">### </w:t>
      </w:r>
      <w:r w:rsidR="00097F7B">
        <w:rPr>
          <w:b/>
          <w:bCs/>
          <w:sz w:val="28"/>
          <w:szCs w:val="28"/>
        </w:rPr>
        <w:t>Balance Sheet Analysis</w:t>
      </w:r>
    </w:p>
    <w:p w14:paraId="326B09A4" w14:textId="77777777" w:rsidR="00EC5B3E" w:rsidRDefault="00097F7B" w:rsidP="003C7695">
      <w:r w:rsidRPr="006A2924">
        <w:rPr>
          <w:b/>
          <w:bCs/>
        </w:rPr>
        <w:t>Assets</w:t>
      </w:r>
    </w:p>
    <w:p w14:paraId="54FD8DCC" w14:textId="096AC99C" w:rsidR="00EC5B3E" w:rsidRDefault="00EC5B3E" w:rsidP="003C7695">
      <w:r>
        <w:rPr>
          <w:noProof/>
        </w:rPr>
        <w:drawing>
          <wp:inline distT="0" distB="0" distL="0" distR="0" wp14:anchorId="60C52762" wp14:editId="0684BFE9">
            <wp:extent cx="5440680" cy="2743200"/>
            <wp:effectExtent l="0" t="0" r="7620" b="0"/>
            <wp:docPr id="124931247" name="Chart 1">
              <a:extLst xmlns:a="http://schemas.openxmlformats.org/drawingml/2006/main">
                <a:ext uri="{FF2B5EF4-FFF2-40B4-BE49-F238E27FC236}">
                  <a16:creationId xmlns:a16="http://schemas.microsoft.com/office/drawing/2014/main" id="{FDB13395-F772-BFEC-7B12-C3041E2A1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BFA9C18" w14:textId="2166A384" w:rsidR="00097F7B" w:rsidRDefault="009B3B2D" w:rsidP="003C7695">
      <w:r>
        <w:rPr>
          <w:rFonts w:ascii="Calibri" w:hAnsi="Calibri" w:cs="Calibri"/>
        </w:rPr>
        <w:t>NFLX has shown a shown a slowing trend of asset maintenance in comparison to past quarters.</w:t>
      </w:r>
    </w:p>
    <w:p w14:paraId="416176CF" w14:textId="77777777" w:rsidR="009C2CF0" w:rsidRPr="009C2CF0" w:rsidRDefault="009C2CF0" w:rsidP="003C7695"/>
    <w:p w14:paraId="0B2DD3C3" w14:textId="77777777" w:rsidR="009C2CF0" w:rsidRDefault="009C2CF0" w:rsidP="003C7695">
      <w:pPr>
        <w:rPr>
          <w:b/>
          <w:bCs/>
        </w:rPr>
      </w:pPr>
    </w:p>
    <w:p w14:paraId="09BE5CAF" w14:textId="77777777" w:rsidR="00EC5B3E" w:rsidRDefault="00097F7B" w:rsidP="003C7695">
      <w:r w:rsidRPr="006A2924">
        <w:rPr>
          <w:b/>
          <w:bCs/>
        </w:rPr>
        <w:t>Liabilities</w:t>
      </w:r>
    </w:p>
    <w:p w14:paraId="138F5BBA" w14:textId="3F79091C" w:rsidR="00EC5B3E" w:rsidRDefault="00EC5B3E" w:rsidP="003C7695">
      <w:r>
        <w:rPr>
          <w:noProof/>
        </w:rPr>
        <w:lastRenderedPageBreak/>
        <w:drawing>
          <wp:inline distT="0" distB="0" distL="0" distR="0" wp14:anchorId="215F476C" wp14:editId="5F43C250">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61E8BDD" w14:textId="6C05C9A2" w:rsidR="009B3B2D" w:rsidRDefault="009B3B2D" w:rsidP="003C7695">
      <w:r>
        <w:t xml:space="preserve">While </w:t>
      </w:r>
      <w:r w:rsidR="005E5F09">
        <w:t>reducing assets as of late, NFLX has also been taking on additional liabilities</w:t>
      </w:r>
      <w:r w:rsidR="00F10D76">
        <w:t xml:space="preserve"> that can be seen in both their current and total liabilities</w:t>
      </w:r>
      <w:r w:rsidR="005E5F09">
        <w:t>.  However, they have been reducing long-term debt as can be seen below.</w:t>
      </w:r>
    </w:p>
    <w:p w14:paraId="59665066" w14:textId="77777777" w:rsidR="00EC5B3E" w:rsidRDefault="00EC5B3E" w:rsidP="003C7695">
      <w:pPr>
        <w:rPr>
          <w:rFonts w:ascii="Calibri" w:hAnsi="Calibri" w:cs="Calibri"/>
        </w:rPr>
      </w:pPr>
    </w:p>
    <w:p w14:paraId="0F8FC20F" w14:textId="58905D33" w:rsidR="00EC5B3E" w:rsidRDefault="00EC5B3E" w:rsidP="003C7695">
      <w:pPr>
        <w:rPr>
          <w:rFonts w:ascii="Calibri" w:hAnsi="Calibri" w:cs="Calibri"/>
        </w:rPr>
      </w:pPr>
      <w:r>
        <w:rPr>
          <w:noProof/>
        </w:rPr>
        <w:drawing>
          <wp:inline distT="0" distB="0" distL="0" distR="0" wp14:anchorId="35546497" wp14:editId="01A3C063">
            <wp:extent cx="4568190" cy="2743200"/>
            <wp:effectExtent l="0" t="0" r="3810" b="0"/>
            <wp:docPr id="560659264" name="Chart 1">
              <a:extLst xmlns:a="http://schemas.openxmlformats.org/drawingml/2006/main">
                <a:ext uri="{FF2B5EF4-FFF2-40B4-BE49-F238E27FC236}">
                  <a16:creationId xmlns:a16="http://schemas.microsoft.com/office/drawing/2014/main" id="{0677B3E6-25F6-8E2F-48FE-C83A27AA7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1C83759" w14:textId="77777777" w:rsidR="00EC5B3E" w:rsidRDefault="00EC5B3E" w:rsidP="003C7695">
      <w:pPr>
        <w:rPr>
          <w:rFonts w:ascii="Calibri" w:hAnsi="Calibri" w:cs="Calibri"/>
        </w:rPr>
      </w:pPr>
    </w:p>
    <w:p w14:paraId="10E7C953" w14:textId="3B9339E5" w:rsidR="00EC5B3E" w:rsidRDefault="00EC5B3E" w:rsidP="003C7695">
      <w:pPr>
        <w:rPr>
          <w:rFonts w:ascii="Calibri" w:hAnsi="Calibri" w:cs="Calibri"/>
        </w:rPr>
      </w:pPr>
      <w:r>
        <w:rPr>
          <w:noProof/>
        </w:rPr>
        <w:lastRenderedPageBreak/>
        <w:drawing>
          <wp:inline distT="0" distB="0" distL="0" distR="0" wp14:anchorId="1A20DF49" wp14:editId="7A22A5DE">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1ED530" w14:textId="77777777" w:rsidR="00EC5B3E" w:rsidRDefault="00EC5B3E" w:rsidP="003C7695">
      <w:pPr>
        <w:rPr>
          <w:rFonts w:ascii="Calibri" w:hAnsi="Calibri" w:cs="Calibri"/>
        </w:rPr>
      </w:pPr>
    </w:p>
    <w:p w14:paraId="48C28CD9" w14:textId="02646BAB" w:rsidR="00EC5B3E" w:rsidRDefault="00EC5B3E" w:rsidP="003C7695">
      <w:pPr>
        <w:rPr>
          <w:rFonts w:ascii="Calibri" w:hAnsi="Calibri" w:cs="Calibri"/>
        </w:rPr>
      </w:pPr>
      <w:r>
        <w:rPr>
          <w:noProof/>
        </w:rPr>
        <w:drawing>
          <wp:inline distT="0" distB="0" distL="0" distR="0" wp14:anchorId="61832854" wp14:editId="7FAF1AF8">
            <wp:extent cx="4566285" cy="2743200"/>
            <wp:effectExtent l="0" t="0" r="5715" b="0"/>
            <wp:docPr id="453847117" name="Chart 1">
              <a:extLst xmlns:a="http://schemas.openxmlformats.org/drawingml/2006/main">
                <a:ext uri="{FF2B5EF4-FFF2-40B4-BE49-F238E27FC236}">
                  <a16:creationId xmlns:a16="http://schemas.microsoft.com/office/drawing/2014/main" id="{3D1FC009-CFA1-D4E8-BD1D-9B6856ED8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4E4C10B" w14:textId="77777777" w:rsidR="00EC5B3E" w:rsidRDefault="00EC5B3E" w:rsidP="003C7695">
      <w:pPr>
        <w:rPr>
          <w:rFonts w:ascii="Calibri" w:hAnsi="Calibri" w:cs="Calibri"/>
        </w:rPr>
      </w:pPr>
    </w:p>
    <w:p w14:paraId="6E4287DA" w14:textId="3FFFC85D" w:rsidR="00EC5B3E" w:rsidRDefault="00EC5B3E" w:rsidP="003C7695">
      <w:pPr>
        <w:rPr>
          <w:rFonts w:ascii="Calibri" w:hAnsi="Calibri" w:cs="Calibri"/>
        </w:rPr>
      </w:pPr>
      <w:r>
        <w:rPr>
          <w:noProof/>
        </w:rPr>
        <w:lastRenderedPageBreak/>
        <w:drawing>
          <wp:inline distT="0" distB="0" distL="0" distR="0" wp14:anchorId="60E22797" wp14:editId="5F15BF78">
            <wp:extent cx="4560570" cy="2743200"/>
            <wp:effectExtent l="0" t="0" r="11430" b="0"/>
            <wp:docPr id="1584651645" name="Chart 1">
              <a:extLst xmlns:a="http://schemas.openxmlformats.org/drawingml/2006/main">
                <a:ext uri="{FF2B5EF4-FFF2-40B4-BE49-F238E27FC236}">
                  <a16:creationId xmlns:a16="http://schemas.microsoft.com/office/drawing/2014/main" id="{D06612CE-CD2A-1BA1-B66D-3B0707F38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E87D35" w14:textId="77777777" w:rsidR="00EC5B3E" w:rsidRDefault="00EC5B3E" w:rsidP="003C7695">
      <w:pPr>
        <w:rPr>
          <w:b/>
          <w:bCs/>
        </w:rPr>
      </w:pPr>
    </w:p>
    <w:p w14:paraId="75546155" w14:textId="77777777" w:rsidR="00EC5B3E" w:rsidRDefault="00097F7B" w:rsidP="003C7695">
      <w:r w:rsidRPr="006A2924">
        <w:rPr>
          <w:b/>
          <w:bCs/>
        </w:rPr>
        <w:t>Equity</w:t>
      </w:r>
    </w:p>
    <w:p w14:paraId="0C5DEB85" w14:textId="304B8AD3" w:rsidR="00EC5B3E" w:rsidRDefault="00EC5B3E" w:rsidP="003C7695">
      <w:r>
        <w:rPr>
          <w:noProof/>
        </w:rPr>
        <w:drawing>
          <wp:inline distT="0" distB="0" distL="0" distR="0" wp14:anchorId="5D1993BF" wp14:editId="3945F116">
            <wp:extent cx="5276850" cy="2743200"/>
            <wp:effectExtent l="0" t="0" r="0" b="0"/>
            <wp:docPr id="126276436" name="Chart 1">
              <a:extLst xmlns:a="http://schemas.openxmlformats.org/drawingml/2006/main">
                <a:ext uri="{FF2B5EF4-FFF2-40B4-BE49-F238E27FC236}">
                  <a16:creationId xmlns:a16="http://schemas.microsoft.com/office/drawing/2014/main" id="{7DFDCCF8-D328-A231-C795-C2B5BC37B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1F43B38" w14:textId="77777777" w:rsidR="00EC5B3E" w:rsidRDefault="00EC5B3E" w:rsidP="003C7695">
      <w:pPr>
        <w:rPr>
          <w:rFonts w:ascii="Calibri" w:hAnsi="Calibri" w:cs="Calibri"/>
        </w:rPr>
      </w:pPr>
    </w:p>
    <w:p w14:paraId="017F8D3B" w14:textId="56AF564B" w:rsidR="00EC5B3E" w:rsidRDefault="00EC5B3E" w:rsidP="003C7695">
      <w:pPr>
        <w:rPr>
          <w:rFonts w:ascii="Calibri" w:hAnsi="Calibri" w:cs="Calibri"/>
        </w:rPr>
      </w:pPr>
      <w:r>
        <w:rPr>
          <w:noProof/>
        </w:rPr>
        <w:lastRenderedPageBreak/>
        <w:drawing>
          <wp:inline distT="0" distB="0" distL="0" distR="0" wp14:anchorId="1F8E5A68" wp14:editId="27514B69">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E5A457F" w14:textId="520BE29F" w:rsidR="00097F7B" w:rsidRDefault="005E5F09" w:rsidP="005E5F09">
      <w:r>
        <w:rPr>
          <w:rFonts w:ascii="Calibri" w:hAnsi="Calibri" w:cs="Calibri"/>
        </w:rPr>
        <w:t xml:space="preserve">While Total Liabilities have stayed fairly constant, Total Stockholders’ Equity has been </w:t>
      </w:r>
      <w:r w:rsidR="00AC5B13">
        <w:rPr>
          <w:rFonts w:ascii="Calibri" w:hAnsi="Calibri" w:cs="Calibri"/>
        </w:rPr>
        <w:t>increasing,</w:t>
      </w:r>
      <w:r>
        <w:rPr>
          <w:rFonts w:ascii="Calibri" w:hAnsi="Calibri" w:cs="Calibri"/>
        </w:rPr>
        <w:t xml:space="preserve"> which could be </w:t>
      </w:r>
      <w:proofErr w:type="gramStart"/>
      <w:r>
        <w:rPr>
          <w:rFonts w:ascii="Calibri" w:hAnsi="Calibri" w:cs="Calibri"/>
        </w:rPr>
        <w:t>a</w:t>
      </w:r>
      <w:proofErr w:type="gramEnd"/>
      <w:r>
        <w:rPr>
          <w:rFonts w:ascii="Calibri" w:hAnsi="Calibri" w:cs="Calibri"/>
        </w:rPr>
        <w:t xml:space="preserve"> indication of retained earnings and reinvestment back into the company.</w:t>
      </w:r>
    </w:p>
    <w:p w14:paraId="32333A5F" w14:textId="77777777" w:rsidR="00EC5B3E" w:rsidRDefault="00EC5B3E" w:rsidP="003C7695">
      <w:pPr>
        <w:rPr>
          <w:b/>
          <w:bCs/>
        </w:rPr>
      </w:pPr>
    </w:p>
    <w:p w14:paraId="6DEC8435" w14:textId="0A21151A" w:rsidR="00097F7B" w:rsidRPr="006A2924" w:rsidRDefault="00097F7B" w:rsidP="003C7695">
      <w:pPr>
        <w:rPr>
          <w:b/>
          <w:bCs/>
        </w:rPr>
      </w:pPr>
      <w:r w:rsidRPr="006A2924">
        <w:rPr>
          <w:b/>
          <w:bCs/>
        </w:rPr>
        <w:t>Liquidity Ratios</w:t>
      </w:r>
    </w:p>
    <w:p w14:paraId="1FAF4BD7" w14:textId="02E2A3BA" w:rsidR="00097F7B" w:rsidRPr="00EC5B3E" w:rsidRDefault="00097F7B" w:rsidP="00097F7B">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174D196" w14:textId="7296C1D0" w:rsidR="00EC5B3E" w:rsidRPr="008A0F4B" w:rsidRDefault="00EC5B3E" w:rsidP="00EC5B3E">
      <w:r>
        <w:rPr>
          <w:noProof/>
        </w:rPr>
        <w:drawing>
          <wp:inline distT="0" distB="0" distL="0" distR="0" wp14:anchorId="1C963C8E" wp14:editId="4A9DCDF4">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432DFB5" w14:textId="6DECCE40" w:rsidR="002D4985" w:rsidRDefault="002D4985" w:rsidP="00675F96">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w:t>
      </w:r>
      <w:r w:rsidR="00AC5B13">
        <w:t xml:space="preserve">business models and capital structure.  They can do this in part because of the structure of their </w:t>
      </w:r>
      <w:r w:rsidR="00AC5B13">
        <w:lastRenderedPageBreak/>
        <w:t>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2055E12A" w14:textId="77777777" w:rsidR="006E14C7" w:rsidRDefault="006E14C7" w:rsidP="00675F96">
      <w:pPr>
        <w:rPr>
          <w:b/>
          <w:bCs/>
        </w:rPr>
      </w:pPr>
    </w:p>
    <w:p w14:paraId="3207B497" w14:textId="51BC83FF" w:rsidR="00675F96" w:rsidRDefault="00675F96" w:rsidP="00675F96">
      <w:r>
        <w:rPr>
          <w:b/>
          <w:bCs/>
        </w:rPr>
        <w:t>Leverage Ratios</w:t>
      </w:r>
    </w:p>
    <w:p w14:paraId="6CA7DF4B" w14:textId="77777777" w:rsidR="00675F96" w:rsidRDefault="00675F96" w:rsidP="00675F96">
      <w:pPr>
        <w:pStyle w:val="ListParagraph"/>
        <w:numPr>
          <w:ilvl w:val="0"/>
          <w:numId w:val="6"/>
        </w:numPr>
      </w:pPr>
      <w:r w:rsidRPr="00401A0D">
        <w:rPr>
          <w:b/>
          <w:bCs/>
        </w:rPr>
        <w:t>Debt-to-Equity Ratio</w:t>
      </w:r>
      <w:r>
        <w:t xml:space="preserve"> = total liabilities/shareholders’ equity</w:t>
      </w:r>
    </w:p>
    <w:p w14:paraId="7F2E234C" w14:textId="77777777" w:rsidR="00675F96" w:rsidRDefault="00675F96" w:rsidP="00675F96">
      <w:r>
        <w:rPr>
          <w:noProof/>
        </w:rPr>
        <w:drawing>
          <wp:inline distT="0" distB="0" distL="0" distR="0" wp14:anchorId="62DCF3F7" wp14:editId="51883F65">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80D1FE9" w14:textId="3DDCF1CE" w:rsidR="00675F96" w:rsidRDefault="00FC64E0" w:rsidP="00675F96">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7CA237D" w14:textId="664A0644" w:rsidR="00FC64E0" w:rsidRPr="00FC64E0" w:rsidRDefault="00FC64E0" w:rsidP="00675F96">
      <w:r>
        <w:t>The continued reduction of debt would allow NFLX to invest in creative content with less dependence to take on additional debt.  This could favorably position NFLX with an edge in relation to their competition</w:t>
      </w:r>
      <w:r w:rsidR="00564384">
        <w:t>.  However, the reduction of their debt load in relation to their equity also provides an enhanced credit rating.  This gives NFLX more flexible and available options for funding future investments for growth.</w:t>
      </w:r>
    </w:p>
    <w:p w14:paraId="211FD422" w14:textId="2EFA1F31" w:rsidR="00AC5B13" w:rsidRPr="00564384" w:rsidRDefault="00564384" w:rsidP="00675F96">
      <w:r>
        <w:t>Although NFLX has historically not offered a dividend and has instead chosen to focus on reinvestment, the downward continuation of this debt trend could open the door to the future possibility of dividend payments to shareholders.</w:t>
      </w:r>
    </w:p>
    <w:p w14:paraId="4719AE01" w14:textId="77777777" w:rsidR="00AC5B13" w:rsidRPr="00564384" w:rsidRDefault="00AC5B13" w:rsidP="00675F96"/>
    <w:p w14:paraId="1A8DE685" w14:textId="77777777" w:rsidR="00675F96" w:rsidRDefault="00675F96" w:rsidP="00675F96">
      <w:r>
        <w:rPr>
          <w:b/>
          <w:bCs/>
        </w:rPr>
        <w:t>Efficiency Ratios</w:t>
      </w:r>
    </w:p>
    <w:p w14:paraId="08C163B9" w14:textId="258927F4" w:rsidR="004C3A38" w:rsidRDefault="004C3A38" w:rsidP="008C5287">
      <w:r>
        <w:lastRenderedPageBreak/>
        <w:t xml:space="preserve">As can been seen in the two following charts, there is some variation in the </w:t>
      </w:r>
      <w:r w:rsidR="00401A0D">
        <w:t>2-year values</w:t>
      </w:r>
      <w:r>
        <w:t xml:space="preserve">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t>
      </w:r>
      <w:r w:rsidR="0098441E">
        <w:t>with continued</w:t>
      </w:r>
      <w:r w:rsidR="0087402A">
        <w:t xml:space="preserve"> top-line revenue growth along with a reduction of expenses, </w:t>
      </w:r>
      <w:r w:rsidR="0087402A">
        <w:t>there has been a substantial rebound in net income values</w:t>
      </w:r>
      <w:r w:rsidR="0087402A">
        <w:t>, which in turn has bolstered the figures for ROA and ROE.</w:t>
      </w:r>
    </w:p>
    <w:p w14:paraId="40F44F25" w14:textId="77777777" w:rsidR="004C3A38" w:rsidRDefault="004C3A38" w:rsidP="008C5287"/>
    <w:p w14:paraId="7AE39415" w14:textId="77777777" w:rsidR="004C3A38" w:rsidRPr="004C3A38" w:rsidRDefault="004C3A38" w:rsidP="008C5287"/>
    <w:p w14:paraId="48916A99" w14:textId="69095905" w:rsidR="008C5287" w:rsidRDefault="008C5287" w:rsidP="008C5287">
      <w:pPr>
        <w:pStyle w:val="ListParagraph"/>
        <w:numPr>
          <w:ilvl w:val="0"/>
          <w:numId w:val="6"/>
        </w:numPr>
      </w:pPr>
      <w:r w:rsidRPr="00401A0D">
        <w:rPr>
          <w:b/>
          <w:bCs/>
        </w:rPr>
        <w:t>Return on Assets</w:t>
      </w:r>
      <w:r>
        <w:t xml:space="preserve"> = net income/total assets</w:t>
      </w:r>
    </w:p>
    <w:p w14:paraId="0DB33D36" w14:textId="77777777" w:rsidR="008C5287" w:rsidRDefault="008C5287" w:rsidP="008C5287">
      <w:pPr>
        <w:rPr>
          <w:b/>
          <w:bCs/>
        </w:rPr>
      </w:pPr>
      <w:r>
        <w:rPr>
          <w:noProof/>
        </w:rPr>
        <w:drawing>
          <wp:inline distT="0" distB="0" distL="0" distR="0" wp14:anchorId="2676F9A9" wp14:editId="3D5492B9">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35CF958" w14:textId="1ACA368A" w:rsidR="00675F96" w:rsidRDefault="00675F96" w:rsidP="00675F96"/>
    <w:p w14:paraId="20D667CF" w14:textId="77777777" w:rsidR="00675F96" w:rsidRDefault="00675F96" w:rsidP="00675F96">
      <w:pPr>
        <w:pStyle w:val="ListParagraph"/>
        <w:numPr>
          <w:ilvl w:val="0"/>
          <w:numId w:val="6"/>
        </w:numPr>
      </w:pPr>
      <w:r w:rsidRPr="00401A0D">
        <w:rPr>
          <w:b/>
          <w:bCs/>
        </w:rPr>
        <w:t>Return on Equity</w:t>
      </w:r>
      <w:r>
        <w:t xml:space="preserve"> = net income/shareholders’ equity</w:t>
      </w:r>
    </w:p>
    <w:p w14:paraId="5C592493" w14:textId="77777777" w:rsidR="00675F96" w:rsidRDefault="00675F96" w:rsidP="00675F96">
      <w:r>
        <w:rPr>
          <w:noProof/>
        </w:rPr>
        <w:lastRenderedPageBreak/>
        <w:drawing>
          <wp:inline distT="0" distB="0" distL="0" distR="0" wp14:anchorId="63762B1D" wp14:editId="4760F5DD">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DCF122A" w14:textId="77777777" w:rsidR="008A0F4B" w:rsidRPr="00097F7B" w:rsidRDefault="008A0F4B" w:rsidP="00675F96"/>
    <w:p w14:paraId="446ED695" w14:textId="46E6EEFD" w:rsidR="00D900C1" w:rsidRDefault="00AD286C" w:rsidP="003C7695">
      <w:pPr>
        <w:rPr>
          <w:rFonts w:ascii="Calibri" w:hAnsi="Calibri" w:cs="Calibri"/>
        </w:rPr>
      </w:pPr>
      <w:r>
        <w:rPr>
          <w:rFonts w:ascii="Calibri" w:hAnsi="Calibri" w:cs="Calibri"/>
          <w:b/>
          <w:bCs/>
          <w:sz w:val="28"/>
          <w:szCs w:val="28"/>
        </w:rPr>
        <w:t xml:space="preserve">### </w:t>
      </w:r>
      <w:r w:rsidR="00097F7B" w:rsidRPr="00097F7B">
        <w:rPr>
          <w:rFonts w:ascii="Calibri" w:hAnsi="Calibri" w:cs="Calibri"/>
          <w:b/>
          <w:bCs/>
          <w:sz w:val="28"/>
          <w:szCs w:val="28"/>
        </w:rPr>
        <w:t>Cash Flow Statement Analysis</w:t>
      </w:r>
    </w:p>
    <w:p w14:paraId="4313B4EE" w14:textId="77777777" w:rsidR="00AD286C" w:rsidRDefault="006A2924" w:rsidP="003C7695">
      <w:pPr>
        <w:rPr>
          <w:rFonts w:ascii="Calibri" w:hAnsi="Calibri" w:cs="Calibri"/>
          <w:b/>
          <w:bCs/>
        </w:rPr>
      </w:pPr>
      <w:r w:rsidRPr="006A2924">
        <w:rPr>
          <w:rFonts w:ascii="Calibri" w:hAnsi="Calibri" w:cs="Calibri"/>
          <w:b/>
          <w:bCs/>
        </w:rPr>
        <w:t>Operating Cash Flow</w:t>
      </w:r>
    </w:p>
    <w:p w14:paraId="338F8DEB" w14:textId="6D0240C6" w:rsidR="00AD286C" w:rsidRDefault="00AD286C" w:rsidP="003C7695">
      <w:pPr>
        <w:rPr>
          <w:rFonts w:ascii="Calibri" w:hAnsi="Calibri" w:cs="Calibri"/>
          <w:b/>
          <w:bCs/>
        </w:rPr>
      </w:pPr>
      <w:r>
        <w:rPr>
          <w:noProof/>
        </w:rPr>
        <w:drawing>
          <wp:inline distT="0" distB="0" distL="0" distR="0" wp14:anchorId="0A7BD0F0" wp14:editId="4B0B34F8">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526824C" w14:textId="6610F4E3" w:rsidR="006A2924" w:rsidRDefault="006A2924" w:rsidP="003C7695">
      <w:pPr>
        <w:rPr>
          <w:rFonts w:ascii="Calibri" w:hAnsi="Calibri" w:cs="Calibri"/>
        </w:rPr>
      </w:pPr>
      <w:r>
        <w:rPr>
          <w:rFonts w:ascii="Calibri" w:hAnsi="Calibri" w:cs="Calibri"/>
        </w:rPr>
        <w:t>Positive and growing operating cash flow indicates that the company’s core business operations are generating cash.</w:t>
      </w:r>
    </w:p>
    <w:p w14:paraId="3CE90893" w14:textId="77777777" w:rsidR="00AD286C" w:rsidRDefault="00AD286C" w:rsidP="003C7695">
      <w:pPr>
        <w:rPr>
          <w:rFonts w:ascii="Calibri" w:hAnsi="Calibri" w:cs="Calibri"/>
          <w:b/>
          <w:bCs/>
        </w:rPr>
      </w:pPr>
    </w:p>
    <w:p w14:paraId="3006C131" w14:textId="77777777" w:rsidR="00AD286C" w:rsidRDefault="006A2924" w:rsidP="003C7695">
      <w:pPr>
        <w:rPr>
          <w:rFonts w:ascii="Calibri" w:hAnsi="Calibri" w:cs="Calibri"/>
        </w:rPr>
      </w:pPr>
      <w:r w:rsidRPr="006A2924">
        <w:rPr>
          <w:rFonts w:ascii="Calibri" w:hAnsi="Calibri" w:cs="Calibri"/>
          <w:b/>
          <w:bCs/>
        </w:rPr>
        <w:t>Investing Cash Flow</w:t>
      </w:r>
    </w:p>
    <w:p w14:paraId="1F865288" w14:textId="65F219C0" w:rsidR="00AD286C" w:rsidRDefault="00AD286C" w:rsidP="003C7695">
      <w:pPr>
        <w:rPr>
          <w:rFonts w:ascii="Calibri" w:hAnsi="Calibri" w:cs="Calibri"/>
        </w:rPr>
      </w:pPr>
      <w:r>
        <w:rPr>
          <w:noProof/>
        </w:rPr>
        <w:lastRenderedPageBreak/>
        <w:drawing>
          <wp:inline distT="0" distB="0" distL="0" distR="0" wp14:anchorId="13D2BA49" wp14:editId="16414CB4">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3E827A" w14:textId="0E2E4128" w:rsidR="006A2924" w:rsidRDefault="006A2924" w:rsidP="003C7695">
      <w:pPr>
        <w:rPr>
          <w:rFonts w:ascii="Calibri" w:hAnsi="Calibri" w:cs="Calibri"/>
        </w:rPr>
      </w:pPr>
      <w:r>
        <w:rPr>
          <w:rFonts w:ascii="Calibri" w:hAnsi="Calibri" w:cs="Calibri"/>
        </w:rPr>
        <w:t>Analyze cash used for capital expenditures, acquisitions, and other investments. High capital expenditures could indicate growth but also requires scrutiny to ensure they are generating a good return.</w:t>
      </w:r>
    </w:p>
    <w:p w14:paraId="7A08804D" w14:textId="77777777" w:rsidR="00AD286C" w:rsidRDefault="00AD286C" w:rsidP="003C7695">
      <w:pPr>
        <w:rPr>
          <w:rFonts w:ascii="Calibri" w:hAnsi="Calibri" w:cs="Calibri"/>
          <w:b/>
          <w:bCs/>
        </w:rPr>
      </w:pPr>
    </w:p>
    <w:p w14:paraId="63EF511D" w14:textId="77777777" w:rsidR="00AD286C" w:rsidRDefault="006A2924" w:rsidP="003C7695">
      <w:pPr>
        <w:rPr>
          <w:rFonts w:ascii="Calibri" w:hAnsi="Calibri" w:cs="Calibri"/>
        </w:rPr>
      </w:pPr>
      <w:r w:rsidRPr="006A2924">
        <w:rPr>
          <w:rFonts w:ascii="Calibri" w:hAnsi="Calibri" w:cs="Calibri"/>
          <w:b/>
          <w:bCs/>
        </w:rPr>
        <w:t>Financing Cash Flow</w:t>
      </w:r>
    </w:p>
    <w:p w14:paraId="13E42741" w14:textId="6355425B" w:rsidR="00AD286C" w:rsidRDefault="00AD286C" w:rsidP="003C7695">
      <w:pPr>
        <w:rPr>
          <w:rFonts w:ascii="Calibri" w:hAnsi="Calibri" w:cs="Calibri"/>
        </w:rPr>
      </w:pPr>
      <w:r>
        <w:rPr>
          <w:noProof/>
        </w:rPr>
        <w:drawing>
          <wp:inline distT="0" distB="0" distL="0" distR="0" wp14:anchorId="58DF7BB1" wp14:editId="10991EF4">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C6B73EA" w14:textId="6F07A8D0" w:rsidR="006A2924" w:rsidRPr="006A2924" w:rsidRDefault="006A2924" w:rsidP="003C7695">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1FF9629" w14:textId="77777777" w:rsidR="006A2924" w:rsidRDefault="006A2924" w:rsidP="003C7695">
      <w:pPr>
        <w:rPr>
          <w:rFonts w:ascii="Calibri" w:hAnsi="Calibri" w:cs="Calibri"/>
          <w:b/>
          <w:bCs/>
        </w:rPr>
      </w:pPr>
    </w:p>
    <w:p w14:paraId="1C96335B" w14:textId="77777777" w:rsidR="006A2924" w:rsidRDefault="006A2924" w:rsidP="003C7695">
      <w:pPr>
        <w:rPr>
          <w:rFonts w:ascii="Calibri" w:hAnsi="Calibri" w:cs="Calibri"/>
          <w:b/>
          <w:bCs/>
        </w:rPr>
      </w:pPr>
    </w:p>
    <w:p w14:paraId="6AAE3A15" w14:textId="353064C2" w:rsidR="00097F7B" w:rsidRDefault="00097F7B" w:rsidP="003C7695">
      <w:pPr>
        <w:rPr>
          <w:rFonts w:ascii="Calibri" w:hAnsi="Calibri" w:cs="Calibri"/>
        </w:rPr>
      </w:pPr>
      <w:r>
        <w:rPr>
          <w:rFonts w:ascii="Calibri" w:hAnsi="Calibri" w:cs="Calibri"/>
          <w:b/>
          <w:bCs/>
        </w:rPr>
        <w:lastRenderedPageBreak/>
        <w:t>Profitability Ratios</w:t>
      </w:r>
    </w:p>
    <w:p w14:paraId="20803C9C" w14:textId="677B0EBD" w:rsidR="00097F7B" w:rsidRDefault="00097F7B" w:rsidP="00097F7B">
      <w:pPr>
        <w:pStyle w:val="ListParagraph"/>
        <w:numPr>
          <w:ilvl w:val="0"/>
          <w:numId w:val="6"/>
        </w:numPr>
      </w:pPr>
      <w:r>
        <w:t>Gross Margin</w:t>
      </w:r>
      <w:r w:rsidR="006A2924">
        <w:t xml:space="preserve"> = gross profit/revenue</w:t>
      </w:r>
    </w:p>
    <w:p w14:paraId="4578938B" w14:textId="54DED95F" w:rsidR="00097F7B" w:rsidRDefault="00097F7B" w:rsidP="00097F7B">
      <w:pPr>
        <w:pStyle w:val="ListParagraph"/>
        <w:numPr>
          <w:ilvl w:val="0"/>
          <w:numId w:val="6"/>
        </w:numPr>
      </w:pPr>
      <w:r>
        <w:t>Operating Margin</w:t>
      </w:r>
      <w:r w:rsidR="006A2924">
        <w:t xml:space="preserve"> = operating income/revenue</w:t>
      </w:r>
    </w:p>
    <w:p w14:paraId="14F4277A" w14:textId="26FCA7BE" w:rsidR="00097F7B" w:rsidRDefault="00097F7B" w:rsidP="00097F7B">
      <w:pPr>
        <w:pStyle w:val="ListParagraph"/>
        <w:numPr>
          <w:ilvl w:val="0"/>
          <w:numId w:val="6"/>
        </w:numPr>
      </w:pPr>
      <w:r>
        <w:t>Net Margin</w:t>
      </w:r>
      <w:r w:rsidR="006A2924">
        <w:t xml:space="preserve"> = net income/revenue</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7"/>
      <w:r>
        <w:t>Is NFLX a “buy”?</w:t>
      </w:r>
      <w:commentRangeEnd w:id="7"/>
      <w:r>
        <w:rPr>
          <w:rStyle w:val="CommentReference"/>
        </w:rPr>
        <w:commentReference w:id="7"/>
      </w:r>
    </w:p>
    <w:p w14:paraId="4F8930F4" w14:textId="77777777" w:rsidR="000B3738" w:rsidRDefault="000B3738" w:rsidP="000B3738">
      <w:r w:rsidRPr="003C7695">
        <w:t>It's important to note that past performance is not indicative of future results.</w:t>
      </w:r>
      <w:r>
        <w:t xml:space="preserve">  </w:t>
      </w:r>
      <w:commentRangeStart w:id="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8"/>
      <w:r>
        <w:rPr>
          <w:rStyle w:val="CommentReference"/>
        </w:rPr>
        <w:commentReference w:id="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6" w:author="Kevin Bray" w:date="2024-06-20T11:03:00Z" w:initials="KB">
    <w:p w14:paraId="4A8D0355" w14:textId="77777777" w:rsidR="00090E1D" w:rsidRDefault="00090E1D" w:rsidP="00090E1D">
      <w:pPr>
        <w:pStyle w:val="CommentText"/>
      </w:pPr>
      <w:r>
        <w:rPr>
          <w:rStyle w:val="CommentReference"/>
        </w:rPr>
        <w:annotationRef/>
      </w:r>
      <w:r>
        <w:t>Why?</w:t>
      </w:r>
    </w:p>
  </w:comment>
  <w:comment w:id="7" w:author="Kevin Bray" w:date="2024-06-15T10:39:00Z" w:initials="KB">
    <w:p w14:paraId="78204C1C" w14:textId="67698792" w:rsidR="00FB58D2" w:rsidRDefault="00FB58D2" w:rsidP="00FB58D2">
      <w:pPr>
        <w:pStyle w:val="CommentText"/>
      </w:pPr>
      <w:r>
        <w:rPr>
          <w:rStyle w:val="CommentReference"/>
        </w:rPr>
        <w:annotationRef/>
      </w:r>
      <w:r>
        <w:t>Make a call on this.</w:t>
      </w:r>
    </w:p>
  </w:comment>
  <w:comment w:id="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104AF2D4" w15:done="0"/>
  <w15:commentEx w15:paraId="4A8D035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2EBA23FC" w16cex:dateUtc="2024-06-20T15:03: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4A8D0355" w16cid:durableId="2EBA23FC"/>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4"/>
  </w:num>
  <w:num w:numId="2" w16cid:durableId="1374041164">
    <w:abstractNumId w:val="2"/>
  </w:num>
  <w:num w:numId="3" w16cid:durableId="242837665">
    <w:abstractNumId w:val="5"/>
  </w:num>
  <w:num w:numId="4" w16cid:durableId="381250401">
    <w:abstractNumId w:val="3"/>
  </w:num>
  <w:num w:numId="5" w16cid:durableId="1455245664">
    <w:abstractNumId w:val="0"/>
  </w:num>
  <w:num w:numId="6" w16cid:durableId="566233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F7B"/>
    <w:rsid w:val="000B3738"/>
    <w:rsid w:val="000C1C4A"/>
    <w:rsid w:val="000F41AA"/>
    <w:rsid w:val="001043FD"/>
    <w:rsid w:val="00122091"/>
    <w:rsid w:val="00132899"/>
    <w:rsid w:val="00166FBF"/>
    <w:rsid w:val="00194CFF"/>
    <w:rsid w:val="001A3D97"/>
    <w:rsid w:val="001B5DC9"/>
    <w:rsid w:val="001D6BF3"/>
    <w:rsid w:val="001E641E"/>
    <w:rsid w:val="002262E3"/>
    <w:rsid w:val="002466B5"/>
    <w:rsid w:val="002C311B"/>
    <w:rsid w:val="002D1E46"/>
    <w:rsid w:val="002D3E5D"/>
    <w:rsid w:val="002D4985"/>
    <w:rsid w:val="0031136D"/>
    <w:rsid w:val="0031282E"/>
    <w:rsid w:val="0039697A"/>
    <w:rsid w:val="003C7695"/>
    <w:rsid w:val="003F007E"/>
    <w:rsid w:val="003F61A7"/>
    <w:rsid w:val="003F6A83"/>
    <w:rsid w:val="00401A0D"/>
    <w:rsid w:val="00426348"/>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70F6"/>
    <w:rsid w:val="006634B5"/>
    <w:rsid w:val="00675F96"/>
    <w:rsid w:val="006A2924"/>
    <w:rsid w:val="006A2ABF"/>
    <w:rsid w:val="006E14C7"/>
    <w:rsid w:val="006F793F"/>
    <w:rsid w:val="00732C89"/>
    <w:rsid w:val="00780B27"/>
    <w:rsid w:val="00782079"/>
    <w:rsid w:val="00783CB1"/>
    <w:rsid w:val="007C5E17"/>
    <w:rsid w:val="007D0634"/>
    <w:rsid w:val="007E0596"/>
    <w:rsid w:val="0080420B"/>
    <w:rsid w:val="0082196F"/>
    <w:rsid w:val="00824C55"/>
    <w:rsid w:val="0082625D"/>
    <w:rsid w:val="008540C0"/>
    <w:rsid w:val="0087402A"/>
    <w:rsid w:val="008A0F4B"/>
    <w:rsid w:val="008C5287"/>
    <w:rsid w:val="008D2352"/>
    <w:rsid w:val="008F2FB9"/>
    <w:rsid w:val="008F7290"/>
    <w:rsid w:val="00910F7F"/>
    <w:rsid w:val="00913547"/>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83267"/>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microsoft.com/office/2011/relationships/people" Target="people.xml"/><Relationship Id="rId7" Type="http://schemas.openxmlformats.org/officeDocument/2006/relationships/hyperlink" Target="https://www.mit.edu/~amini/LICENSE.md"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theme" Target="theme/theme1.xml"/><Relationship Id="rId8" Type="http://schemas.openxmlformats.org/officeDocument/2006/relationships/hyperlink" Target="https://www.kaggle.com/datasets/gkitchen/s-and-p-500-spy"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AEBD-416B-A5B8-4DE00972AA8D}"/>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EFDA-49C8-87A8-BDD4786FAC6A}"/>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'Total Assets'!$A$4</c:f>
              <c:strCache>
                <c:ptCount val="1"/>
                <c:pt idx="0">
                  <c:v>Total assets</c:v>
                </c:pt>
              </c:strCache>
            </c:strRef>
          </c:tx>
          <c:spPr>
            <a:solidFill>
              <a:srgbClr val="E50914"/>
            </a:solidFill>
            <a:ln>
              <a:noFill/>
            </a:ln>
            <a:effectLst/>
          </c:spPr>
          <c:invertIfNegative val="0"/>
          <c:cat>
            <c:strRef>
              <c:f>'Total Assets'!$B$2:$J$2</c:f>
              <c:strCache>
                <c:ptCount val="9"/>
                <c:pt idx="0">
                  <c:v>Q1 '22</c:v>
                </c:pt>
                <c:pt idx="1">
                  <c:v>Q2 '22</c:v>
                </c:pt>
                <c:pt idx="2">
                  <c:v>Q3 '22</c:v>
                </c:pt>
                <c:pt idx="3">
                  <c:v>Q4 '22</c:v>
                </c:pt>
                <c:pt idx="4">
                  <c:v>Q1 '23</c:v>
                </c:pt>
                <c:pt idx="5">
                  <c:v>Q2 '23</c:v>
                </c:pt>
                <c:pt idx="6">
                  <c:v>Q3 '23</c:v>
                </c:pt>
                <c:pt idx="7">
                  <c:v>Q4 '23</c:v>
                </c:pt>
                <c:pt idx="8">
                  <c:v>Q1 '24</c:v>
                </c:pt>
              </c:strCache>
            </c:strRef>
          </c:cat>
          <c:val>
            <c:numRef>
              <c:f>'Total Assets'!$B$4:$J$4</c:f>
              <c:numCache>
                <c:formatCode>_("$"* #,##0_);_("$"* \(#,##0\);_("$"* "-"??_);_(@_)</c:formatCode>
                <c:ptCount val="9"/>
                <c:pt idx="0">
                  <c:v>45330904</c:v>
                </c:pt>
                <c:pt idx="1">
                  <c:v>46350935</c:v>
                </c:pt>
                <c:pt idx="2">
                  <c:v>47562187</c:v>
                </c:pt>
                <c:pt idx="3">
                  <c:v>48594768</c:v>
                </c:pt>
                <c:pt idx="4">
                  <c:v>49490345</c:v>
                </c:pt>
                <c:pt idx="5">
                  <c:v>50817473</c:v>
                </c:pt>
                <c:pt idx="6">
                  <c:v>49501786</c:v>
                </c:pt>
                <c:pt idx="7">
                  <c:v>48731992</c:v>
                </c:pt>
                <c:pt idx="8">
                  <c:v>48827721</c:v>
                </c:pt>
              </c:numCache>
            </c:numRef>
          </c:val>
          <c:extLst>
            <c:ext xmlns:c16="http://schemas.microsoft.com/office/drawing/2014/chart" uri="{C3380CC4-5D6E-409C-BE32-E72D297353CC}">
              <c16:uniqueId val="{00000000-8184-4781-A8C6-C91BDE071518}"/>
            </c:ext>
          </c:extLst>
        </c:ser>
        <c:dLbls>
          <c:showLegendKey val="0"/>
          <c:showVal val="0"/>
          <c:showCatName val="0"/>
          <c:showSerName val="0"/>
          <c:showPercent val="0"/>
          <c:showBubbleSize val="0"/>
        </c:dLbls>
        <c:gapWidth val="219"/>
        <c:overlap val="-27"/>
        <c:axId val="105739264"/>
        <c:axId val="105738304"/>
      </c:barChart>
      <c:catAx>
        <c:axId val="10573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304"/>
        <c:crosses val="autoZero"/>
        <c:auto val="0"/>
        <c:lblAlgn val="ctr"/>
        <c:lblOffset val="100"/>
        <c:noMultiLvlLbl val="0"/>
      </c:catAx>
      <c:valAx>
        <c:axId val="1057383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4F9C-4A8D-BAD0-FDDC942BDE51}"/>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t>
            </a:r>
            <a:r>
              <a:rPr lang="en-US" sz="1400" b="0">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Liabilities'!$A$7</c:f>
              <c:strCache>
                <c:ptCount val="1"/>
                <c:pt idx="0">
                  <c:v>Total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Liabilities'!$B$7:$J$7</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1-EC31-464E-B5F2-C7E45F690817}"/>
            </c:ext>
          </c:extLst>
        </c:ser>
        <c:dLbls>
          <c:showLegendKey val="0"/>
          <c:showVal val="0"/>
          <c:showCatName val="0"/>
          <c:showSerName val="0"/>
          <c:showPercent val="0"/>
          <c:showBubbleSize val="0"/>
        </c:dLbls>
        <c:smooth val="0"/>
        <c:axId val="163295120"/>
        <c:axId val="163303280"/>
      </c:lineChart>
      <c:catAx>
        <c:axId val="1632951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3280"/>
        <c:crosses val="autoZero"/>
        <c:auto val="0"/>
        <c:lblAlgn val="ctr"/>
        <c:lblOffset val="100"/>
        <c:noMultiLvlLbl val="0"/>
      </c:catAx>
      <c:valAx>
        <c:axId val="16330328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262E-40CB-8CA9-9225BE8C6383}"/>
            </c:ext>
          </c:extLst>
        </c:ser>
        <c:dLbls>
          <c:showLegendKey val="0"/>
          <c:showVal val="0"/>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Other Non-Current </a:t>
            </a:r>
            <a:r>
              <a:rPr lang="en-US">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Liabilities'!$A$6</c:f>
              <c:strCache>
                <c:ptCount val="1"/>
                <c:pt idx="0">
                  <c:v>Other non-current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Liabilities'!$B$6:$J$6</c:f>
              <c:numCache>
                <c:formatCode>_("$"* #,##0_);_("$"* \(#,##0\);_("$"* "-"??_);_(@_)</c:formatCode>
                <c:ptCount val="9"/>
                <c:pt idx="0">
                  <c:v>2567427</c:v>
                </c:pt>
                <c:pt idx="1">
                  <c:v>2551675</c:v>
                </c:pt>
                <c:pt idx="2">
                  <c:v>2424637</c:v>
                </c:pt>
                <c:pt idx="3">
                  <c:v>2452040</c:v>
                </c:pt>
                <c:pt idx="4">
                  <c:v>2400085</c:v>
                </c:pt>
                <c:pt idx="5">
                  <c:v>2389915</c:v>
                </c:pt>
                <c:pt idx="6">
                  <c:v>2486215</c:v>
                </c:pt>
                <c:pt idx="7">
                  <c:v>2561434</c:v>
                </c:pt>
                <c:pt idx="8">
                  <c:v>2585364</c:v>
                </c:pt>
              </c:numCache>
            </c:numRef>
          </c:val>
          <c:smooth val="0"/>
          <c:extLst>
            <c:ext xmlns:c16="http://schemas.microsoft.com/office/drawing/2014/chart" uri="{C3380CC4-5D6E-409C-BE32-E72D297353CC}">
              <c16:uniqueId val="{00000001-ED5E-499C-968F-C21AB3D99B74}"/>
            </c:ext>
          </c:extLst>
        </c:ser>
        <c:dLbls>
          <c:showLegendKey val="0"/>
          <c:showVal val="0"/>
          <c:showCatName val="0"/>
          <c:showSerName val="0"/>
          <c:showPercent val="0"/>
          <c:showBubbleSize val="0"/>
        </c:dLbls>
        <c:smooth val="0"/>
        <c:axId val="1553458688"/>
        <c:axId val="1553463008"/>
      </c:lineChart>
      <c:catAx>
        <c:axId val="15534586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3008"/>
        <c:crosses val="autoZero"/>
        <c:auto val="0"/>
        <c:lblAlgn val="ctr"/>
        <c:lblOffset val="100"/>
        <c:noMultiLvlLbl val="0"/>
      </c:catAx>
      <c:valAx>
        <c:axId val="155346300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Non-Current Content </a:t>
            </a:r>
            <a:r>
              <a:rPr lang="en-US"/>
              <a:t>Liabilities</a:t>
            </a:r>
          </a:p>
        </c:rich>
      </c:tx>
      <c:layout>
        <c:manualLayout>
          <c:xMode val="edge"/>
          <c:yMode val="edge"/>
          <c:x val="0.2546446400082342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Liabilities'!$A$4</c:f>
              <c:strCache>
                <c:ptCount val="1"/>
                <c:pt idx="0">
                  <c:v>Non-current content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Liabilities'!$B$4:$J$4</c:f>
              <c:numCache>
                <c:formatCode>_("$"* #,##0_);_("$"* \(#,##0\);_("$"* "-"??_);_(@_)</c:formatCode>
                <c:ptCount val="9"/>
                <c:pt idx="0">
                  <c:v>2945221</c:v>
                </c:pt>
                <c:pt idx="1">
                  <c:v>2989961</c:v>
                </c:pt>
                <c:pt idx="2">
                  <c:v>2955368</c:v>
                </c:pt>
                <c:pt idx="3">
                  <c:v>3081277</c:v>
                </c:pt>
                <c:pt idx="4">
                  <c:v>2908029</c:v>
                </c:pt>
                <c:pt idx="5">
                  <c:v>2849387</c:v>
                </c:pt>
                <c:pt idx="6">
                  <c:v>2668472</c:v>
                </c:pt>
                <c:pt idx="7">
                  <c:v>2578173</c:v>
                </c:pt>
                <c:pt idx="8">
                  <c:v>2370692</c:v>
                </c:pt>
              </c:numCache>
            </c:numRef>
          </c:val>
          <c:smooth val="0"/>
          <c:extLst>
            <c:ext xmlns:c16="http://schemas.microsoft.com/office/drawing/2014/chart" uri="{C3380CC4-5D6E-409C-BE32-E72D297353CC}">
              <c16:uniqueId val="{00000001-8854-4E28-8EE0-25967DDE5590}"/>
            </c:ext>
          </c:extLst>
        </c:ser>
        <c:dLbls>
          <c:showLegendKey val="0"/>
          <c:showVal val="0"/>
          <c:showCatName val="0"/>
          <c:showSerName val="0"/>
          <c:showPercent val="0"/>
          <c:showBubbleSize val="0"/>
        </c:dLbls>
        <c:smooth val="0"/>
        <c:axId val="163298960"/>
        <c:axId val="163304720"/>
      </c:lineChart>
      <c:catAx>
        <c:axId val="1632989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4720"/>
        <c:crosses val="autoZero"/>
        <c:auto val="0"/>
        <c:lblAlgn val="ctr"/>
        <c:lblOffset val="100"/>
        <c:noMultiLvlLbl val="0"/>
      </c:catAx>
      <c:valAx>
        <c:axId val="16330472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Stockholders'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'Shareholders Equity'!$B$20</c:f>
              <c:strCache>
                <c:ptCount val="1"/>
                <c:pt idx="0">
                  <c:v>Total stockholders' equity</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'Shareholders Equity'!$C$17:$K$17</c:f>
              <c:strCache>
                <c:ptCount val="9"/>
                <c:pt idx="0">
                  <c:v>Q1 '22</c:v>
                </c:pt>
                <c:pt idx="1">
                  <c:v>Q2 '22</c:v>
                </c:pt>
                <c:pt idx="2">
                  <c:v>Q3 '22</c:v>
                </c:pt>
                <c:pt idx="3">
                  <c:v>Q4 '22</c:v>
                </c:pt>
                <c:pt idx="4">
                  <c:v>Q1 '23</c:v>
                </c:pt>
                <c:pt idx="5">
                  <c:v>Q2 '23</c:v>
                </c:pt>
                <c:pt idx="6">
                  <c:v>Q3 '23</c:v>
                </c:pt>
                <c:pt idx="7">
                  <c:v>Q4 '23</c:v>
                </c:pt>
                <c:pt idx="8">
                  <c:v>Q1 '24</c:v>
                </c:pt>
              </c:strCache>
            </c:strRef>
          </c:cat>
          <c:val>
            <c:numRef>
              <c:f>'Shareholders Equity'!$C$20:$K$20</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extLst>
            <c:ext xmlns:c16="http://schemas.microsoft.com/office/drawing/2014/chart" uri="{C3380CC4-5D6E-409C-BE32-E72D297353CC}">
              <c16:uniqueId val="{00000001-C711-4F55-84BA-6BAD68A8E04C}"/>
            </c:ext>
          </c:extLst>
        </c:ser>
        <c:dLbls>
          <c:showLegendKey val="0"/>
          <c:showVal val="0"/>
          <c:showCatName val="0"/>
          <c:showSerName val="0"/>
          <c:showPercent val="0"/>
          <c:showBubbleSize val="0"/>
        </c:dLbls>
        <c:gapWidth val="219"/>
        <c:overlap val="-27"/>
        <c:axId val="105747424"/>
        <c:axId val="105739744"/>
      </c:barChart>
      <c:catAx>
        <c:axId val="10574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744"/>
        <c:crosses val="autoZero"/>
        <c:auto val="0"/>
        <c:lblAlgn val="ctr"/>
        <c:lblOffset val="100"/>
        <c:noMultiLvlLbl val="0"/>
      </c:catAx>
      <c:valAx>
        <c:axId val="10573974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605B-4317-AC31-B8729E80B458}"/>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605B-4317-AC31-B8729E80B458}"/>
            </c:ext>
          </c:extLst>
        </c:ser>
        <c:dLbls>
          <c:showLegendKey val="0"/>
          <c:showVal val="0"/>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63AB-4BF5-A055-C8030F79B996}"/>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C141-4E8D-B70A-6099CF21EBD0}"/>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E50914"/>
                </a:solidFill>
                <a:prstDash val="sysDot"/>
              </a:ln>
              <a:effectLst/>
            </c:spPr>
            <c:trendlineType val="linear"/>
            <c:dispRSqr val="0"/>
            <c:dispEq val="0"/>
          </c:trendline>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A7A6-4ED6-A876-65CF6902D223}"/>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D6AC-4BA8-8518-8593894AC406}"/>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BDDE-421E-A3F5-26F1E76AD6DD}"/>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BA64-4249-8F52-3FA9C3958CCB}"/>
            </c:ext>
          </c:extLst>
        </c:ser>
        <c:dLbls>
          <c:showLegendKey val="0"/>
          <c:showVal val="0"/>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5D98-4E7A-B850-6C1327186104}"/>
            </c:ext>
          </c:extLst>
        </c:ser>
        <c:dLbls>
          <c:showLegendKey val="0"/>
          <c:showVal val="0"/>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K&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F501-4249-A118-054EDEFED913}"/>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0"/>
        <c:axPos val="b"/>
        <c:numFmt formatCode="&quot;$&quot;#,##0.0,&quot;K&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Cost</a:t>
            </a:r>
            <a:r>
              <a:rPr lang="en-US"/>
              <a:t> </a:t>
            </a:r>
            <a:r>
              <a:rPr lang="en-US">
                <a:solidFill>
                  <a:schemeClr val="tx1">
                    <a:lumMod val="65000"/>
                    <a:lumOff val="35000"/>
                  </a:schemeClr>
                </a:solidFill>
              </a:rPr>
              <a:t>of 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'Cost of Rev'!$A$4</c:f>
              <c:strCache>
                <c:ptCount val="1"/>
                <c:pt idx="0">
                  <c:v>Cost of 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'Cost of Rev'!$B$3:$J$3</c:f>
              <c:strCache>
                <c:ptCount val="9"/>
                <c:pt idx="0">
                  <c:v>Q1 '22</c:v>
                </c:pt>
                <c:pt idx="1">
                  <c:v>Q2 '22</c:v>
                </c:pt>
                <c:pt idx="2">
                  <c:v>Q3 '22</c:v>
                </c:pt>
                <c:pt idx="3">
                  <c:v>Q4 '22</c:v>
                </c:pt>
                <c:pt idx="4">
                  <c:v>Q1 '23</c:v>
                </c:pt>
                <c:pt idx="5">
                  <c:v>Q2 '23</c:v>
                </c:pt>
                <c:pt idx="6">
                  <c:v>Q3 '23</c:v>
                </c:pt>
                <c:pt idx="7">
                  <c:v>Q4 '23</c:v>
                </c:pt>
                <c:pt idx="8">
                  <c:v>Q1 '24</c:v>
                </c:pt>
              </c:strCache>
            </c:strRef>
          </c:cat>
          <c:val>
            <c:numRef>
              <c:f>'Cost of Rev'!$B$4:$J$4</c:f>
              <c:numCache>
                <c:formatCode>_("$"* #,##0_);_("$"* \(#,##0\);_("$"* "-"??_);_(@_)</c:formatCode>
                <c:ptCount val="9"/>
                <c:pt idx="0">
                  <c:v>4284705</c:v>
                </c:pt>
                <c:pt idx="1">
                  <c:v>4690755</c:v>
                </c:pt>
                <c:pt idx="2">
                  <c:v>4788665</c:v>
                </c:pt>
                <c:pt idx="3">
                  <c:v>5404160</c:v>
                </c:pt>
                <c:pt idx="4">
                  <c:v>4803625</c:v>
                </c:pt>
                <c:pt idx="5">
                  <c:v>4673470</c:v>
                </c:pt>
                <c:pt idx="6">
                  <c:v>4930788</c:v>
                </c:pt>
                <c:pt idx="7">
                  <c:v>5307485</c:v>
                </c:pt>
                <c:pt idx="8">
                  <c:v>4977073</c:v>
                </c:pt>
              </c:numCache>
            </c:numRef>
          </c:val>
          <c:extLst>
            <c:ext xmlns:c16="http://schemas.microsoft.com/office/drawing/2014/chart" uri="{C3380CC4-5D6E-409C-BE32-E72D297353CC}">
              <c16:uniqueId val="{00000001-08EB-43B1-B60D-D07C5645E2E8}"/>
            </c:ext>
          </c:extLst>
        </c:ser>
        <c:dLbls>
          <c:showLegendKey val="0"/>
          <c:showVal val="0"/>
          <c:showCatName val="0"/>
          <c:showSerName val="0"/>
          <c:showPercent val="0"/>
          <c:showBubbleSize val="0"/>
        </c:dLbls>
        <c:gapWidth val="219"/>
        <c:overlap val="-27"/>
        <c:axId val="108578544"/>
        <c:axId val="108579024"/>
      </c:barChart>
      <c:catAx>
        <c:axId val="10857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9024"/>
        <c:crosses val="autoZero"/>
        <c:auto val="0"/>
        <c:lblAlgn val="ctr"/>
        <c:lblOffset val="100"/>
        <c:noMultiLvlLbl val="0"/>
      </c:catAx>
      <c:valAx>
        <c:axId val="10857902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2A0A-448B-9B37-DA75A2DB31A9}"/>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trendline>
            <c:spPr>
              <a:ln w="19050" cap="rnd">
                <a:solidFill>
                  <a:srgbClr val="E50914"/>
                </a:solidFill>
                <a:prstDash val="sysDot"/>
              </a:ln>
              <a:effectLst/>
            </c:spPr>
            <c:trendlineType val="linear"/>
            <c:dispRSqr val="0"/>
            <c:dispEq val="0"/>
          </c:trendline>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ECCA-4575-BE2E-87F1DCE6262C}"/>
            </c:ext>
          </c:extLst>
        </c:ser>
        <c:dLbls>
          <c:showLegendKey val="0"/>
          <c:showVal val="0"/>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9CBB-4475-8F04-C80687DA8611}"/>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'Operating Margin'!$A$6</c:f>
              <c:strCache>
                <c:ptCount val="1"/>
                <c:pt idx="0">
                  <c:v>Operating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'Operating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Margin'!$B$6:$J$6</c:f>
              <c:numCache>
                <c:formatCode>0%</c:formatCode>
                <c:ptCount val="9"/>
                <c:pt idx="0">
                  <c:v>0.25059537223204498</c:v>
                </c:pt>
                <c:pt idx="1">
                  <c:v>0.19802447660587183</c:v>
                </c:pt>
                <c:pt idx="2">
                  <c:v>0.19342638130743342</c:v>
                </c:pt>
                <c:pt idx="3">
                  <c:v>7.0033149292293359E-2</c:v>
                </c:pt>
                <c:pt idx="4">
                  <c:v>0.21004917844176496</c:v>
                </c:pt>
                <c:pt idx="5">
                  <c:v>0.22317281360487418</c:v>
                </c:pt>
                <c:pt idx="6">
                  <c:v>0.22435828692943813</c:v>
                </c:pt>
                <c:pt idx="7">
                  <c:v>0.16938057756153893</c:v>
                </c:pt>
                <c:pt idx="8">
                  <c:v>0.28094027601692129</c:v>
                </c:pt>
              </c:numCache>
            </c:numRef>
          </c:val>
          <c:smooth val="0"/>
          <c:extLst>
            <c:ext xmlns:c16="http://schemas.microsoft.com/office/drawing/2014/chart" uri="{C3380CC4-5D6E-409C-BE32-E72D297353CC}">
              <c16:uniqueId val="{00000001-DA63-40FB-91CC-326041600493}"/>
            </c:ext>
          </c:extLst>
        </c:ser>
        <c:dLbls>
          <c:showLegendKey val="0"/>
          <c:showVal val="0"/>
          <c:showCatName val="0"/>
          <c:showSerName val="0"/>
          <c:showPercent val="0"/>
          <c:showBubbleSize val="0"/>
        </c:dLbls>
        <c:smooth val="0"/>
        <c:axId val="1553465888"/>
        <c:axId val="1553454368"/>
      </c:lineChart>
      <c:catAx>
        <c:axId val="1553465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368"/>
        <c:crosses val="autoZero"/>
        <c:auto val="0"/>
        <c:lblAlgn val="ctr"/>
        <c:lblOffset val="100"/>
        <c:noMultiLvlLbl val="0"/>
      </c:catAx>
      <c:valAx>
        <c:axId val="155345436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AB54-494F-872C-0EB5F48E7FD1}"/>
            </c:ext>
          </c:extLst>
        </c:ser>
        <c:dLbls>
          <c:showLegendKey val="0"/>
          <c:showVal val="0"/>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1853-4730-93EC-6FCAF32F3E94}"/>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0"/>
        <c:axPos val="l"/>
        <c:majorGridlines>
          <c:spPr>
            <a:ln w="9525" cap="flat" cmpd="sng" algn="ctr">
              <a:no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28105</TotalTime>
  <Pages>22</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63</cp:revision>
  <dcterms:created xsi:type="dcterms:W3CDTF">2024-05-31T14:20:00Z</dcterms:created>
  <dcterms:modified xsi:type="dcterms:W3CDTF">2024-06-24T15:00:00Z</dcterms:modified>
</cp:coreProperties>
</file>