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7E98E649" w14:textId="77777777" w:rsidR="001B5DC9" w:rsidRDefault="001B5DC9" w:rsidP="003C7695"/>
    <w:p w14:paraId="5594969D" w14:textId="77777777" w:rsidR="00F83267" w:rsidRDefault="00E2237F" w:rsidP="003C7695">
      <w:r>
        <w:t>[</w:t>
      </w:r>
      <w:r w:rsidR="001B5DC9" w:rsidRPr="001B5DC9">
        <w:t>Summary of Project Intention</w:t>
      </w:r>
      <w:r>
        <w:t>]</w:t>
      </w:r>
    </w:p>
    <w:p w14:paraId="13BDB9FF" w14:textId="278FE017"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w:t>
      </w:r>
      <w:r w:rsidR="006F793F">
        <w:lastRenderedPageBreak/>
        <w:t xml:space="preserve">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27F4F96F"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4"/>
      <w:r w:rsidR="00FB58D2">
        <w:rPr>
          <w:b/>
          <w:bCs/>
          <w:sz w:val="28"/>
          <w:szCs w:val="28"/>
        </w:rPr>
        <w:t>Analysis of NFLX Financials</w:t>
      </w:r>
      <w:commentRangeEnd w:id="4"/>
      <w:r w:rsidR="00FB58D2">
        <w:rPr>
          <w:rStyle w:val="CommentReference"/>
        </w:rPr>
        <w:commentReference w:id="4"/>
      </w:r>
    </w:p>
    <w:p w14:paraId="0AEAB750" w14:textId="491D7AA0"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w:t>
      </w:r>
      <w:r w:rsidR="008F7290">
        <w:lastRenderedPageBreak/>
        <w:t>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5AD3C36C" w14:textId="77777777" w:rsidR="00097F7B" w:rsidRDefault="00097F7B" w:rsidP="003C7695"/>
    <w:p w14:paraId="6CD8D4C6" w14:textId="6BE76D66" w:rsidR="00097F7B" w:rsidRDefault="008A0F4B" w:rsidP="003C7695">
      <w:r>
        <w:rPr>
          <w:b/>
          <w:bCs/>
          <w:sz w:val="28"/>
          <w:szCs w:val="28"/>
        </w:rPr>
        <w:t xml:space="preserve">### </w:t>
      </w:r>
      <w:r w:rsidR="00097F7B">
        <w:rPr>
          <w:b/>
          <w:bCs/>
          <w:sz w:val="28"/>
          <w:szCs w:val="28"/>
        </w:rPr>
        <w:t>Income Statement Analysis</w:t>
      </w:r>
    </w:p>
    <w:p w14:paraId="431D4F95" w14:textId="55D70805" w:rsidR="00097F7B" w:rsidRDefault="00097F7B" w:rsidP="003C7695">
      <w:r w:rsidRPr="006A2924">
        <w:rPr>
          <w:b/>
          <w:bCs/>
        </w:rPr>
        <w:t>Top-line Revenue</w:t>
      </w:r>
      <w:r>
        <w:t xml:space="preserve"> - </w:t>
      </w:r>
      <w:r w:rsidRPr="00097F7B">
        <w:t>Consistent revenue growth indicates a strong business model and increasing market share.</w:t>
      </w:r>
    </w:p>
    <w:p w14:paraId="66A1FF36" w14:textId="3313C80B" w:rsidR="00097F7B" w:rsidRPr="006A2924" w:rsidRDefault="00097F7B" w:rsidP="003C7695">
      <w:pPr>
        <w:rPr>
          <w:b/>
          <w:bCs/>
        </w:rPr>
      </w:pPr>
      <w:r w:rsidRPr="006A2924">
        <w:rPr>
          <w:b/>
          <w:bCs/>
        </w:rPr>
        <w:t>COGS</w:t>
      </w:r>
    </w:p>
    <w:p w14:paraId="0172C5D3" w14:textId="1D2214BB" w:rsidR="00097F7B" w:rsidRDefault="00097F7B" w:rsidP="003C7695">
      <w:r w:rsidRPr="006A2924">
        <w:rPr>
          <w:b/>
          <w:bCs/>
        </w:rPr>
        <w:t>Gross Margin</w:t>
      </w:r>
      <w:r>
        <w:t xml:space="preserve"> - </w:t>
      </w:r>
      <w:r w:rsidRPr="00097F7B">
        <w:t>Higher gross margins suggest better control over production costs.</w:t>
      </w:r>
    </w:p>
    <w:p w14:paraId="12B58A18" w14:textId="62155513" w:rsidR="00097F7B" w:rsidRDefault="00097F7B" w:rsidP="003C7695">
      <w:r w:rsidRPr="006A2924">
        <w:rPr>
          <w:b/>
          <w:bCs/>
        </w:rPr>
        <w:t>Operating Expenses</w:t>
      </w:r>
      <w:r>
        <w:t xml:space="preserve"> - </w:t>
      </w:r>
      <w:r w:rsidR="006A2924" w:rsidRPr="006A2924">
        <w:rPr>
          <w:rFonts w:ascii="Calibri" w:hAnsi="Calibri" w:cs="Calibri"/>
        </w:rPr>
        <w:t>Assess trends in R&amp;D, sales and marketing, and general administrative expenses. Efficient management of these costs is crucial for profitability.</w:t>
      </w:r>
    </w:p>
    <w:p w14:paraId="52B67EF6" w14:textId="6020C720" w:rsidR="00097F7B" w:rsidRDefault="00097F7B" w:rsidP="003C7695">
      <w:r w:rsidRPr="006A2924">
        <w:rPr>
          <w:b/>
          <w:bCs/>
        </w:rPr>
        <w:t>Operating Income (EBIT</w:t>
      </w:r>
      <w:r>
        <w:t xml:space="preserve">) - </w:t>
      </w:r>
      <w:r w:rsidR="006A2924">
        <w:rPr>
          <w:rFonts w:ascii="Calibri" w:hAnsi="Calibri" w:cs="Calibri"/>
        </w:rPr>
        <w:t>Operating income shows the profitability from core operations. An increasing trend is a positive sign.</w:t>
      </w:r>
    </w:p>
    <w:p w14:paraId="6D1CA36C" w14:textId="693D6A3D" w:rsidR="00097F7B" w:rsidRDefault="00097F7B" w:rsidP="003C7695">
      <w:r w:rsidRPr="006A2924">
        <w:rPr>
          <w:b/>
          <w:bCs/>
        </w:rPr>
        <w:t>Net Income</w:t>
      </w:r>
      <w:r>
        <w:t xml:space="preserve"> - </w:t>
      </w:r>
      <w:r>
        <w:rPr>
          <w:rFonts w:ascii="Calibri" w:hAnsi="Calibri" w:cs="Calibri"/>
        </w:rPr>
        <w:t>Growth in net income over time indicates successful management and profitability.</w:t>
      </w:r>
    </w:p>
    <w:p w14:paraId="437BA61B" w14:textId="2C22EF43" w:rsidR="00097F7B" w:rsidRDefault="00097F7B" w:rsidP="003C7695">
      <w:r>
        <w:rPr>
          <w:b/>
          <w:bCs/>
          <w:sz w:val="28"/>
          <w:szCs w:val="28"/>
        </w:rPr>
        <w:t>Balance Sheet Analysis</w:t>
      </w:r>
    </w:p>
    <w:p w14:paraId="5BFA9C18" w14:textId="18347B1B" w:rsidR="00097F7B" w:rsidRDefault="00097F7B" w:rsidP="003C7695">
      <w:r w:rsidRPr="006A2924">
        <w:rPr>
          <w:b/>
          <w:bCs/>
        </w:rPr>
        <w:t>Assets</w:t>
      </w:r>
      <w:r>
        <w:t xml:space="preserve"> - </w:t>
      </w:r>
      <w:r w:rsidR="006A2924" w:rsidRPr="006A2924">
        <w:rPr>
          <w:rFonts w:ascii="Calibri" w:hAnsi="Calibri" w:cs="Calibri"/>
        </w:rPr>
        <w:t>Check the trend in total assets, particularly current assets and non-current assets. Growth in assets might indicate investment in future growth.</w:t>
      </w:r>
    </w:p>
    <w:p w14:paraId="756B5B33" w14:textId="4A2F243D" w:rsidR="00097F7B" w:rsidRDefault="00097F7B" w:rsidP="003C7695">
      <w:r w:rsidRPr="006A2924">
        <w:rPr>
          <w:b/>
          <w:bCs/>
        </w:rPr>
        <w:t>Liabilities</w:t>
      </w:r>
      <w:r>
        <w:t xml:space="preserve"> - </w:t>
      </w:r>
      <w:r w:rsidR="006A2924">
        <w:rPr>
          <w:rFonts w:ascii="Calibri" w:hAnsi="Calibri" w:cs="Calibri"/>
        </w:rPr>
        <w:t>Analyze both current and long-term liabilities. High levels of debt compared to equity can be a red flag.</w:t>
      </w:r>
    </w:p>
    <w:p w14:paraId="4E5A457F" w14:textId="414C1146" w:rsidR="00097F7B" w:rsidRDefault="00097F7B" w:rsidP="003C7695">
      <w:r w:rsidRPr="006A2924">
        <w:rPr>
          <w:b/>
          <w:bCs/>
        </w:rPr>
        <w:t>Equity</w:t>
      </w:r>
      <w:r>
        <w:t xml:space="preserve"> - </w:t>
      </w:r>
      <w:r>
        <w:rPr>
          <w:rFonts w:ascii="Calibri" w:hAnsi="Calibri" w:cs="Calibri"/>
        </w:rPr>
        <w:t>A growing equity base can indicate retained earnings and reinvestment into the company.</w:t>
      </w:r>
    </w:p>
    <w:p w14:paraId="6DEC8435" w14:textId="3194E55D" w:rsidR="00097F7B" w:rsidRPr="006A2924" w:rsidRDefault="00097F7B" w:rsidP="003C7695">
      <w:pPr>
        <w:rPr>
          <w:b/>
          <w:bCs/>
        </w:rPr>
      </w:pPr>
      <w:r w:rsidRPr="006A2924">
        <w:rPr>
          <w:b/>
          <w:bCs/>
        </w:rPr>
        <w:t>Liquidity Ratios</w:t>
      </w:r>
    </w:p>
    <w:p w14:paraId="1FAF4BD7" w14:textId="02E2A3BA" w:rsidR="00097F7B" w:rsidRPr="008A0F4B" w:rsidRDefault="00097F7B" w:rsidP="00097F7B">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54D66D3C" w14:textId="3BA45C17"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less than 1 indicates that the company may have difficulty meeting short-term obligations.</w:t>
      </w:r>
    </w:p>
    <w:p w14:paraId="4129792E" w14:textId="2A5A322F"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A current ratio of more than 1 indicates that the company has more current assets than current liabilities, suggesting a good liquidity position.</w:t>
      </w:r>
    </w:p>
    <w:p w14:paraId="6F1AA024" w14:textId="0895D45C" w:rsidR="008A0F4B" w:rsidRDefault="008A0F4B" w:rsidP="008A0F4B">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However, an excessively high current ratio may indicate that the company is not using its assets efficiently.</w:t>
      </w:r>
    </w:p>
    <w:p w14:paraId="0DCF122A" w14:textId="77777777" w:rsidR="008A0F4B" w:rsidRPr="00097F7B" w:rsidRDefault="008A0F4B" w:rsidP="008A0F4B">
      <w:pPr>
        <w:pStyle w:val="ListParagraph"/>
        <w:ind w:left="1440"/>
      </w:pPr>
    </w:p>
    <w:p w14:paraId="446ED695" w14:textId="09EEF9A6" w:rsidR="00D900C1" w:rsidRDefault="00097F7B" w:rsidP="003C7695">
      <w:pPr>
        <w:rPr>
          <w:rFonts w:ascii="Calibri" w:hAnsi="Calibri" w:cs="Calibri"/>
        </w:rPr>
      </w:pPr>
      <w:r w:rsidRPr="00097F7B">
        <w:rPr>
          <w:rFonts w:ascii="Calibri" w:hAnsi="Calibri" w:cs="Calibri"/>
          <w:b/>
          <w:bCs/>
          <w:sz w:val="28"/>
          <w:szCs w:val="28"/>
        </w:rPr>
        <w:t>Cash Flow Statement Analysis</w:t>
      </w:r>
    </w:p>
    <w:p w14:paraId="3526824C" w14:textId="3DAE2C71" w:rsidR="006A2924" w:rsidRDefault="006A2924" w:rsidP="003C7695">
      <w:pPr>
        <w:rPr>
          <w:rFonts w:ascii="Calibri" w:hAnsi="Calibri" w:cs="Calibri"/>
        </w:rPr>
      </w:pPr>
      <w:r w:rsidRPr="006A2924">
        <w:rPr>
          <w:rFonts w:ascii="Calibri" w:hAnsi="Calibri" w:cs="Calibri"/>
          <w:b/>
          <w:bCs/>
        </w:rPr>
        <w:t xml:space="preserve">Operating Cash Flow </w:t>
      </w:r>
      <w:r>
        <w:rPr>
          <w:rFonts w:ascii="Calibri" w:hAnsi="Calibri" w:cs="Calibri"/>
        </w:rPr>
        <w:t xml:space="preserve">- </w:t>
      </w:r>
      <w:r>
        <w:rPr>
          <w:rFonts w:ascii="Calibri" w:hAnsi="Calibri" w:cs="Calibri"/>
        </w:rPr>
        <w:t>Positive and growing operating cash flow indicates that the company’s core business operations are generating cash.</w:t>
      </w:r>
    </w:p>
    <w:p w14:paraId="1A3E827A" w14:textId="405F38A5" w:rsidR="006A2924" w:rsidRDefault="006A2924" w:rsidP="003C7695">
      <w:pPr>
        <w:rPr>
          <w:rFonts w:ascii="Calibri" w:hAnsi="Calibri" w:cs="Calibri"/>
        </w:rPr>
      </w:pPr>
      <w:r w:rsidRPr="006A2924">
        <w:rPr>
          <w:rFonts w:ascii="Calibri" w:hAnsi="Calibri" w:cs="Calibri"/>
          <w:b/>
          <w:bCs/>
        </w:rPr>
        <w:lastRenderedPageBreak/>
        <w:t>Investing Cash Flow</w:t>
      </w:r>
      <w:r>
        <w:rPr>
          <w:rFonts w:ascii="Calibri" w:hAnsi="Calibri" w:cs="Calibri"/>
        </w:rPr>
        <w:t xml:space="preserve"> - </w:t>
      </w:r>
      <w:r>
        <w:rPr>
          <w:rFonts w:ascii="Calibri" w:hAnsi="Calibri" w:cs="Calibri"/>
        </w:rPr>
        <w:t>Analyze cash used for capital expenditures, acquisitions, and other investments. High capital expenditures could indicate growth but also requires scrutiny to ensure they are generating a good return.</w:t>
      </w:r>
    </w:p>
    <w:p w14:paraId="7C6B73EA" w14:textId="1DE2F28A" w:rsidR="006A2924" w:rsidRPr="006A2924" w:rsidRDefault="006A2924" w:rsidP="003C7695">
      <w:pPr>
        <w:rPr>
          <w:rFonts w:ascii="Calibri" w:hAnsi="Calibri" w:cs="Calibri"/>
        </w:rPr>
      </w:pPr>
      <w:r w:rsidRPr="006A2924">
        <w:rPr>
          <w:rFonts w:ascii="Calibri" w:hAnsi="Calibri" w:cs="Calibri"/>
          <w:b/>
          <w:bCs/>
        </w:rPr>
        <w:t>Financing Cash Flow</w:t>
      </w:r>
      <w:r>
        <w:rPr>
          <w:rFonts w:ascii="Calibri" w:hAnsi="Calibri" w:cs="Calibri"/>
        </w:rPr>
        <w:t xml:space="preserve"> - </w:t>
      </w: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1FF9629" w14:textId="77777777" w:rsidR="006A2924" w:rsidRDefault="006A2924" w:rsidP="003C7695">
      <w:pPr>
        <w:rPr>
          <w:rFonts w:ascii="Calibri" w:hAnsi="Calibri" w:cs="Calibri"/>
          <w:b/>
          <w:bCs/>
        </w:rPr>
      </w:pPr>
    </w:p>
    <w:p w14:paraId="1C96335B" w14:textId="77777777" w:rsidR="006A2924" w:rsidRDefault="006A2924" w:rsidP="003C7695">
      <w:pPr>
        <w:rPr>
          <w:rFonts w:ascii="Calibri" w:hAnsi="Calibri" w:cs="Calibri"/>
          <w:b/>
          <w:bCs/>
        </w:rPr>
      </w:pPr>
    </w:p>
    <w:p w14:paraId="6AAE3A15" w14:textId="353064C2" w:rsidR="00097F7B" w:rsidRDefault="00097F7B" w:rsidP="003C7695">
      <w:pPr>
        <w:rPr>
          <w:rFonts w:ascii="Calibri" w:hAnsi="Calibri" w:cs="Calibri"/>
        </w:rPr>
      </w:pPr>
      <w:r>
        <w:rPr>
          <w:rFonts w:ascii="Calibri" w:hAnsi="Calibri" w:cs="Calibri"/>
          <w:b/>
          <w:bCs/>
        </w:rPr>
        <w:t>Profitability Ratios</w:t>
      </w:r>
    </w:p>
    <w:p w14:paraId="20803C9C" w14:textId="677B0EBD" w:rsidR="00097F7B" w:rsidRDefault="00097F7B" w:rsidP="00097F7B">
      <w:pPr>
        <w:pStyle w:val="ListParagraph"/>
        <w:numPr>
          <w:ilvl w:val="0"/>
          <w:numId w:val="6"/>
        </w:numPr>
      </w:pPr>
      <w:r>
        <w:t>Gross Margin</w:t>
      </w:r>
      <w:r w:rsidR="006A2924">
        <w:t xml:space="preserve"> = gross profit/revenue</w:t>
      </w:r>
    </w:p>
    <w:p w14:paraId="4578938B" w14:textId="54DED95F" w:rsidR="00097F7B" w:rsidRDefault="00097F7B" w:rsidP="00097F7B">
      <w:pPr>
        <w:pStyle w:val="ListParagraph"/>
        <w:numPr>
          <w:ilvl w:val="0"/>
          <w:numId w:val="6"/>
        </w:numPr>
      </w:pPr>
      <w:r>
        <w:t>Operating Margin</w:t>
      </w:r>
      <w:r w:rsidR="006A2924">
        <w:t xml:space="preserve"> = operating income/revenue</w:t>
      </w:r>
    </w:p>
    <w:p w14:paraId="14F4277A" w14:textId="26FCA7BE" w:rsidR="00097F7B" w:rsidRDefault="00097F7B" w:rsidP="00097F7B">
      <w:pPr>
        <w:pStyle w:val="ListParagraph"/>
        <w:numPr>
          <w:ilvl w:val="0"/>
          <w:numId w:val="6"/>
        </w:numPr>
      </w:pPr>
      <w:r>
        <w:t>Net Margin</w:t>
      </w:r>
      <w:r w:rsidR="006A2924">
        <w:t xml:space="preserve"> = net income/revenue</w:t>
      </w:r>
    </w:p>
    <w:p w14:paraId="26C33CB6" w14:textId="44298DA3" w:rsidR="00097F7B" w:rsidRDefault="00097F7B" w:rsidP="00097F7B">
      <w:pPr>
        <w:rPr>
          <w:b/>
          <w:bCs/>
        </w:rPr>
      </w:pPr>
      <w:r>
        <w:rPr>
          <w:b/>
          <w:bCs/>
        </w:rPr>
        <w:t>Liquidity Ratios</w:t>
      </w:r>
    </w:p>
    <w:p w14:paraId="63BCF7B0" w14:textId="2B7E4AFA" w:rsidR="00097F7B" w:rsidRDefault="00097F7B" w:rsidP="00097F7B">
      <w:pPr>
        <w:pStyle w:val="ListParagraph"/>
        <w:numPr>
          <w:ilvl w:val="0"/>
          <w:numId w:val="6"/>
        </w:numPr>
      </w:pPr>
      <w:r>
        <w:t>Current ratio</w:t>
      </w:r>
      <w:r w:rsidR="006A2924">
        <w:t xml:space="preserve"> = current assets/current liabilities</w:t>
      </w:r>
    </w:p>
    <w:p w14:paraId="3B3629DD" w14:textId="484D0E8F" w:rsidR="00097F7B" w:rsidRDefault="006A2924" w:rsidP="00097F7B">
      <w:r>
        <w:rPr>
          <w:b/>
          <w:bCs/>
        </w:rPr>
        <w:t>Leverage Ratios</w:t>
      </w:r>
    </w:p>
    <w:p w14:paraId="27D9563A" w14:textId="65EDFAA3" w:rsidR="006A2924" w:rsidRDefault="006A2924" w:rsidP="006A2924">
      <w:pPr>
        <w:pStyle w:val="ListParagraph"/>
        <w:numPr>
          <w:ilvl w:val="0"/>
          <w:numId w:val="6"/>
        </w:numPr>
      </w:pPr>
      <w:r>
        <w:t>Debt-to-Equity Ratio = total liabilities/shareholders’ equity</w:t>
      </w:r>
    </w:p>
    <w:p w14:paraId="3FDC9C44" w14:textId="3D73C0BC" w:rsidR="006A2924" w:rsidRDefault="006A2924" w:rsidP="006A2924">
      <w:r>
        <w:rPr>
          <w:b/>
          <w:bCs/>
        </w:rPr>
        <w:t>Efficiency Ratios</w:t>
      </w:r>
    </w:p>
    <w:p w14:paraId="05DDAE9D" w14:textId="768D593E" w:rsidR="006A2924" w:rsidRDefault="006A2924" w:rsidP="006A2924">
      <w:pPr>
        <w:pStyle w:val="ListParagraph"/>
        <w:numPr>
          <w:ilvl w:val="0"/>
          <w:numId w:val="6"/>
        </w:numPr>
      </w:pPr>
      <w:r>
        <w:t>Return on Assets = net income/total assets</w:t>
      </w:r>
    </w:p>
    <w:p w14:paraId="162D087F" w14:textId="2802A3AE" w:rsidR="006A2924" w:rsidRDefault="006A2924" w:rsidP="006A2924">
      <w:pPr>
        <w:pStyle w:val="ListParagraph"/>
        <w:numPr>
          <w:ilvl w:val="0"/>
          <w:numId w:val="6"/>
        </w:numPr>
      </w:pPr>
      <w:r>
        <w:t>Return on Equity = net income/shareholders’ equity</w:t>
      </w:r>
    </w:p>
    <w:p w14:paraId="254F7A61" w14:textId="4F5C6A51" w:rsidR="008A0F4B" w:rsidRDefault="008A0F4B" w:rsidP="008A0F4B">
      <w:pPr>
        <w:rPr>
          <w:b/>
          <w:bCs/>
          <w:sz w:val="28"/>
          <w:szCs w:val="28"/>
        </w:rPr>
      </w:pPr>
      <w:r>
        <w:rPr>
          <w:b/>
          <w:bCs/>
          <w:sz w:val="28"/>
          <w:szCs w:val="28"/>
        </w:rPr>
        <w:t>Qualitative Factors</w:t>
      </w:r>
    </w:p>
    <w:p w14:paraId="38844FFB" w14:textId="3D75A00D" w:rsidR="008A0F4B" w:rsidRDefault="008A0F4B" w:rsidP="008A0F4B">
      <w:pPr>
        <w:rPr>
          <w:rFonts w:ascii="Calibri" w:hAnsi="Calibri" w:cs="Calibri"/>
        </w:rPr>
      </w:pPr>
      <w:r>
        <w:rPr>
          <w:b/>
          <w:bCs/>
        </w:rPr>
        <w:t xml:space="preserve">Market </w:t>
      </w:r>
      <w:r w:rsidRPr="008A0F4B">
        <w:rPr>
          <w:b/>
          <w:bCs/>
        </w:rPr>
        <w:t>Position</w:t>
      </w:r>
      <w:r>
        <w:t xml:space="preserve"> - </w:t>
      </w:r>
      <w:r>
        <w:rPr>
          <w:rFonts w:ascii="Calibri" w:hAnsi="Calibri" w:cs="Calibri"/>
        </w:rPr>
        <w:t>Netflix's competitive position in the streaming industry.</w:t>
      </w:r>
    </w:p>
    <w:p w14:paraId="23FE4D82" w14:textId="37889A96"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308E6744" w14:textId="1BE85221"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7"/>
      <w:r>
        <w:t>Is NFLX a “buy”?</w:t>
      </w:r>
      <w:commentRangeEnd w:id="7"/>
      <w:r>
        <w:rPr>
          <w:rStyle w:val="CommentReference"/>
        </w:rPr>
        <w:commentReference w:id="7"/>
      </w:r>
    </w:p>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5-31T20:02:00Z" w:initials="KB">
    <w:p w14:paraId="5F78CD38" w14:textId="6F03E74F"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15T10:39:00Z" w:initials="KB">
    <w:p w14:paraId="78204C1C" w14:textId="77777777" w:rsidR="00FB58D2" w:rsidRDefault="00FB58D2" w:rsidP="00FB58D2">
      <w:pPr>
        <w:pStyle w:val="CommentText"/>
      </w:pPr>
      <w:r>
        <w:rPr>
          <w:rStyle w:val="CommentReference"/>
        </w:rPr>
        <w:annotationRef/>
      </w:r>
      <w:r>
        <w:t>Make a call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5F78CD38" w15:done="0"/>
  <w15:commentEx w15:paraId="104AF2D4" w15:done="0"/>
  <w15:commentEx w15:paraId="78204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5BEF9227" w16cex:dateUtc="2024-06-01T00:02:00Z"/>
  <w16cex:commentExtensible w16cex:durableId="37E9F8D4" w16cex:dateUtc="2024-06-01T09:30:00Z"/>
  <w16cex:commentExtensible w16cex:durableId="1B10D0E4" w16cex:dateUtc="2024-06-15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5F78CD38" w16cid:durableId="5BEF9227"/>
  <w16cid:commentId w16cid:paraId="104AF2D4" w16cid:durableId="37E9F8D4"/>
  <w16cid:commentId w16cid:paraId="78204C1C" w16cid:durableId="1B10D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4"/>
  </w:num>
  <w:num w:numId="2" w16cid:durableId="1374041164">
    <w:abstractNumId w:val="2"/>
  </w:num>
  <w:num w:numId="3" w16cid:durableId="242837665">
    <w:abstractNumId w:val="5"/>
  </w:num>
  <w:num w:numId="4" w16cid:durableId="381250401">
    <w:abstractNumId w:val="3"/>
  </w:num>
  <w:num w:numId="5" w16cid:durableId="1455245664">
    <w:abstractNumId w:val="0"/>
  </w:num>
  <w:num w:numId="6" w16cid:durableId="566233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7F7B"/>
    <w:rsid w:val="000C1C4A"/>
    <w:rsid w:val="000F41AA"/>
    <w:rsid w:val="001043FD"/>
    <w:rsid w:val="00122091"/>
    <w:rsid w:val="00166FBF"/>
    <w:rsid w:val="00194CFF"/>
    <w:rsid w:val="001A3D97"/>
    <w:rsid w:val="001B5DC9"/>
    <w:rsid w:val="001D6BF3"/>
    <w:rsid w:val="001E641E"/>
    <w:rsid w:val="002466B5"/>
    <w:rsid w:val="002C311B"/>
    <w:rsid w:val="002D1E46"/>
    <w:rsid w:val="002D3E5D"/>
    <w:rsid w:val="0031282E"/>
    <w:rsid w:val="0039697A"/>
    <w:rsid w:val="003C7695"/>
    <w:rsid w:val="003F007E"/>
    <w:rsid w:val="003F61A7"/>
    <w:rsid w:val="003F6A83"/>
    <w:rsid w:val="00426348"/>
    <w:rsid w:val="0044428D"/>
    <w:rsid w:val="004633B9"/>
    <w:rsid w:val="00464697"/>
    <w:rsid w:val="00464A62"/>
    <w:rsid w:val="004A584D"/>
    <w:rsid w:val="004B6905"/>
    <w:rsid w:val="005069C4"/>
    <w:rsid w:val="00510B16"/>
    <w:rsid w:val="005515D9"/>
    <w:rsid w:val="005E73AE"/>
    <w:rsid w:val="00615BD8"/>
    <w:rsid w:val="0061799D"/>
    <w:rsid w:val="00633A05"/>
    <w:rsid w:val="006570F6"/>
    <w:rsid w:val="006634B5"/>
    <w:rsid w:val="006A2924"/>
    <w:rsid w:val="006A2ABF"/>
    <w:rsid w:val="006F793F"/>
    <w:rsid w:val="00732C89"/>
    <w:rsid w:val="00782079"/>
    <w:rsid w:val="00783CB1"/>
    <w:rsid w:val="007C5E17"/>
    <w:rsid w:val="007E0596"/>
    <w:rsid w:val="0080420B"/>
    <w:rsid w:val="00824C55"/>
    <w:rsid w:val="0082625D"/>
    <w:rsid w:val="008A0F4B"/>
    <w:rsid w:val="008D2352"/>
    <w:rsid w:val="008F2FB9"/>
    <w:rsid w:val="008F7290"/>
    <w:rsid w:val="00910F7F"/>
    <w:rsid w:val="00913547"/>
    <w:rsid w:val="0096087C"/>
    <w:rsid w:val="00994396"/>
    <w:rsid w:val="009B7448"/>
    <w:rsid w:val="009C0F1C"/>
    <w:rsid w:val="009C0F32"/>
    <w:rsid w:val="009D74AB"/>
    <w:rsid w:val="009F34EF"/>
    <w:rsid w:val="00A702A3"/>
    <w:rsid w:val="00AA2BA7"/>
    <w:rsid w:val="00AF5A1A"/>
    <w:rsid w:val="00B159A9"/>
    <w:rsid w:val="00B520AA"/>
    <w:rsid w:val="00B527C5"/>
    <w:rsid w:val="00B75C30"/>
    <w:rsid w:val="00BC52E6"/>
    <w:rsid w:val="00BD14DC"/>
    <w:rsid w:val="00BD39BB"/>
    <w:rsid w:val="00BE013A"/>
    <w:rsid w:val="00C04BB1"/>
    <w:rsid w:val="00C21619"/>
    <w:rsid w:val="00C67B58"/>
    <w:rsid w:val="00C83E58"/>
    <w:rsid w:val="00C902FC"/>
    <w:rsid w:val="00CC4E26"/>
    <w:rsid w:val="00D23742"/>
    <w:rsid w:val="00D900C1"/>
    <w:rsid w:val="00DA7FAF"/>
    <w:rsid w:val="00DB5725"/>
    <w:rsid w:val="00DC562A"/>
    <w:rsid w:val="00DC702E"/>
    <w:rsid w:val="00DF4431"/>
    <w:rsid w:val="00E16F5B"/>
    <w:rsid w:val="00E2237F"/>
    <w:rsid w:val="00E2736B"/>
    <w:rsid w:val="00E3011A"/>
    <w:rsid w:val="00E570B5"/>
    <w:rsid w:val="00EE7855"/>
    <w:rsid w:val="00F73CC5"/>
    <w:rsid w:val="00F7506D"/>
    <w:rsid w:val="00F83267"/>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21226</TotalTime>
  <Pages>8</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49</cp:revision>
  <dcterms:created xsi:type="dcterms:W3CDTF">2024-05-31T14:20:00Z</dcterms:created>
  <dcterms:modified xsi:type="dcterms:W3CDTF">2024-06-19T20:00:00Z</dcterms:modified>
</cp:coreProperties>
</file>