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proofErr w:type="gramStart"/>
      <w:r>
        <w:t>!</w:t>
      </w:r>
      <w:r w:rsidR="00BD14DC">
        <w:t>[</w:t>
      </w:r>
      <w:proofErr w:type="gramEnd"/>
      <w:r w:rsidRPr="004B6905">
        <w:t xml:space="preserve"> </w:t>
      </w:r>
      <w:proofErr w:type="spellStart"/>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6C2C59DF" w14:textId="0DC44E49" w:rsidR="004143E6" w:rsidRPr="00382185" w:rsidRDefault="00382185" w:rsidP="00653173">
      <w:commentRangeStart w:id="9"/>
      <w:r>
        <w:t>Citations?</w:t>
      </w:r>
      <w:commentRangeEnd w:id="9"/>
      <w:r>
        <w:rPr>
          <w:rStyle w:val="CommentReference"/>
        </w:rPr>
        <w:commentReference w:id="9"/>
      </w: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10"/>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49B6E399">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6AC1765A"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0F3DDCA" w14:textId="77777777" w:rsidR="008810AA" w:rsidRDefault="008810AA" w:rsidP="00653173">
      <w:pPr>
        <w:rPr>
          <w:rFonts w:ascii="Calibri" w:hAnsi="Calibri" w:cs="Calibri"/>
        </w:rPr>
      </w:pPr>
    </w:p>
    <w:p w14:paraId="49D962AB" w14:textId="69A3C52A" w:rsidR="008810AA" w:rsidRDefault="008810AA" w:rsidP="008810AA">
      <w:pPr>
        <w:rPr>
          <w:rFonts w:ascii="Calibri" w:hAnsi="Calibri" w:cs="Calibri"/>
        </w:rPr>
      </w:pPr>
      <w:r>
        <w:rPr>
          <w:rFonts w:ascii="Calibri" w:hAnsi="Calibri" w:cs="Calibri"/>
        </w:rPr>
        <w:lastRenderedPageBreak/>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2777F5A" w14:textId="77777777" w:rsidR="00653173" w:rsidRDefault="00653173" w:rsidP="00653173"/>
    <w:p w14:paraId="2D5D7C15" w14:textId="1C6E38CA" w:rsidR="00653173" w:rsidRDefault="00653173" w:rsidP="00653173">
      <w:r>
        <w:t xml:space="preserve">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w:t>
      </w:r>
      <w:r>
        <w:lastRenderedPageBreak/>
        <w:t>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2AE15788"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346435A4"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ADDEC7" w14:textId="77777777" w:rsidR="007F0967" w:rsidRDefault="007F0967" w:rsidP="007F0967"/>
    <w:p w14:paraId="4AB7F28C" w14:textId="14BF5F41"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Pr="008A0F4B"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1625E6" w14:textId="31764E9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lastRenderedPageBreak/>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CF9420" w14:textId="3331E658"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2DFF3CB" w14:textId="77777777" w:rsidR="008C1238" w:rsidRDefault="008C1238" w:rsidP="00653173"/>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9940CDF" w14:textId="77777777" w:rsidR="00653173" w:rsidRDefault="00653173" w:rsidP="00653173"/>
    <w:p w14:paraId="1FBEAC9E" w14:textId="77777777"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F0E88F" w14:textId="5CE9E365"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442F55F" w14:textId="77777777" w:rsidR="00ED7461" w:rsidRDefault="00ED7461" w:rsidP="00653173">
      <w:pPr>
        <w:rPr>
          <w:rFonts w:ascii="Calibri" w:hAnsi="Calibri" w:cs="Calibri"/>
          <w:b/>
          <w:bCs/>
        </w:rPr>
      </w:pPr>
    </w:p>
    <w:p w14:paraId="688B15F0" w14:textId="1C86D020" w:rsidR="00653173" w:rsidRDefault="00653173" w:rsidP="00653173">
      <w:pPr>
        <w:rPr>
          <w:rFonts w:ascii="Calibri" w:hAnsi="Calibri" w:cs="Calibri"/>
        </w:rPr>
      </w:pPr>
      <w:commentRangeStart w:id="11"/>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 xml:space="preserve">financial health, as it </w:t>
      </w:r>
      <w:r w:rsidR="00044D58" w:rsidRPr="00044D58">
        <w:rPr>
          <w:rFonts w:ascii="Calibri" w:hAnsi="Calibri" w:cs="Calibri"/>
        </w:rPr>
        <w:lastRenderedPageBreak/>
        <w:t>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 xml:space="preserve">NFLX subscriber base has been increasing since the modest draw-down in early 2022.  Combined with strategic price increases, the introduction of their budget-friendly </w:t>
      </w:r>
      <w:proofErr w:type="gramStart"/>
      <w:r>
        <w:rPr>
          <w:rFonts w:ascii="Calibri" w:hAnsi="Calibri" w:cs="Calibri"/>
        </w:rPr>
        <w:t>ad</w:t>
      </w:r>
      <w:proofErr w:type="gramEnd"/>
      <w:r>
        <w:rPr>
          <w:rFonts w:ascii="Calibri" w:hAnsi="Calibri" w:cs="Calibri"/>
        </w:rPr>
        <w:t>-supported subscription tier, as well as their increasing efficiency at using assets to generate revenue have all helped in boosting their operating cash flows.</w:t>
      </w:r>
      <w:commentRangeEnd w:id="11"/>
      <w:r>
        <w:rPr>
          <w:rStyle w:val="CommentReference"/>
        </w:rPr>
        <w:commentReference w:id="11"/>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25753E6" w14:textId="7457110A" w:rsidR="00653173" w:rsidRDefault="00653173" w:rsidP="00653173">
      <w:pPr>
        <w:rPr>
          <w:rFonts w:ascii="Calibri" w:hAnsi="Calibri" w:cs="Calibri"/>
        </w:rPr>
      </w:pPr>
      <w:commentRangeStart w:id="12"/>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2"/>
      <w:r>
        <w:rPr>
          <w:rStyle w:val="CommentReference"/>
        </w:rPr>
        <w:commentReference w:id="12"/>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3"/>
      <w:r>
        <w:t>Is NFLX a “buy”?</w:t>
      </w:r>
      <w:commentRangeEnd w:id="13"/>
      <w:r>
        <w:rPr>
          <w:rStyle w:val="CommentReference"/>
        </w:rPr>
        <w:commentReference w:id="13"/>
      </w:r>
    </w:p>
    <w:p w14:paraId="4F8930F4" w14:textId="77777777" w:rsidR="000B3738" w:rsidRDefault="000B3738" w:rsidP="000B3738">
      <w:r w:rsidRPr="003C7695">
        <w:t>It's important to note that past performance is not indicative of future results.</w:t>
      </w:r>
      <w:r>
        <w:t xml:space="preserve">  </w:t>
      </w:r>
      <w:commentRangeStart w:id="14"/>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4"/>
      <w:r>
        <w:rPr>
          <w:rStyle w:val="CommentReference"/>
        </w:rPr>
        <w:commentReference w:id="14"/>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0"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1"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2"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3"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4"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217A2"/>
    <w:rsid w:val="00042034"/>
    <w:rsid w:val="000433B2"/>
    <w:rsid w:val="00044D58"/>
    <w:rsid w:val="00060CB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33B9"/>
    <w:rsid w:val="00464697"/>
    <w:rsid w:val="00464A62"/>
    <w:rsid w:val="00467A4D"/>
    <w:rsid w:val="004706C2"/>
    <w:rsid w:val="00475892"/>
    <w:rsid w:val="004845BD"/>
    <w:rsid w:val="004A584D"/>
    <w:rsid w:val="004B6905"/>
    <w:rsid w:val="004C3A38"/>
    <w:rsid w:val="005040FB"/>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793F"/>
    <w:rsid w:val="00732C89"/>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C55B1"/>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microsoft.com/office/2011/relationships/people" Target="people.xml"/><Relationship Id="rId8"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33582</TotalTime>
  <Pages>20</Pages>
  <Words>3661</Words>
  <Characters>20871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94</cp:revision>
  <dcterms:created xsi:type="dcterms:W3CDTF">2024-05-31T14:20:00Z</dcterms:created>
  <dcterms:modified xsi:type="dcterms:W3CDTF">2024-07-02T14:20:00Z</dcterms:modified>
</cp:coreProperties>
</file>