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9"/>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9"/>
      <w:r w:rsidR="000A261E">
        <w:rPr>
          <w:rStyle w:val="CommentReference"/>
        </w:rPr>
        <w:commentReference w:id="9"/>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6AC1765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A3C52A" w:rsidR="008810AA" w:rsidRDefault="008810AA" w:rsidP="008810AA">
      <w:pPr>
        <w:rPr>
          <w:rFonts w:ascii="Calibri" w:hAnsi="Calibri" w:cs="Calibri"/>
        </w:rPr>
      </w:pPr>
      <w:r>
        <w:rPr>
          <w:rFonts w:ascii="Calibri" w:hAnsi="Calibri" w:cs="Calibri"/>
        </w:rPr>
        <w:lastRenderedPageBreak/>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C6E38CA" w:rsidR="00653173" w:rsidRDefault="00653173" w:rsidP="00653173">
      <w:r>
        <w:t xml:space="preserve">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w:t>
      </w:r>
      <w:r>
        <w:lastRenderedPageBreak/>
        <w:t>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14BF5F41"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0DC59258"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w:t>
      </w:r>
      <w:r w:rsidR="00ED7E76">
        <w:t>with</w:t>
      </w:r>
      <w:r>
        <w:t xml:space="preserve">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commentRangeStart w:id="10"/>
      <w:r>
        <w:t xml:space="preserve">They have much less variability in their cash flows than a company that operates in manufacturing that must maintain a level of current inventory, as an example.  </w:t>
      </w:r>
      <w:commentRangeEnd w:id="10"/>
      <w:r w:rsidR="00AD78ED">
        <w:rPr>
          <w:rStyle w:val="CommentReference"/>
        </w:rPr>
        <w:commentReference w:id="10"/>
      </w:r>
      <w:r>
        <w:t>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5B4A1409" w:rsidR="00653173" w:rsidRDefault="00653173" w:rsidP="00653173">
      <w:r>
        <w:t xml:space="preserve">NFLX is showing a declining trend in their debt-to-equity ratio.  The general explanation </w:t>
      </w:r>
      <w:r w:rsidR="007F0967">
        <w:t>is</w:t>
      </w:r>
      <w:r>
        <w:t xml:space="preserve">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DC8A6FE"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139B437B" w:rsidR="00653173" w:rsidRDefault="00653173" w:rsidP="00653173">
      <w:r>
        <w:rPr>
          <w:rFonts w:ascii="Calibri" w:hAnsi="Calibri" w:cs="Calibri"/>
        </w:rPr>
        <w:t xml:space="preserve">While Total Liabilities have stayed </w:t>
      </w:r>
      <w:proofErr w:type="gramStart"/>
      <w:r>
        <w:rPr>
          <w:rFonts w:ascii="Calibri" w:hAnsi="Calibri" w:cs="Calibri"/>
        </w:rPr>
        <w:t>fairly constant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42F55F" w14:textId="77777777" w:rsidR="00ED7461" w:rsidRDefault="00ED7461" w:rsidP="00653173">
      <w:pPr>
        <w:rPr>
          <w:rFonts w:ascii="Calibri" w:hAnsi="Calibri" w:cs="Calibri"/>
          <w:b/>
          <w:bCs/>
        </w:rPr>
      </w:pPr>
    </w:p>
    <w:p w14:paraId="688B15F0" w14:textId="77777777"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6-25T08:04:00Z" w:initials="KB">
    <w:p w14:paraId="3359AFB6" w14:textId="6499558A" w:rsidR="000A261E" w:rsidRDefault="000A261E" w:rsidP="000A261E">
      <w:pPr>
        <w:pStyle w:val="CommentText"/>
      </w:pPr>
      <w:r>
        <w:rPr>
          <w:rStyle w:val="CommentReference"/>
        </w:rPr>
        <w:annotationRef/>
      </w:r>
      <w:r>
        <w:t>Take another look at this</w:t>
      </w:r>
    </w:p>
  </w:comment>
  <w:comment w:id="10" w:author="Kevin Bray" w:date="2024-07-01T17:13:00Z" w:initials="KB">
    <w:p w14:paraId="7A5B0752" w14:textId="77777777" w:rsidR="00AD78ED" w:rsidRDefault="00AD78ED" w:rsidP="00AD78ED">
      <w:pPr>
        <w:pStyle w:val="CommentText"/>
      </w:pPr>
      <w:r>
        <w:rPr>
          <w:rStyle w:val="CommentReference"/>
        </w:rPr>
        <w:annotationRef/>
      </w:r>
      <w:r>
        <w:t>Should I change this?</w:t>
      </w:r>
    </w:p>
  </w:comment>
  <w:comment w:id="11" w:author="Kevin Bray" w:date="2024-06-24T11:51:00Z" w:initials="KB">
    <w:p w14:paraId="01686B11" w14:textId="17A41DFA" w:rsidR="00653173" w:rsidRDefault="00653173" w:rsidP="00653173">
      <w:pPr>
        <w:pStyle w:val="CommentText"/>
      </w:pPr>
      <w:r>
        <w:rPr>
          <w:rStyle w:val="CommentReference"/>
        </w:rPr>
        <w:annotationRef/>
      </w:r>
      <w:r>
        <w:t>Reword</w:t>
      </w:r>
    </w:p>
  </w:comment>
  <w:comment w:id="12"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359AFB6" w15:done="0"/>
  <w15:commentEx w15:paraId="7A5B0752"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3F33DD2E" w16cex:dateUtc="2024-06-25T12:04:00Z"/>
  <w16cex:commentExtensible w16cex:durableId="210E3B68" w16cex:dateUtc="2024-07-01T21:13: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359AFB6" w16cid:durableId="3F33DD2E"/>
  <w16cid:commentId w16cid:paraId="7A5B0752" w16cid:durableId="210E3B68"/>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C1238"/>
    <w:rsid w:val="008C5287"/>
    <w:rsid w:val="008D2352"/>
    <w:rsid w:val="008F2FB9"/>
    <w:rsid w:val="008F7290"/>
    <w:rsid w:val="00910F7F"/>
    <w:rsid w:val="00913547"/>
    <w:rsid w:val="00917845"/>
    <w:rsid w:val="0096087C"/>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33541</TotalTime>
  <Pages>20</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87</cp:revision>
  <dcterms:created xsi:type="dcterms:W3CDTF">2024-05-31T14:20:00Z</dcterms:created>
  <dcterms:modified xsi:type="dcterms:W3CDTF">2024-07-02T13:39:00Z</dcterms:modified>
</cp:coreProperties>
</file>