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4C14E743" w14:textId="77777777" w:rsidR="00462231" w:rsidRPr="00462231" w:rsidRDefault="00462231" w:rsidP="00462231">
      <w:r w:rsidRPr="00462231">
        <w:t xml:space="preserve">&lt;p </w:t>
      </w:r>
      <w:proofErr w:type="gramStart"/>
      <w:r w:rsidRPr="00462231">
        <w:t>align</w:t>
      </w:r>
      <w:proofErr w:type="gramEnd"/>
      <w:r w:rsidRPr="00462231">
        <w:t>="center"&gt;&lt;</w:t>
      </w:r>
      <w:proofErr w:type="spellStart"/>
      <w:r w:rsidRPr="00462231">
        <w:t>img</w:t>
      </w:r>
      <w:proofErr w:type="spellEnd"/>
      <w:r w:rsidRPr="00462231">
        <w:t xml:space="preserve"> </w:t>
      </w:r>
      <w:proofErr w:type="spellStart"/>
      <w:r w:rsidRPr="00462231">
        <w:t>src</w:t>
      </w:r>
      <w:proofErr w:type="spellEnd"/>
      <w:r w:rsidRPr="00462231">
        <w:t>="</w:t>
      </w:r>
    </w:p>
    <w:p w14:paraId="5AEAD418" w14:textId="77777777" w:rsidR="00462231" w:rsidRPr="00462231" w:rsidRDefault="004B6905" w:rsidP="00462231">
      <w:r w:rsidRPr="004B6905">
        <w:t>https://github.com/k1bray/stock-price-analysis/blob/main/Visuals/netflix_white_background.jpg</w:t>
      </w:r>
      <w:r w:rsidR="00462231" w:rsidRPr="00462231">
        <w:t>" /&gt;&lt;/p&gt;</w:t>
      </w:r>
    </w:p>
    <w:p w14:paraId="58C637AF" w14:textId="7DD7737B" w:rsidR="005515D9" w:rsidRDefault="005515D9" w:rsidP="003C7695"/>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6627A6B3" w14:textId="4C07D3A9" w:rsidR="001B5DC9" w:rsidRDefault="00F30DCD" w:rsidP="003C7695">
      <w:r w:rsidRPr="00F30DCD">
        <w:t>This report is for informational purposes only and should not be considered financial advice. The information presented is based on publicly available data and does not constitute a recommendation to buy or sell any securities, including NFLX stock</w:t>
      </w:r>
      <w:r>
        <w:t xml:space="preserve"> or the SPY exchange traded fund</w:t>
      </w:r>
      <w:r w:rsidRPr="00F30DCD">
        <w:t>. Investing involves inherent risks, and you should always conduct your own research and due diligence before making any investment decisions. Consider consulting with a qualified financial advisor to discuss your specific investment goals and risk tolerance.</w:t>
      </w:r>
    </w:p>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057F698F"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xml:space="preserv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Desktop and G</w:t>
      </w:r>
      <w:r w:rsidR="00245C0C">
        <w:t>it</w:t>
      </w:r>
      <w:r w:rsidR="00804973">
        <w:t>Hub w</w:t>
      </w:r>
      <w:r w:rsidR="00A94960">
        <w:t>ere</w:t>
      </w:r>
      <w:r w:rsidR="00804973">
        <w:t xml:space="preserve">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w:t>
      </w:r>
      <w:r w:rsidR="006634B5">
        <w:lastRenderedPageBreak/>
        <w:t xml:space="preserve">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5CAF0D9"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r w:rsidR="00A94960">
        <w:rPr>
          <w:b/>
          <w:bCs/>
          <w:sz w:val="28"/>
          <w:szCs w:val="28"/>
        </w:rPr>
        <w:t xml:space="preserve"> and charted</w:t>
      </w:r>
      <w:r w:rsidR="00166FBF" w:rsidRPr="00732C89">
        <w:rPr>
          <w:b/>
          <w:bCs/>
          <w:sz w:val="28"/>
          <w:szCs w:val="28"/>
        </w:rPr>
        <w:t>.</w:t>
      </w:r>
    </w:p>
    <w:p w14:paraId="7B9C9531" w14:textId="77777777" w:rsidR="00804973" w:rsidRDefault="00804973" w:rsidP="006634B5"/>
    <w:p w14:paraId="4A6FE1BB" w14:textId="4053FDE4" w:rsidR="00804973" w:rsidRDefault="00804973" w:rsidP="006634B5">
      <w:r>
        <w:rPr>
          <w:noProof/>
        </w:rPr>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6FE88C8D" w14:textId="1930153B" w:rsidR="004D337E" w:rsidRDefault="004B6905" w:rsidP="006634B5">
      <w:proofErr w:type="gramStart"/>
      <w:r>
        <w:t>!</w:t>
      </w:r>
      <w:r w:rsidR="00BD14DC">
        <w:t>[</w:t>
      </w:r>
      <w:proofErr w:type="gramEnd"/>
      <w:r w:rsidR="00A94960">
        <w:t>NFLX vs SPY with SMA</w:t>
      </w:r>
      <w:r w:rsidR="00BD14DC">
        <w:t>]</w:t>
      </w:r>
      <w:r>
        <w:t>(</w:t>
      </w:r>
      <w:r w:rsidRPr="004B6905">
        <w:t xml:space="preserve"> https://github.com/k1bray/stock-price-analysis/blob/main/Visuals/nflx_vs_spy_sma.png</w:t>
      </w:r>
      <w:r>
        <w:t>)</w:t>
      </w:r>
    </w:p>
    <w:p w14:paraId="18255A57" w14:textId="47BBDA20" w:rsidR="004D337E" w:rsidRDefault="004D337E" w:rsidP="006634B5">
      <w:r>
        <w:t xml:space="preserve">Please click </w:t>
      </w:r>
      <w:commentRangeStart w:id="3"/>
      <w:r>
        <w:t xml:space="preserve">[here] </w:t>
      </w:r>
      <w:commentRangeEnd w:id="3"/>
      <w:r>
        <w:rPr>
          <w:rStyle w:val="CommentReference"/>
        </w:rPr>
        <w:commentReference w:id="3"/>
      </w:r>
      <w:r>
        <w:t>for an interactive version of the chart above.</w:t>
      </w:r>
    </w:p>
    <w:p w14:paraId="5C5F6804" w14:textId="1A5DC62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w:t>
      </w:r>
      <w:r w:rsidR="00A94960">
        <w:t>o</w:t>
      </w:r>
      <w:r w:rsidR="006F793F">
        <w:t xml:space="preserve">utlook </w:t>
      </w:r>
      <w:r w:rsidR="0039697A">
        <w:t>held by the</w:t>
      </w:r>
      <w:r w:rsidR="006F793F">
        <w:t xml:space="preserve"> individual.</w:t>
      </w:r>
    </w:p>
    <w:p w14:paraId="4D9DB970" w14:textId="5D634EC1" w:rsidR="0044428D" w:rsidRDefault="006F793F" w:rsidP="006634B5">
      <w:r>
        <w:lastRenderedPageBreak/>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1CDCD8CD" w14:textId="77777777" w:rsidR="005109EE"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w:t>
      </w:r>
      <w:commentRangeStart w:id="4"/>
      <w:r w:rsidR="00C83E58">
        <w:t>Golden Cross</w:t>
      </w:r>
      <w:commentRangeEnd w:id="4"/>
      <w:r w:rsidR="00831CCF">
        <w:rPr>
          <w:rStyle w:val="CommentReference"/>
        </w:rPr>
        <w:commentReference w:id="4"/>
      </w:r>
      <w:r w:rsidR="00C83E58">
        <w:t>”</w:t>
      </w:r>
      <w:r>
        <w:t>.</w:t>
      </w:r>
      <w:r w:rsidR="00A94960">
        <w:t xml:space="preserve">  An example of a golden cross can be seen using the NFLX chart on 11/14/2023 when the 30-day SMA crossed over the 50-day SMA.</w:t>
      </w:r>
      <w:r>
        <w:t xml:space="preserve">  Conversely, a shorter-term </w:t>
      </w:r>
      <w:r w:rsidR="001E641E">
        <w:t>SMA</w:t>
      </w:r>
      <w:r>
        <w:t xml:space="preserve"> crossing below a longer-term </w:t>
      </w:r>
      <w:r w:rsidR="001E641E">
        <w:t>SMA</w:t>
      </w:r>
      <w:r>
        <w:t xml:space="preserve"> could be a sell signal</w:t>
      </w:r>
      <w:r w:rsidR="00C83E58">
        <w:t>, or what is referred to as a “</w:t>
      </w:r>
      <w:commentRangeStart w:id="5"/>
      <w:r w:rsidR="00C83E58">
        <w:t>Death Cross</w:t>
      </w:r>
      <w:commentRangeEnd w:id="5"/>
      <w:r w:rsidR="00831CCF">
        <w:rPr>
          <w:rStyle w:val="CommentReference"/>
        </w:rPr>
        <w:commentReference w:id="5"/>
      </w:r>
      <w:r w:rsidR="00C83E58">
        <w:t>”</w:t>
      </w:r>
      <w:r>
        <w:t>.</w:t>
      </w:r>
      <w:r w:rsidR="005109EE">
        <w:t xml:space="preserve">  An example of a death cross can be seen using the NFLX chart on 08/02/2019 when the 30-day, 50-day, and 200-day SMA all inverted.</w:t>
      </w:r>
    </w:p>
    <w:p w14:paraId="265F9C3B" w14:textId="1F7BDC27" w:rsidR="00B520AA" w:rsidRDefault="005109EE" w:rsidP="006634B5">
      <w:r>
        <w:t>Crossing SMAs</w:t>
      </w:r>
      <w:r w:rsidR="00194CFF">
        <w:t xml:space="preserve">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64A9296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r w:rsidR="006F1902">
        <w:rPr>
          <w:b/>
          <w:bCs/>
          <w:sz w:val="28"/>
          <w:szCs w:val="28"/>
        </w:rPr>
        <w:t xml:space="preserve"> and charted</w:t>
      </w:r>
      <w:r w:rsidR="00166FBF" w:rsidRPr="00732C89">
        <w:rPr>
          <w:b/>
          <w:bCs/>
          <w:sz w:val="28"/>
          <w:szCs w:val="28"/>
        </w:rPr>
        <w:t>.</w:t>
      </w:r>
    </w:p>
    <w:p w14:paraId="3A9FBADE" w14:textId="1D7681C7" w:rsidR="00804973" w:rsidRDefault="00804973" w:rsidP="00C83E58">
      <w:pPr>
        <w:tabs>
          <w:tab w:val="left" w:pos="1668"/>
        </w:tabs>
      </w:pPr>
      <w:r>
        <w:rPr>
          <w:noProof/>
        </w:rPr>
        <w:lastRenderedPageBreak/>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495F561" w:rsidR="00BD14DC" w:rsidRDefault="004B6905" w:rsidP="00C83E58">
      <w:pPr>
        <w:tabs>
          <w:tab w:val="left" w:pos="1668"/>
        </w:tabs>
      </w:pPr>
      <w:proofErr w:type="gramStart"/>
      <w:r>
        <w:t>!</w:t>
      </w:r>
      <w:r w:rsidR="00BD14DC">
        <w:t>[</w:t>
      </w:r>
      <w:proofErr w:type="gramEnd"/>
      <w:r w:rsidR="00A51EB4">
        <w:t>NFLX vs SPY with HV</w:t>
      </w:r>
      <w:r w:rsidR="00BD14DC">
        <w:t>]</w:t>
      </w:r>
      <w:r>
        <w:t>(</w:t>
      </w:r>
      <w:r w:rsidRPr="004B6905">
        <w:t xml:space="preserve"> https://github.com/k1bray/stock-price-analysis/blob/main/Visuals/nflx_vs_spy_hv.png</w:t>
      </w:r>
      <w:r>
        <w:t>)</w:t>
      </w:r>
    </w:p>
    <w:p w14:paraId="4F4346EA" w14:textId="392A6D6F" w:rsidR="004D337E" w:rsidRDefault="004D337E" w:rsidP="00C83E58">
      <w:pPr>
        <w:tabs>
          <w:tab w:val="left" w:pos="1668"/>
        </w:tabs>
      </w:pPr>
      <w:r>
        <w:t xml:space="preserve">Please click </w:t>
      </w:r>
      <w:commentRangeStart w:id="6"/>
      <w:r>
        <w:t xml:space="preserve">[here] </w:t>
      </w:r>
      <w:commentRangeEnd w:id="6"/>
      <w:r>
        <w:rPr>
          <w:rStyle w:val="CommentReference"/>
        </w:rPr>
        <w:commentReference w:id="6"/>
      </w:r>
      <w:r>
        <w:t>for an interactive version of the chart above.</w:t>
      </w:r>
    </w:p>
    <w:p w14:paraId="76B28D15" w14:textId="0A0A7BFD" w:rsidR="00C83E58" w:rsidRDefault="00C83E58" w:rsidP="00C83E58">
      <w:pPr>
        <w:tabs>
          <w:tab w:val="left" w:pos="1668"/>
        </w:tabs>
      </w:pPr>
      <w:commentRangeStart w:id="7"/>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7"/>
      <w:r>
        <w:rPr>
          <w:rStyle w:val="CommentReference"/>
        </w:rPr>
        <w:commentReference w:id="7"/>
      </w:r>
    </w:p>
    <w:p w14:paraId="657C9324" w14:textId="3D1690A4"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w:t>
      </w:r>
      <w:r w:rsidR="007E0596">
        <w:lastRenderedPageBreak/>
        <w:t xml:space="preserve">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w:t>
      </w:r>
      <w:proofErr w:type="gramStart"/>
      <w:r w:rsidR="00C83E58" w:rsidRPr="00732C89">
        <w:rPr>
          <w:b/>
          <w:bCs/>
          <w:sz w:val="28"/>
          <w:szCs w:val="28"/>
        </w:rPr>
        <w:t>in a given</w:t>
      </w:r>
      <w:proofErr w:type="gramEnd"/>
      <w:r w:rsidR="00C83E58" w:rsidRPr="00732C89">
        <w:rPr>
          <w:b/>
          <w:bCs/>
          <w:sz w:val="28"/>
          <w:szCs w:val="28"/>
        </w:rPr>
        <w:t xml:space="preserve">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This suggests some level of consistency, but it's important to remember that past performance isn't a guarantee of future results. 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t>###</w:t>
      </w:r>
      <w:r w:rsidR="00994396">
        <w:rPr>
          <w:b/>
          <w:bCs/>
          <w:sz w:val="28"/>
          <w:szCs w:val="28"/>
        </w:rPr>
        <w:t xml:space="preserve"> </w:t>
      </w:r>
      <w:r w:rsidR="00D23742" w:rsidRPr="00732C89">
        <w:rPr>
          <w:b/>
          <w:bCs/>
          <w:sz w:val="28"/>
          <w:szCs w:val="28"/>
        </w:rPr>
        <w:t xml:space="preserve">How often </w:t>
      </w:r>
      <w:proofErr w:type="gramStart"/>
      <w:r w:rsidR="00D23742" w:rsidRPr="00732C89">
        <w:rPr>
          <w:b/>
          <w:bCs/>
          <w:sz w:val="28"/>
          <w:szCs w:val="28"/>
        </w:rPr>
        <w:t>in a given</w:t>
      </w:r>
      <w:proofErr w:type="gramEnd"/>
      <w:r w:rsidR="00D23742" w:rsidRPr="00732C89">
        <w:rPr>
          <w:b/>
          <w:bCs/>
          <w:sz w:val="28"/>
          <w:szCs w:val="28"/>
        </w:rPr>
        <w:t xml:space="preserve">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lastRenderedPageBreak/>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4685D5DB" w:rsidR="00166FBF" w:rsidRDefault="00166FBF" w:rsidP="003C7695">
      <w:r>
        <w:t>The yearly percentage return was calculated for each year since the NFLX IPO.  A point to note is that</w:t>
      </w:r>
      <w:r w:rsidR="00C0683C">
        <w:t xml:space="preserve"> returns for</w:t>
      </w:r>
      <w:r>
        <w:t xml:space="preserve"> both the years 2002 and 2024 were based on incomplete periods.</w:t>
      </w:r>
    </w:p>
    <w:p w14:paraId="5822114B" w14:textId="452B84A0" w:rsidR="00042034" w:rsidRDefault="00042034" w:rsidP="003C7695">
      <w:r>
        <w:rPr>
          <w:noProof/>
        </w:rPr>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32C942D4" w:rsidR="00C83E58" w:rsidRDefault="004B6905" w:rsidP="003C7695">
      <w:proofErr w:type="gramStart"/>
      <w:r>
        <w:t>!</w:t>
      </w:r>
      <w:r w:rsidR="00BD14DC">
        <w:t>[</w:t>
      </w:r>
      <w:proofErr w:type="gramEnd"/>
      <w:r w:rsidR="007B5B1D">
        <w:t>NFLX vs SPY Annual % Return</w:t>
      </w:r>
      <w:r w:rsidR="00BD14DC">
        <w:t>]</w:t>
      </w:r>
      <w:r>
        <w:t>(</w:t>
      </w:r>
      <w:r w:rsidRPr="004B6905">
        <w:t xml:space="preserve"> https://github.com/k1bray/stock-price-analysis/blob/main/Visuals/nflx_vs_spy_annual_pct_return.png</w:t>
      </w:r>
      <w:r>
        <w:t>)</w:t>
      </w:r>
    </w:p>
    <w:p w14:paraId="34EBFB99" w14:textId="77777777" w:rsidR="004D337E" w:rsidRDefault="004D337E" w:rsidP="004D337E">
      <w:r>
        <w:t xml:space="preserve">Please click </w:t>
      </w:r>
      <w:commentRangeStart w:id="8"/>
      <w:r>
        <w:t xml:space="preserve">[here] </w:t>
      </w:r>
      <w:commentRangeEnd w:id="8"/>
      <w:r>
        <w:rPr>
          <w:rStyle w:val="CommentReference"/>
        </w:rPr>
        <w:commentReference w:id="8"/>
      </w:r>
      <w:r>
        <w:t>for an interactive version of the chart above.</w:t>
      </w:r>
    </w:p>
    <w:p w14:paraId="0FEF105F" w14:textId="77777777" w:rsidR="00AF5A1A" w:rsidRDefault="00AF5A1A" w:rsidP="003C7695"/>
    <w:p w14:paraId="03939F87" w14:textId="2084647F" w:rsidR="00F93E53" w:rsidRPr="00F93E53" w:rsidRDefault="00F93E53" w:rsidP="00F93E53">
      <w:r w:rsidRPr="00F93E53">
        <w:lastRenderedPageBreak/>
        <w:t>The chart above highlights a trend towards greater stability in NFLX's annual percentage returns over the past decade compared to its earlier years. However, it's important to remember</w:t>
      </w:r>
      <w:r w:rsidR="00286ED0">
        <w:t xml:space="preserve"> and re-state</w:t>
      </w:r>
      <w:r w:rsidRPr="00F93E53">
        <w:t xml:space="preserve"> that past performance is not a guarantee of future results.</w:t>
      </w:r>
    </w:p>
    <w:p w14:paraId="477398F1" w14:textId="6DFAC685" w:rsidR="00F93E53" w:rsidRPr="00F93E53" w:rsidRDefault="00F93E53" w:rsidP="00F93E53">
      <w:r w:rsidRPr="00F93E53">
        <w:t xml:space="preserve">While NFLX has historically delivered higher annual returns than SPY (as shown over their publicly traded lifetimes), SPY's returns appear to be more consistent, potentially reflecting </w:t>
      </w:r>
      <w:r w:rsidR="005040FB">
        <w:t xml:space="preserve">the </w:t>
      </w:r>
      <w:r w:rsidRPr="00F93E53">
        <w:t xml:space="preserve">lower </w:t>
      </w:r>
      <w:r w:rsidR="00D51CDE" w:rsidRPr="00F93E53">
        <w:t xml:space="preserve">volatility </w:t>
      </w:r>
      <w:r w:rsidR="00D51CDE">
        <w:t>that</w:t>
      </w:r>
      <w:r w:rsidR="005040FB">
        <w:t xml:space="preserve"> was </w:t>
      </w:r>
      <w:r w:rsidRPr="00F93E53">
        <w:t xml:space="preserve">discussed </w:t>
      </w:r>
      <w:r w:rsidR="005040FB">
        <w:t>earlier</w:t>
      </w:r>
      <w:r w:rsidRPr="00F93E53">
        <w:t xml:space="preserve"> in the report. </w:t>
      </w:r>
      <w:r w:rsidR="00553F1F">
        <w:t>However, traders/investors should always bear in mind that t</w:t>
      </w:r>
      <w:r w:rsidRPr="00F93E53">
        <w:t>he stock market itself, even a broad index like SPY, carries inherent risk</w:t>
      </w:r>
      <w:r w:rsidR="00553F1F">
        <w:t xml:space="preserve"> that needs to be kept in context and properly respected</w:t>
      </w:r>
      <w:r w:rsidRPr="00F93E53">
        <w:t>.</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6448EB15" w:rsidR="00F93E53" w:rsidRDefault="00F93E53" w:rsidP="00166FBF">
      <w:r w:rsidRPr="00F93E53">
        <w:t>To assess the historical long-term performance of NFLX stock, the potential return</w:t>
      </w:r>
      <w:r w:rsidR="00F571DD">
        <w:t xml:space="preserve"> was analyzed</w:t>
      </w:r>
      <w:r w:rsidRPr="00F93E53">
        <w:t xml:space="preserve"> using a hypothetical $100 investment made on the IPO date, May 23, 2002 (split-adjusted). The 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r w:rsidR="00FB58D2">
        <w:rPr>
          <w:b/>
          <w:bCs/>
          <w:sz w:val="28"/>
          <w:szCs w:val="28"/>
        </w:rPr>
        <w:t>Analysis of NFLX Financials</w:t>
      </w:r>
    </w:p>
    <w:p w14:paraId="17469DC5" w14:textId="6E1755FE" w:rsidR="00DC562A" w:rsidRDefault="00DC562A" w:rsidP="003C7695">
      <w:r>
        <w:t xml:space="preserve">NFLX Q1 2024 financial statements can be seen </w:t>
      </w:r>
      <w:commentRangeStart w:id="9"/>
      <w:r>
        <w:fldChar w:fldCharType="begin"/>
      </w:r>
      <w:r>
        <w:instrText>HYPERLINK "https://ir.netflix.net/financials/financial-statements/default.aspx"</w:instrText>
      </w:r>
      <w:r>
        <w:fldChar w:fldCharType="separate"/>
      </w:r>
      <w:r>
        <w:rPr>
          <w:rStyle w:val="Hyperlink"/>
        </w:rPr>
        <w:t>here</w:t>
      </w:r>
      <w:r>
        <w:fldChar w:fldCharType="end"/>
      </w:r>
      <w:commentRangeEnd w:id="9"/>
      <w:r>
        <w:rPr>
          <w:rStyle w:val="CommentReference"/>
        </w:rPr>
        <w:commentReference w:id="9"/>
      </w:r>
      <w:r>
        <w:t>.</w:t>
      </w:r>
    </w:p>
    <w:p w14:paraId="6C2C59DF" w14:textId="0DC44E49" w:rsidR="004143E6" w:rsidRDefault="00382185" w:rsidP="00653173">
      <w:commentRangeStart w:id="10"/>
      <w:r>
        <w:t>Citations?</w:t>
      </w:r>
      <w:commentRangeEnd w:id="10"/>
      <w:r>
        <w:rPr>
          <w:rStyle w:val="CommentReference"/>
        </w:rPr>
        <w:commentReference w:id="10"/>
      </w:r>
    </w:p>
    <w:p w14:paraId="469B36F9" w14:textId="7C60B409" w:rsidR="0001379D" w:rsidRDefault="00000000" w:rsidP="00653173">
      <w:hyperlink r:id="rId19" w:history="1">
        <w:r w:rsidR="0001379D" w:rsidRPr="00C5379E">
          <w:rPr>
            <w:rStyle w:val="Hyperlink"/>
          </w:rPr>
          <w:t>https://ir.netflix.net/financials/quarterly-earnings/default.aspx</w:t>
        </w:r>
      </w:hyperlink>
    </w:p>
    <w:p w14:paraId="6605951B" w14:textId="1B0A8EC9" w:rsidR="005060CD" w:rsidRDefault="00000000" w:rsidP="00653173">
      <w:hyperlink r:id="rId20" w:history="1">
        <w:r w:rsidR="004A6E43" w:rsidRPr="00C5379E">
          <w:rPr>
            <w:rStyle w:val="Hyperlink"/>
          </w:rPr>
          <w:t>https://www.investopedia.com/netflix-s-better-than-expected-q4-revenue-got-a-boost-from-strong-subscriber-growth-8547829</w:t>
        </w:r>
      </w:hyperlink>
    </w:p>
    <w:p w14:paraId="7D6D2EF1" w14:textId="7F25413B" w:rsidR="005060CD" w:rsidRDefault="00000000" w:rsidP="00653173">
      <w:hyperlink r:id="rId21" w:anchor=":~:text=Netflix%20lost%20net%20subscribers%20for,its%20bid%20to%20reestablish%20growth" w:history="1">
        <w:r w:rsidR="005060CD" w:rsidRPr="00C5379E">
          <w:rPr>
            <w:rStyle w:val="Hyperlink"/>
          </w:rPr>
          <w:t>https://www.investopedia.com/netflix-looks-to-accelerate-revenue-and-subscriber-growth-for-q4-8546779#:~:text=Netflix%20lost%20net%20subscribers%20for,its%20bid%20to%20reestablish%20growth</w:t>
        </w:r>
      </w:hyperlink>
      <w:r w:rsidR="005060CD" w:rsidRPr="005060CD">
        <w:t>.</w:t>
      </w:r>
    </w:p>
    <w:p w14:paraId="2EBBD1BF" w14:textId="1A8EBD05" w:rsidR="005060CD" w:rsidRDefault="00000000" w:rsidP="00653173">
      <w:hyperlink r:id="rId22" w:history="1">
        <w:r w:rsidR="005060CD" w:rsidRPr="00C5379E">
          <w:rPr>
            <w:rStyle w:val="Hyperlink"/>
          </w:rPr>
          <w:t>https://www.similarweb.com/blog/insights/media-entertainment-news/streaming-q1-2023/</w:t>
        </w:r>
      </w:hyperlink>
    </w:p>
    <w:p w14:paraId="0068DB79" w14:textId="06DD8940" w:rsidR="005060CD" w:rsidRDefault="00000000" w:rsidP="00653173">
      <w:hyperlink r:id="rId23" w:history="1">
        <w:r w:rsidR="00A1584F" w:rsidRPr="00C5379E">
          <w:rPr>
            <w:rStyle w:val="Hyperlink"/>
          </w:rPr>
          <w:t>https://s22.q4cdn.com/959853165/files/doc_financials/2022/q4/Netflix,-Inc.,-Q4-2022-Earnings-Call,-Jan-19,-2023.pdf</w:t>
        </w:r>
      </w:hyperlink>
    </w:p>
    <w:p w14:paraId="5C21CD6A" w14:textId="53CB7CB6" w:rsidR="00A1584F" w:rsidRDefault="00000000" w:rsidP="00653173">
      <w:hyperlink r:id="rId24" w:history="1">
        <w:r w:rsidR="00A1584F" w:rsidRPr="00C5379E">
          <w:rPr>
            <w:rStyle w:val="Hyperlink"/>
          </w:rPr>
          <w:t>https://s22.q4cdn.com/959853165/files/doc_financials/2022/q4/FINAL-Q4-22-Shareholder-Letter.pdf</w:t>
        </w:r>
      </w:hyperlink>
    </w:p>
    <w:p w14:paraId="3B92344B" w14:textId="77777777" w:rsidR="00A1584F" w:rsidRPr="00382185" w:rsidRDefault="00A1584F" w:rsidP="00653173"/>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drawing>
          <wp:inline distT="0" distB="0" distL="0" distR="0" wp14:anchorId="73498BA6" wp14:editId="7F14633F">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7774BC9" w14:textId="55549869" w:rsidR="0073380A" w:rsidRDefault="0073380A" w:rsidP="0073380A">
      <w:proofErr w:type="gramStart"/>
      <w:r>
        <w:t>![</w:t>
      </w:r>
      <w:proofErr w:type="gramEnd"/>
      <w:r w:rsidR="00ED782D">
        <w:t>Top-Line R</w:t>
      </w:r>
      <w:r>
        <w:t>evenue](</w:t>
      </w:r>
      <w:r w:rsidRPr="0073380A">
        <w:t>https://github.com/k1bray/stock-price-analysis/blob/main/Visuals/01_revenue.png</w:t>
      </w:r>
      <w:r>
        <w:t>)</w:t>
      </w:r>
    </w:p>
    <w:p w14:paraId="014C4ECA" w14:textId="77777777" w:rsidR="0073380A" w:rsidRDefault="0073380A" w:rsidP="00653173"/>
    <w:p w14:paraId="5AB41CB6" w14:textId="60733E07" w:rsidR="00653173" w:rsidRDefault="00653173" w:rsidP="00653173">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p>
    <w:p w14:paraId="6F5E3220" w14:textId="77777777" w:rsidR="004143E6" w:rsidRDefault="004143E6" w:rsidP="00653173"/>
    <w:p w14:paraId="4ABE4C8E" w14:textId="1519DC1E" w:rsidR="00653173" w:rsidRDefault="001C73C3" w:rsidP="00653173">
      <w:r>
        <w:rPr>
          <w:noProof/>
        </w:rPr>
        <w:lastRenderedPageBreak/>
        <w:drawing>
          <wp:inline distT="0" distB="0" distL="0" distR="0" wp14:anchorId="1C1E1922" wp14:editId="19F157C4">
            <wp:extent cx="4566285" cy="2743200"/>
            <wp:effectExtent l="0" t="0" r="5715" b="0"/>
            <wp:docPr id="13680478"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B245BE7" w14:textId="239BCD3E" w:rsidR="0073380A" w:rsidRDefault="0073380A" w:rsidP="00653173">
      <w:proofErr w:type="gramStart"/>
      <w:r>
        <w:t>![</w:t>
      </w:r>
      <w:proofErr w:type="gramEnd"/>
      <w:r w:rsidR="00EB597F">
        <w:t>Q</w:t>
      </w:r>
      <w:r w:rsidRPr="0073380A">
        <w:t>uarterly</w:t>
      </w:r>
      <w:r w:rsidR="00EB597F">
        <w:t xml:space="preserve"> </w:t>
      </w:r>
      <w:r w:rsidRPr="0073380A">
        <w:t>%</w:t>
      </w:r>
      <w:r w:rsidR="00EB597F">
        <w:t xml:space="preserve"> C</w:t>
      </w:r>
      <w:r w:rsidRPr="0073380A">
        <w:t>hange</w:t>
      </w:r>
      <w:r w:rsidR="00EB597F">
        <w:t xml:space="preserve"> </w:t>
      </w:r>
      <w:r w:rsidRPr="0073380A">
        <w:t>in</w:t>
      </w:r>
      <w:r w:rsidR="00EB597F">
        <w:t xml:space="preserve"> R</w:t>
      </w:r>
      <w:r w:rsidRPr="0073380A">
        <w:t>evenue</w:t>
      </w:r>
      <w:r>
        <w:t>](</w:t>
      </w:r>
      <w:r w:rsidRPr="0073380A">
        <w:t>https://github.com/k1bray/stock-price-analysis/blob/main/Visuals/02_quarterly_%25_change_in_revenue.png</w:t>
      </w:r>
      <w:r>
        <w:t>)</w:t>
      </w:r>
    </w:p>
    <w:p w14:paraId="75C0B1D6" w14:textId="77777777" w:rsidR="00EB146B" w:rsidRDefault="00EB146B" w:rsidP="00653173"/>
    <w:p w14:paraId="018BC6A5" w14:textId="5A50CC74" w:rsidR="00653173" w:rsidRDefault="00653173" w:rsidP="00653173">
      <w:r>
        <w:t>The</w:t>
      </w:r>
      <w:r w:rsidR="001E0FE3">
        <w:t xml:space="preserve"> </w:t>
      </w:r>
      <w:r>
        <w:t>consistency of revenue growth demonstrates the strength of the NFLX business model, as well as their placement among their competitors with respect to capturing market share.</w:t>
      </w:r>
      <w:r w:rsidR="001E0FE3">
        <w:t xml:space="preserve">  Although the data being analyzed is from a relatively short timeframe, the current trend appears promising.</w:t>
      </w:r>
      <w:r w:rsidR="001C73C3">
        <w:t xml:space="preserve">  The chart above shows the percent change quarter-over-quarter for top-line revenue</w:t>
      </w:r>
      <w:r w:rsidR="004605B5">
        <w:t xml:space="preserve"> exhibiting an obvious upward trend over the past 2 years</w:t>
      </w:r>
      <w:r w:rsidR="001C73C3">
        <w:t>.</w:t>
      </w:r>
    </w:p>
    <w:p w14:paraId="6A50605C" w14:textId="77777777" w:rsidR="00653173" w:rsidRDefault="00653173" w:rsidP="00653173"/>
    <w:p w14:paraId="023154AE" w14:textId="77777777" w:rsidR="00160667" w:rsidRDefault="00160667" w:rsidP="00160667">
      <w:r>
        <w:rPr>
          <w:b/>
          <w:bCs/>
        </w:rPr>
        <w:t>Profitability Analysis</w:t>
      </w:r>
    </w:p>
    <w:p w14:paraId="288DA103" w14:textId="092ACA2C" w:rsidR="00653173" w:rsidRDefault="00653173" w:rsidP="00653173">
      <w:r w:rsidRPr="006A2924">
        <w:rPr>
          <w:b/>
          <w:bCs/>
        </w:rPr>
        <w:t>Net Income</w:t>
      </w:r>
      <w:r w:rsidR="008810AA">
        <w:rPr>
          <w:b/>
          <w:bCs/>
        </w:rPr>
        <w:t xml:space="preserve"> &amp; Operating income</w:t>
      </w:r>
    </w:p>
    <w:p w14:paraId="78EA9A0B" w14:textId="18B0340C" w:rsidR="000A261E" w:rsidRPr="008810AA" w:rsidRDefault="00FB3A0C" w:rsidP="00653173">
      <w:r>
        <w:rPr>
          <w:noProof/>
        </w:rPr>
        <w:lastRenderedPageBreak/>
        <w:drawing>
          <wp:inline distT="0" distB="0" distL="0" distR="0" wp14:anchorId="3AC97FC9" wp14:editId="13402342">
            <wp:extent cx="4579620" cy="2743200"/>
            <wp:effectExtent l="0" t="0" r="11430" b="0"/>
            <wp:docPr id="1032945160" name="Chart 1">
              <a:extLst xmlns:a="http://schemas.openxmlformats.org/drawingml/2006/main">
                <a:ext uri="{FF2B5EF4-FFF2-40B4-BE49-F238E27FC236}">
                  <a16:creationId xmlns:a16="http://schemas.microsoft.com/office/drawing/2014/main" id="{E7C81A5B-2F73-1105-A259-F0C70A9D9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0F3DDCA" w14:textId="3EDCBB78" w:rsidR="008810AA" w:rsidRDefault="0073380A" w:rsidP="00653173">
      <w:pPr>
        <w:rPr>
          <w:rFonts w:ascii="Calibri" w:hAnsi="Calibri" w:cs="Calibri"/>
        </w:rPr>
      </w:pPr>
      <w:proofErr w:type="gramStart"/>
      <w:r>
        <w:rPr>
          <w:rFonts w:ascii="Calibri" w:hAnsi="Calibri" w:cs="Calibri"/>
        </w:rPr>
        <w:t>![</w:t>
      </w:r>
      <w:proofErr w:type="gramEnd"/>
      <w:r w:rsidR="00EB597F">
        <w:rPr>
          <w:rFonts w:ascii="Calibri" w:hAnsi="Calibri" w:cs="Calibri"/>
        </w:rPr>
        <w:t>N</w:t>
      </w:r>
      <w:r w:rsidRPr="0073380A">
        <w:rPr>
          <w:rFonts w:ascii="Calibri" w:hAnsi="Calibri" w:cs="Calibri"/>
        </w:rPr>
        <w:t>et</w:t>
      </w:r>
      <w:r w:rsidR="00EB597F">
        <w:rPr>
          <w:rFonts w:ascii="Calibri" w:hAnsi="Calibri" w:cs="Calibri"/>
        </w:rPr>
        <w:t xml:space="preserve"> &amp; O</w:t>
      </w:r>
      <w:r w:rsidRPr="0073380A">
        <w:rPr>
          <w:rFonts w:ascii="Calibri" w:hAnsi="Calibri" w:cs="Calibri"/>
        </w:rPr>
        <w:t>perating</w:t>
      </w:r>
      <w:r w:rsidR="00EB597F">
        <w:rPr>
          <w:rFonts w:ascii="Calibri" w:hAnsi="Calibri" w:cs="Calibri"/>
        </w:rPr>
        <w:t xml:space="preserve"> I</w:t>
      </w:r>
      <w:r w:rsidRPr="0073380A">
        <w:rPr>
          <w:rFonts w:ascii="Calibri" w:hAnsi="Calibri" w:cs="Calibri"/>
        </w:rPr>
        <w:t>ncome</w:t>
      </w:r>
      <w:r>
        <w:rPr>
          <w:rFonts w:ascii="Calibri" w:hAnsi="Calibri" w:cs="Calibri"/>
        </w:rPr>
        <w:t>](</w:t>
      </w:r>
      <w:r w:rsidRPr="0073380A">
        <w:rPr>
          <w:rFonts w:ascii="Calibri" w:hAnsi="Calibri" w:cs="Calibri"/>
        </w:rPr>
        <w:t>https://github.com/k1bray/stock-price-analysis/blob/main/Visuals/03_net_%26_operating_income.png</w:t>
      </w:r>
      <w:r>
        <w:rPr>
          <w:rFonts w:ascii="Calibri" w:hAnsi="Calibri" w:cs="Calibri"/>
        </w:rPr>
        <w:t>)</w:t>
      </w:r>
    </w:p>
    <w:p w14:paraId="53476A55" w14:textId="77777777" w:rsidR="00EB146B" w:rsidRDefault="00EB146B" w:rsidP="008810AA">
      <w:pPr>
        <w:rPr>
          <w:rFonts w:ascii="Calibri" w:hAnsi="Calibri" w:cs="Calibri"/>
        </w:rPr>
      </w:pPr>
    </w:p>
    <w:p w14:paraId="49D962AB" w14:textId="4FC8B486" w:rsidR="008810AA" w:rsidRDefault="008810AA" w:rsidP="008810AA">
      <w:pPr>
        <w:rPr>
          <w:rFonts w:ascii="Calibri" w:hAnsi="Calibri" w:cs="Calibri"/>
        </w:rPr>
      </w:pPr>
      <w:r>
        <w:rPr>
          <w:rFonts w:ascii="Calibri" w:hAnsi="Calibri" w:cs="Calibri"/>
        </w:rPr>
        <w:t xml:space="preserve">In the chart above, the </w:t>
      </w:r>
      <w:r w:rsidR="009A0E16">
        <w:rPr>
          <w:rFonts w:ascii="Calibri" w:hAnsi="Calibri" w:cs="Calibri"/>
        </w:rPr>
        <w:t>difference</w:t>
      </w:r>
      <w:r>
        <w:rPr>
          <w:rFonts w:ascii="Calibri" w:hAnsi="Calibri" w:cs="Calibri"/>
        </w:rPr>
        <w:t xml:space="preserve"> between the net and operating income </w:t>
      </w:r>
      <w:r w:rsidR="009A0E16">
        <w:rPr>
          <w:rFonts w:ascii="Calibri" w:hAnsi="Calibri" w:cs="Calibri"/>
        </w:rPr>
        <w:t>represents</w:t>
      </w:r>
      <w:r>
        <w:rPr>
          <w:rFonts w:ascii="Calibri" w:hAnsi="Calibri" w:cs="Calibri"/>
        </w:rPr>
        <w:t xml:space="preserve"> the non-operating expenses</w:t>
      </w:r>
      <w:r w:rsidR="008A61BD">
        <w:rPr>
          <w:rFonts w:ascii="Calibri" w:hAnsi="Calibri" w:cs="Calibri"/>
        </w:rPr>
        <w:t xml:space="preserve"> </w:t>
      </w:r>
      <w:r w:rsidR="00EB597F">
        <w:rPr>
          <w:rFonts w:ascii="Calibri" w:hAnsi="Calibri" w:cs="Calibri"/>
        </w:rPr>
        <w:t>for</w:t>
      </w:r>
      <w:r w:rsidR="008A61BD">
        <w:rPr>
          <w:rFonts w:ascii="Calibri" w:hAnsi="Calibri" w:cs="Calibri"/>
        </w:rPr>
        <w:t xml:space="preserve"> that quarter</w:t>
      </w:r>
      <w:r>
        <w:rPr>
          <w:rFonts w:ascii="Calibri" w:hAnsi="Calibri" w:cs="Calibri"/>
        </w:rPr>
        <w:t>.  Whe</w:t>
      </w:r>
      <w:r w:rsidR="004605B5">
        <w:rPr>
          <w:rFonts w:ascii="Calibri" w:hAnsi="Calibri" w:cs="Calibri"/>
        </w:rPr>
        <w:t>re</w:t>
      </w:r>
      <w:r>
        <w:rPr>
          <w:rFonts w:ascii="Calibri" w:hAnsi="Calibri" w:cs="Calibri"/>
        </w:rPr>
        <w:t xml:space="preserve"> they get wider apart from each other </w:t>
      </w:r>
      <w:r w:rsidR="008A61BD">
        <w:rPr>
          <w:rFonts w:ascii="Calibri" w:hAnsi="Calibri" w:cs="Calibri"/>
        </w:rPr>
        <w:t>shows</w:t>
      </w:r>
      <w:r>
        <w:rPr>
          <w:rFonts w:ascii="Calibri" w:hAnsi="Calibri" w:cs="Calibri"/>
        </w:rPr>
        <w:t xml:space="preserve"> areas where NFLX was potentially less efficient at controlling those non-operating expenses.</w:t>
      </w:r>
    </w:p>
    <w:p w14:paraId="5B93E9BC" w14:textId="5C1FE4FE" w:rsidR="008810AA" w:rsidRDefault="008810AA" w:rsidP="008810AA">
      <w:pPr>
        <w:rPr>
          <w:rFonts w:ascii="Calibri" w:hAnsi="Calibri" w:cs="Calibri"/>
        </w:rPr>
      </w:pPr>
      <w:r>
        <w:rPr>
          <w:rFonts w:ascii="Calibri" w:hAnsi="Calibri" w:cs="Calibri"/>
        </w:rPr>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08EF0199" w14:textId="6124D0BB" w:rsidR="008810AA" w:rsidRPr="008810AA" w:rsidRDefault="008810AA" w:rsidP="008810AA">
      <w:pPr>
        <w:rPr>
          <w:rFonts w:ascii="Calibri" w:hAnsi="Calibri" w:cs="Calibri"/>
        </w:rPr>
      </w:pPr>
      <w:r>
        <w:rPr>
          <w:rFonts w:ascii="Calibri" w:hAnsi="Calibri" w:cs="Calibri"/>
        </w:rPr>
        <w:t xml:space="preserve">Q4 ’22 and Q4 ’23 saw one-time expenses that had a great </w:t>
      </w:r>
      <w:r w:rsidR="001C73C3">
        <w:rPr>
          <w:rFonts w:ascii="Calibri" w:hAnsi="Calibri" w:cs="Calibri"/>
        </w:rPr>
        <w:t>effect</w:t>
      </w:r>
      <w:r>
        <w:rPr>
          <w:rFonts w:ascii="Calibri" w:hAnsi="Calibri" w:cs="Calibri"/>
        </w:rPr>
        <w:t xml:space="preserve"> on </w:t>
      </w:r>
      <w:r w:rsidR="00682D6F">
        <w:rPr>
          <w:rFonts w:ascii="Calibri" w:hAnsi="Calibri" w:cs="Calibri"/>
        </w:rPr>
        <w:t>the net income</w:t>
      </w:r>
      <w:r w:rsidR="00AD1365">
        <w:rPr>
          <w:rFonts w:ascii="Calibri" w:hAnsi="Calibri" w:cs="Calibri"/>
        </w:rPr>
        <w:t xml:space="preserve"> [</w:t>
      </w:r>
      <w:commentRangeStart w:id="11"/>
      <w:r w:rsidR="00AD1365">
        <w:rPr>
          <w:rFonts w:ascii="Calibri" w:hAnsi="Calibri" w:cs="Calibri"/>
        </w:rPr>
        <w:t>Citation</w:t>
      </w:r>
      <w:commentRangeEnd w:id="11"/>
      <w:r w:rsidR="00AD1365">
        <w:rPr>
          <w:rStyle w:val="CommentReference"/>
        </w:rPr>
        <w:commentReference w:id="11"/>
      </w:r>
      <w:r w:rsidR="00AD1365">
        <w:rPr>
          <w:rFonts w:ascii="Calibri" w:hAnsi="Calibri" w:cs="Calibri"/>
        </w:rPr>
        <w:t>]</w:t>
      </w:r>
      <w:r w:rsidR="00682D6F">
        <w:rPr>
          <w:rFonts w:ascii="Calibri" w:hAnsi="Calibri" w:cs="Calibri"/>
        </w:rPr>
        <w:t xml:space="preserve">.  </w:t>
      </w:r>
    </w:p>
    <w:p w14:paraId="69C01649" w14:textId="3C36D6EB"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w:t>
      </w:r>
      <w:r w:rsidR="00AD1365">
        <w:rPr>
          <w:rFonts w:ascii="Calibri" w:hAnsi="Calibri" w:cs="Calibri"/>
        </w:rPr>
        <w:t xml:space="preserve"> [</w:t>
      </w:r>
      <w:commentRangeStart w:id="12"/>
      <w:r w:rsidR="00AD1365">
        <w:rPr>
          <w:rFonts w:ascii="Calibri" w:hAnsi="Calibri" w:cs="Calibri"/>
        </w:rPr>
        <w:t>Citation</w:t>
      </w:r>
      <w:commentRangeEnd w:id="12"/>
      <w:r w:rsidR="00AD1365">
        <w:rPr>
          <w:rStyle w:val="CommentReference"/>
        </w:rPr>
        <w:commentReference w:id="12"/>
      </w:r>
      <w:r w:rsidR="00AD1365">
        <w:rPr>
          <w:rFonts w:ascii="Calibri" w:hAnsi="Calibri" w:cs="Calibri"/>
        </w:rPr>
        <w:t>]</w:t>
      </w:r>
      <w:r>
        <w:rPr>
          <w:rFonts w:ascii="Calibri" w:hAnsi="Calibri" w:cs="Calibri"/>
        </w:rPr>
        <w:t xml:space="preserve">.  This came </w:t>
      </w:r>
      <w:r w:rsidR="004143E6">
        <w:rPr>
          <w:rFonts w:ascii="Calibri" w:hAnsi="Calibri" w:cs="Calibri"/>
        </w:rPr>
        <w:t>off</w:t>
      </w:r>
      <w:r>
        <w:rPr>
          <w:rFonts w:ascii="Calibri" w:hAnsi="Calibri" w:cs="Calibri"/>
        </w:rPr>
        <w:t xml:space="preserve"> the heels of a viewer surge during the COVID-19 pandemic.  Q4 ’22 was when they launched their lower-priced ad-supported subscription service, which has since helped to bolster their overall subscriber base as well as revenues</w:t>
      </w:r>
      <w:r w:rsidR="008810AA">
        <w:rPr>
          <w:rFonts w:ascii="Calibri" w:hAnsi="Calibri" w:cs="Calibri"/>
        </w:rPr>
        <w:t>.  This also trickled down to their net income</w:t>
      </w:r>
      <w:r w:rsidR="004605B5">
        <w:rPr>
          <w:rFonts w:ascii="Calibri" w:hAnsi="Calibri" w:cs="Calibri"/>
        </w:rPr>
        <w:t xml:space="preserve"> with a positive effect</w:t>
      </w:r>
      <w:r>
        <w:rPr>
          <w:rFonts w:ascii="Calibri" w:hAnsi="Calibri" w:cs="Calibri"/>
        </w:rPr>
        <w:t>.</w:t>
      </w:r>
    </w:p>
    <w:p w14:paraId="0923CDAF" w14:textId="721BE25A" w:rsidR="00653173" w:rsidRDefault="00653173" w:rsidP="00653173">
      <w:pPr>
        <w:rPr>
          <w:rFonts w:ascii="Calibri" w:hAnsi="Calibri" w:cs="Calibri"/>
        </w:rPr>
      </w:pPr>
      <w:r>
        <w:rPr>
          <w:rFonts w:ascii="Calibri" w:hAnsi="Calibri" w:cs="Calibri"/>
        </w:rPr>
        <w:t>NFLX implemented price increases in certain regions during Q4 ’23 which led to some subscriber churn</w:t>
      </w:r>
      <w:r w:rsidR="00AD1365">
        <w:rPr>
          <w:rFonts w:ascii="Calibri" w:hAnsi="Calibri" w:cs="Calibri"/>
        </w:rPr>
        <w:t xml:space="preserve"> [</w:t>
      </w:r>
      <w:commentRangeStart w:id="13"/>
      <w:r w:rsidR="00AD1365">
        <w:rPr>
          <w:rFonts w:ascii="Calibri" w:hAnsi="Calibri" w:cs="Calibri"/>
        </w:rPr>
        <w:t>Citation</w:t>
      </w:r>
      <w:commentRangeEnd w:id="13"/>
      <w:r w:rsidR="00AD1365">
        <w:rPr>
          <w:rStyle w:val="CommentReference"/>
        </w:rPr>
        <w:commentReference w:id="13"/>
      </w:r>
      <w:r w:rsidR="00AD1365">
        <w:rPr>
          <w:rFonts w:ascii="Calibri" w:hAnsi="Calibri" w:cs="Calibri"/>
        </w:rPr>
        <w:t>]</w:t>
      </w:r>
      <w:r>
        <w:rPr>
          <w:rFonts w:ascii="Calibri" w:hAnsi="Calibri" w:cs="Calibri"/>
        </w:rPr>
        <w:t xml:space="preserve">.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2DA9A433" w14:textId="77777777" w:rsidR="00653173" w:rsidRDefault="00653173" w:rsidP="00653173">
      <w:pPr>
        <w:rPr>
          <w:b/>
          <w:bCs/>
        </w:rPr>
      </w:pPr>
    </w:p>
    <w:p w14:paraId="18B75F27" w14:textId="182708FE" w:rsidR="00682D6F" w:rsidRPr="00682D6F" w:rsidRDefault="00682D6F" w:rsidP="00653173">
      <w:r>
        <w:rPr>
          <w:b/>
          <w:bCs/>
        </w:rPr>
        <w:t>Profitability Margins</w:t>
      </w:r>
    </w:p>
    <w:p w14:paraId="600CF67E" w14:textId="14A61D6B" w:rsidR="00653173" w:rsidRDefault="00653173" w:rsidP="00653173">
      <w:r>
        <w:rPr>
          <w:b/>
          <w:bCs/>
        </w:rPr>
        <w:t>Net Profit Margin</w:t>
      </w:r>
      <w:r w:rsidR="00682D6F">
        <w:rPr>
          <w:b/>
          <w:bCs/>
        </w:rPr>
        <w:t xml:space="preserve"> &amp; Gross Margin</w:t>
      </w:r>
    </w:p>
    <w:p w14:paraId="6C5921ED" w14:textId="1B05D79B" w:rsidR="00653173" w:rsidRDefault="00682D6F" w:rsidP="00653173">
      <w:r>
        <w:rPr>
          <w:noProof/>
        </w:rPr>
        <w:lastRenderedPageBreak/>
        <w:drawing>
          <wp:inline distT="0" distB="0" distL="0" distR="0" wp14:anchorId="4A2D05B6" wp14:editId="0C0D22E6">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2777F5A" w14:textId="5C9DB11D" w:rsidR="00653173" w:rsidRDefault="0073380A" w:rsidP="00653173">
      <w:proofErr w:type="gramStart"/>
      <w:r>
        <w:t>![</w:t>
      </w:r>
      <w:proofErr w:type="gramEnd"/>
      <w:r w:rsidR="00AD1365">
        <w:t>N</w:t>
      </w:r>
      <w:r w:rsidRPr="0073380A">
        <w:t>et</w:t>
      </w:r>
      <w:r w:rsidR="00AD1365">
        <w:t xml:space="preserve"> P</w:t>
      </w:r>
      <w:r w:rsidRPr="0073380A">
        <w:t>rofit</w:t>
      </w:r>
      <w:r w:rsidR="00AD1365">
        <w:t xml:space="preserve"> M</w:t>
      </w:r>
      <w:r w:rsidRPr="0073380A">
        <w:t>argin</w:t>
      </w:r>
      <w:r w:rsidR="00AD1365">
        <w:t xml:space="preserve"> </w:t>
      </w:r>
      <w:r w:rsidRPr="0073380A">
        <w:t>vs</w:t>
      </w:r>
      <w:r w:rsidR="00AD1365">
        <w:t xml:space="preserve"> G</w:t>
      </w:r>
      <w:r w:rsidRPr="0073380A">
        <w:t>ross</w:t>
      </w:r>
      <w:r w:rsidR="00AD1365">
        <w:t xml:space="preserve"> M</w:t>
      </w:r>
      <w:r w:rsidRPr="0073380A">
        <w:t>argin</w:t>
      </w:r>
      <w:r>
        <w:t>](</w:t>
      </w:r>
      <w:r w:rsidRPr="0073380A">
        <w:t>https://github.com/k1bray/stock-price-analysis/blob/main/Visuals/04_net_profit_margin_vs_gross_margin.png</w:t>
      </w:r>
      <w:r>
        <w:t>)</w:t>
      </w:r>
    </w:p>
    <w:p w14:paraId="78A3BCAD" w14:textId="77777777" w:rsidR="00EB146B" w:rsidRDefault="00EB146B" w:rsidP="00653173"/>
    <w:p w14:paraId="2D5D7C15" w14:textId="73A39852" w:rsidR="00653173" w:rsidRDefault="00653173" w:rsidP="00653173">
      <w:r>
        <w:t>Since Net Profit Margin is a metric that shows what percentage of each revenue dollar is being converted into profit, the chart above shows that NFLX has been a bit of a mixed bag in that ability.  Although the long-term trend may indicate improvement, it shows that NFLX has been rather inconsistent in its efficiency of managing the conversion of revenue to profit with consideration of total costs.</w:t>
      </w:r>
      <w:r w:rsidR="00682D6F">
        <w:t xml:space="preserve">  However, the dips in both margins for Q4 ’22 and Q4 ’23 can be explained in the context of</w:t>
      </w:r>
      <w:r w:rsidR="00D80248">
        <w:t xml:space="preserve"> </w:t>
      </w:r>
      <w:r w:rsidR="00AD1365">
        <w:t xml:space="preserve">the </w:t>
      </w:r>
      <w:r w:rsidR="00D80248">
        <w:t>reported</w:t>
      </w:r>
      <w:r w:rsidR="00682D6F">
        <w:t xml:space="preserve"> one-time charges</w:t>
      </w:r>
      <w:r w:rsidR="00AD1365">
        <w:t xml:space="preserve"> previously mentioned</w:t>
      </w:r>
      <w:r w:rsidR="00682D6F">
        <w:t>.</w:t>
      </w:r>
    </w:p>
    <w:p w14:paraId="3C6BEE79" w14:textId="4DB6D256" w:rsidR="00ED3C08" w:rsidRDefault="00ED3C08" w:rsidP="00ED3C08">
      <w:r>
        <w:t xml:space="preserve">Over the past two years NFLX has seen some variability in their gross margins.  However, the prevailing trend is positive with the lowest period (Q4 ’22) showing 31% of revenue retained as gross profit.  </w:t>
      </w:r>
      <w:r w:rsidR="00102670">
        <w:t>After</w:t>
      </w:r>
      <w:r>
        <w:t xml:space="preserve"> incurring the costs for content creation, streaming services such as NFLX </w:t>
      </w:r>
      <w:r w:rsidR="00373693">
        <w:t xml:space="preserve">have the potential to significantly </w:t>
      </w:r>
      <w:r>
        <w:t xml:space="preserve">benefit from overall low marginal costs.  This gives them the ability to maintain lower gross margins, relatively speaking, and </w:t>
      </w:r>
      <w:proofErr w:type="gramStart"/>
      <w:r>
        <w:t>still remain</w:t>
      </w:r>
      <w:proofErr w:type="gramEnd"/>
      <w:r>
        <w:t xml:space="preserve"> quite competitive in their market.</w:t>
      </w:r>
    </w:p>
    <w:p w14:paraId="48014A3F" w14:textId="7F0B17EC" w:rsidR="00653173" w:rsidRPr="00D97C10" w:rsidRDefault="00653173" w:rsidP="00653173">
      <w:r w:rsidRPr="00D97C10">
        <w:t xml:space="preserve">The lowest net profit margin was 1% </w:t>
      </w:r>
      <w:r w:rsidR="00682D6F">
        <w:t xml:space="preserve">in </w:t>
      </w:r>
      <w:r w:rsidRPr="00D97C10">
        <w:t>Q4</w:t>
      </w:r>
      <w:r w:rsidR="00682D6F">
        <w:t xml:space="preserve"> </w:t>
      </w:r>
      <w:r w:rsidRPr="00D97C10">
        <w:t>'22</w:t>
      </w:r>
      <w:r w:rsidR="00682D6F">
        <w:t>,</w:t>
      </w:r>
      <w:r w:rsidRPr="00D97C10">
        <w:t xml:space="preserve"> and the highest was 25% </w:t>
      </w:r>
      <w:r w:rsidR="00682D6F">
        <w:t xml:space="preserve">in </w:t>
      </w:r>
      <w:r w:rsidRPr="00D97C10">
        <w:t>Q1</w:t>
      </w:r>
      <w:r w:rsidR="00682D6F">
        <w:t xml:space="preserve"> </w:t>
      </w:r>
      <w:r w:rsidRPr="00D97C10">
        <w:t xml:space="preserve">'24, while the operating margin ranged from 7% </w:t>
      </w:r>
      <w:r w:rsidR="00ED3C08">
        <w:t xml:space="preserve">in </w:t>
      </w:r>
      <w:r w:rsidRPr="00D97C10">
        <w:t>Q4</w:t>
      </w:r>
      <w:r w:rsidR="00ED3C08">
        <w:t xml:space="preserve"> </w:t>
      </w:r>
      <w:r w:rsidRPr="00D97C10">
        <w:t xml:space="preserve">'22 to 28% </w:t>
      </w:r>
      <w:r w:rsidR="00ED3C08">
        <w:t xml:space="preserve">in </w:t>
      </w:r>
      <w:r w:rsidRPr="00D97C10">
        <w:t>Q1</w:t>
      </w:r>
      <w:r w:rsidR="00ED3C08">
        <w:t xml:space="preserve"> </w:t>
      </w:r>
      <w:r w:rsidRPr="00D97C10">
        <w:t>'24. In most quarters, the net profit margin is only 1-2 percentage points higher than the operating margin.</w:t>
      </w:r>
      <w:r w:rsidR="00373693">
        <w:t xml:space="preserve">  This close similarity was the reason for excluding the operating margin from the chart above.</w:t>
      </w:r>
    </w:p>
    <w:p w14:paraId="2734761F" w14:textId="7ABC89A0" w:rsidR="00653173" w:rsidRPr="00D97C10" w:rsidRDefault="00ED3C08" w:rsidP="00ED3C08">
      <w:r>
        <w:t xml:space="preserve">The </w:t>
      </w:r>
      <w:r w:rsidR="00653173" w:rsidRPr="00D97C10">
        <w:t>operating margin is very similar to the net profit margin, suggesting that Netflix might have relatively low non-operating expenses (expenses not directly related to core operations). This can be a positive sign for its financial efficiency.</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036115E" w:rsidR="00653173" w:rsidRDefault="001C73C3" w:rsidP="00653173">
      <w:r>
        <w:rPr>
          <w:noProof/>
        </w:rPr>
        <w:lastRenderedPageBreak/>
        <w:drawing>
          <wp:inline distT="0" distB="0" distL="0" distR="0" wp14:anchorId="65452A19" wp14:editId="6EECE587">
            <wp:extent cx="4568190" cy="2743200"/>
            <wp:effectExtent l="0" t="0" r="3810" b="0"/>
            <wp:docPr id="1894584012"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E67DA2E" w14:textId="4DB6F4D5" w:rsidR="00EB146B" w:rsidRDefault="00EB146B" w:rsidP="00653173">
      <w:proofErr w:type="gramStart"/>
      <w:r>
        <w:t>![</w:t>
      </w:r>
      <w:proofErr w:type="gramEnd"/>
      <w:r w:rsidR="00373693">
        <w:t>EPS B</w:t>
      </w:r>
      <w:r w:rsidRPr="00EB146B">
        <w:t>asic</w:t>
      </w:r>
      <w:r>
        <w:t>](</w:t>
      </w:r>
      <w:r w:rsidRPr="00EB146B">
        <w:t>https://github.com/k1bray/stock-price-analysis/blob/main/Visuals/05_eps_basic.png</w:t>
      </w:r>
      <w:r>
        <w:t>)</w:t>
      </w:r>
    </w:p>
    <w:p w14:paraId="45884A27" w14:textId="77777777" w:rsidR="00762FF2" w:rsidRDefault="00762FF2" w:rsidP="00762FF2"/>
    <w:p w14:paraId="73FA1148" w14:textId="17FC4FA6" w:rsidR="00762FF2" w:rsidRPr="00762FF2" w:rsidRDefault="00762FF2" w:rsidP="00762FF2">
      <w:r w:rsidRPr="00762FF2">
        <w:t>The EPS for NFLX has fluctuated over the last 9 quarters, with Q4'22 and Q4'23 showing the lowest EPS. While there isn't a clear upward trend in EPS, Q1'24 showed a significant increase compared to the previous quarter.</w:t>
      </w:r>
    </w:p>
    <w:p w14:paraId="5B75EDB1" w14:textId="0357D026" w:rsidR="00762FF2" w:rsidRPr="00762FF2" w:rsidRDefault="00762FF2" w:rsidP="00762FF2">
      <w:r w:rsidRPr="00762FF2">
        <w:t>It's important to consider this EPS variability in the context of the profit margin and revenue growth trends presented earlier in the report. While revenue growth has been positive, with some quarters showing strong gains, the profit margin hasn't necessarily followed the same upward trajectory. This disconnect between revenue growth and profit margin could explain some of the fluctuations in EPS.</w:t>
      </w:r>
    </w:p>
    <w:p w14:paraId="562C86ED" w14:textId="77777777" w:rsidR="00762FF2" w:rsidRPr="00762FF2" w:rsidRDefault="00762FF2" w:rsidP="00762FF2">
      <w:r w:rsidRPr="00762FF2">
        <w:t>These fluctuations can also be influenced by one-time events or factors specific to the streaming industry. Further analysis might be needed to isolate the specific drivers behind the EPS variations observed in Q4'22, Q4'23, and the positive change in Q1'24.</w:t>
      </w:r>
    </w:p>
    <w:p w14:paraId="56D7947D" w14:textId="77777777" w:rsidR="00762FF2" w:rsidRDefault="00762FF2" w:rsidP="00653173"/>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58EA2D72" w:rsidR="00653173" w:rsidRDefault="00750068" w:rsidP="00653173">
      <w:pPr>
        <w:rPr>
          <w:b/>
          <w:bCs/>
          <w:sz w:val="28"/>
          <w:szCs w:val="28"/>
        </w:rPr>
      </w:pPr>
      <w:r>
        <w:rPr>
          <w:noProof/>
        </w:rPr>
        <w:lastRenderedPageBreak/>
        <w:drawing>
          <wp:inline distT="0" distB="0" distL="0" distR="0" wp14:anchorId="2ADE5119" wp14:editId="04C42052">
            <wp:extent cx="4572000" cy="2743200"/>
            <wp:effectExtent l="0" t="0" r="0" b="0"/>
            <wp:docPr id="603961160" name="Chart 1">
              <a:extLst xmlns:a="http://schemas.openxmlformats.org/drawingml/2006/main">
                <a:ext uri="{FF2B5EF4-FFF2-40B4-BE49-F238E27FC236}">
                  <a16:creationId xmlns:a16="http://schemas.microsoft.com/office/drawing/2014/main" id="{76C2C53F-CFFE-A3D7-1782-9BC4A6000A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F7ED14D" w14:textId="187FA62E" w:rsidR="00EB146B" w:rsidRPr="00EB146B" w:rsidRDefault="00EB146B" w:rsidP="00653173">
      <w:proofErr w:type="gramStart"/>
      <w:r>
        <w:t>![</w:t>
      </w:r>
      <w:proofErr w:type="gramEnd"/>
      <w:r w:rsidR="00CC0F8A">
        <w:t>A</w:t>
      </w:r>
      <w:r w:rsidRPr="00EB146B">
        <w:t>sset</w:t>
      </w:r>
      <w:r w:rsidR="00CC0F8A">
        <w:t xml:space="preserve"> T</w:t>
      </w:r>
      <w:r w:rsidRPr="00EB146B">
        <w:t>urnover</w:t>
      </w:r>
      <w:r w:rsidR="00CC0F8A">
        <w:t xml:space="preserve"> R</w:t>
      </w:r>
      <w:r w:rsidRPr="00EB146B">
        <w:t>atio</w:t>
      </w:r>
      <w:r>
        <w:t>](</w:t>
      </w:r>
      <w:r w:rsidRPr="00EB146B">
        <w:t>https://github.com/k1bray/stock-price-analysis/blob/main/Visuals/06_asset_turnover_ratio.png</w:t>
      </w:r>
      <w:r>
        <w:t>)</w:t>
      </w:r>
    </w:p>
    <w:p w14:paraId="0F018DE3" w14:textId="77777777" w:rsidR="00EB146B" w:rsidRDefault="00EB146B" w:rsidP="00653173"/>
    <w:p w14:paraId="2CE37B7A" w14:textId="5CB46131" w:rsidR="00653173" w:rsidRPr="00B2236C" w:rsidRDefault="00653173" w:rsidP="00653173">
      <w:r>
        <w:t xml:space="preserve">The increasing values of the Asset Turnover Ratio shows that NFLX </w:t>
      </w:r>
      <w:r w:rsidR="004706C2">
        <w:t>may be</w:t>
      </w:r>
      <w:r>
        <w:t xml:space="preserve"> improving in their ability to use their assets to generate revenue.</w:t>
      </w:r>
    </w:p>
    <w:p w14:paraId="2E04D4AF" w14:textId="77777777" w:rsidR="00653173" w:rsidRDefault="00653173" w:rsidP="00653173"/>
    <w:p w14:paraId="4744706B" w14:textId="08CBE32E" w:rsidR="007F0967" w:rsidRDefault="00653173" w:rsidP="00653173">
      <w:r>
        <w:rPr>
          <w:b/>
          <w:bCs/>
        </w:rPr>
        <w:t>Efficiency Ratios</w:t>
      </w:r>
    </w:p>
    <w:p w14:paraId="66D16FCE" w14:textId="50FC91BB" w:rsidR="00653173" w:rsidRDefault="007F0967" w:rsidP="007F0967">
      <w:r>
        <w:rPr>
          <w:noProof/>
        </w:rPr>
        <w:drawing>
          <wp:inline distT="0" distB="0" distL="0" distR="0" wp14:anchorId="109B7403" wp14:editId="45919B30">
            <wp:extent cx="4572000" cy="2743200"/>
            <wp:effectExtent l="0" t="0" r="0" b="0"/>
            <wp:docPr id="1317197819" name="Chart 1">
              <a:extLst xmlns:a="http://schemas.openxmlformats.org/drawingml/2006/main">
                <a:ext uri="{FF2B5EF4-FFF2-40B4-BE49-F238E27FC236}">
                  <a16:creationId xmlns:a16="http://schemas.microsoft.com/office/drawing/2014/main" id="{63D7054B-4A42-14EB-5CFF-560F35477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4ADDEC7" w14:textId="3F0A67EF" w:rsidR="007F0967" w:rsidRDefault="00EB146B" w:rsidP="007F0967">
      <w:proofErr w:type="gramStart"/>
      <w:r>
        <w:t>![</w:t>
      </w:r>
      <w:proofErr w:type="gramEnd"/>
      <w:r w:rsidRPr="00EB146B">
        <w:t>07_roa_vs_roe</w:t>
      </w:r>
      <w:r>
        <w:t>](</w:t>
      </w:r>
      <w:r w:rsidRPr="00EB146B">
        <w:t>https://github.com/k1bray/stock-price-analysis/blob/main/Visuals/07_roa_vs_roe.png</w:t>
      </w:r>
      <w:r>
        <w:t>)</w:t>
      </w:r>
    </w:p>
    <w:p w14:paraId="57E9EBBD" w14:textId="77777777" w:rsidR="00EB146B" w:rsidRDefault="00EB146B" w:rsidP="007F0967"/>
    <w:p w14:paraId="4AB7F28C" w14:textId="2CABDA7E" w:rsidR="007F0967" w:rsidRDefault="007F0967" w:rsidP="007F0967">
      <w:r>
        <w:lastRenderedPageBreak/>
        <w:t>As can been seen in the chart above,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continued top-line revenue growth a</w:t>
      </w:r>
      <w:r w:rsidR="00EB0994">
        <w:t>ccompanied by</w:t>
      </w:r>
      <w:r>
        <w:t xml:space="preserve"> a reduction of expenses, there has been a substantial rebound in net income values, which in turn has bolstered the figures for ROA and ROE.</w:t>
      </w:r>
    </w:p>
    <w:p w14:paraId="6CF33EAA" w14:textId="77777777" w:rsidR="007F0967" w:rsidRPr="007F0967" w:rsidRDefault="007F0967" w:rsidP="007F0967"/>
    <w:p w14:paraId="0BBB2202" w14:textId="77777777" w:rsidR="00653173" w:rsidRDefault="00653173" w:rsidP="00653173"/>
    <w:p w14:paraId="251456FB" w14:textId="77777777" w:rsidR="00653173" w:rsidRDefault="00653173" w:rsidP="00653173">
      <w:r>
        <w:rPr>
          <w:b/>
          <w:bCs/>
        </w:rPr>
        <w:t>Liquidity and Solvency Analysis</w:t>
      </w:r>
    </w:p>
    <w:p w14:paraId="445FFA67" w14:textId="77777777" w:rsidR="00653173" w:rsidRDefault="00653173" w:rsidP="00653173">
      <w:r>
        <w:rPr>
          <w:noProof/>
        </w:rPr>
        <w:drawing>
          <wp:inline distT="0" distB="0" distL="0" distR="0" wp14:anchorId="6ECDE08E" wp14:editId="43EF8D23">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52FAEE1" w14:textId="6CB6E209" w:rsidR="00EB146B" w:rsidRPr="008A0F4B" w:rsidRDefault="00EB146B" w:rsidP="00653173">
      <w:proofErr w:type="gramStart"/>
      <w:r>
        <w:t>![</w:t>
      </w:r>
      <w:proofErr w:type="gramEnd"/>
      <w:r w:rsidRPr="00EB146B">
        <w:t>08_current_ratio</w:t>
      </w:r>
      <w:r>
        <w:t>](</w:t>
      </w:r>
      <w:r w:rsidRPr="00EB146B">
        <w:t>https://github.com/k1bray/stock-price-analysis/blob/main/Visuals/08_current_ratio.png</w:t>
      </w:r>
      <w:r>
        <w:t>)</w:t>
      </w:r>
    </w:p>
    <w:p w14:paraId="1E927E65" w14:textId="77777777" w:rsidR="00EB146B" w:rsidRDefault="00EB146B" w:rsidP="00653173"/>
    <w:p w14:paraId="311625E6" w14:textId="7F73F532" w:rsidR="00653173" w:rsidRDefault="00653173" w:rsidP="00653173">
      <w:r>
        <w:t xml:space="preserve">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w:t>
      </w:r>
      <w:r w:rsidR="00ED7E76">
        <w:t>have the latitude</w:t>
      </w:r>
      <w:r>
        <w:t xml:space="preserve"> to maintain a lower current ratio when compared to other businesses with different business models and capital structure.  They can do this in part because of the structure of their subscription model revenues</w:t>
      </w:r>
      <w:r w:rsidR="00ED7E76">
        <w:t xml:space="preserve"> which provide consistent cash flow to meet short-term obligations</w:t>
      </w:r>
      <w:r>
        <w:t xml:space="preserve">.  They </w:t>
      </w:r>
      <w:r w:rsidR="00475892">
        <w:t xml:space="preserve">would potentially </w:t>
      </w:r>
      <w:r>
        <w:t>have much less variability in their cash flows than a company that operates in manufacturing that must maintain a level of current inventory, as an example.  Also, being a company in a growth phase, they invest heavily in creative content, which is a long-term asset, along with investments in growth opportunities in an evolving on-demand digital streaming market.</w:t>
      </w:r>
    </w:p>
    <w:p w14:paraId="39B8B249" w14:textId="77777777" w:rsidR="00653173" w:rsidRDefault="00653173" w:rsidP="00653173"/>
    <w:p w14:paraId="7D9C6A2A" w14:textId="76F80BB6" w:rsidR="00653173" w:rsidRDefault="00653173" w:rsidP="007F0967">
      <w:r w:rsidRPr="007F0967">
        <w:rPr>
          <w:b/>
          <w:bCs/>
        </w:rPr>
        <w:t>Debt-to-Equity Ratio</w:t>
      </w:r>
    </w:p>
    <w:p w14:paraId="74A1D0AE" w14:textId="77777777" w:rsidR="00653173" w:rsidRDefault="00653173" w:rsidP="00653173">
      <w:r>
        <w:rPr>
          <w:noProof/>
        </w:rPr>
        <w:drawing>
          <wp:inline distT="0" distB="0" distL="0" distR="0" wp14:anchorId="2BEE598B" wp14:editId="577D37A8">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27752D7" w14:textId="66C5E49F" w:rsidR="00EB146B" w:rsidRDefault="00EB146B" w:rsidP="00653173">
      <w:proofErr w:type="gramStart"/>
      <w:r>
        <w:t>![</w:t>
      </w:r>
      <w:proofErr w:type="gramEnd"/>
      <w:r w:rsidRPr="00EB146B">
        <w:t>09_debt_to_equity_ratio</w:t>
      </w:r>
      <w:r>
        <w:t>](</w:t>
      </w:r>
      <w:r w:rsidRPr="00EB146B">
        <w:t>https://github.com/k1bray/stock-price-analysis/blob/main/Visuals/09_debt_to_equity_ratio.png</w:t>
      </w:r>
      <w:r>
        <w:t>)</w:t>
      </w:r>
    </w:p>
    <w:p w14:paraId="28B00E91" w14:textId="77777777" w:rsidR="00EB146B" w:rsidRDefault="00EB146B" w:rsidP="00653173"/>
    <w:p w14:paraId="7ECF9420" w14:textId="0915E99E" w:rsidR="00653173" w:rsidRDefault="00653173" w:rsidP="00653173">
      <w:r>
        <w:t xml:space="preserve">NFLX is showing a declining trend in their debt-to-equity ratio.  The </w:t>
      </w:r>
      <w:r w:rsidR="00475892">
        <w:t>company</w:t>
      </w:r>
      <w:r>
        <w:t xml:space="preserve"> </w:t>
      </w:r>
      <w:r w:rsidR="00475892">
        <w:t>is</w:t>
      </w:r>
      <w:r>
        <w:t xml:space="preserve"> using less debt in relation to the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34669E3C" w:rsidR="00653173" w:rsidRPr="00FC64E0" w:rsidRDefault="00653173" w:rsidP="00653173">
      <w:r>
        <w:t xml:space="preserve">The continued reduction of debt would allow NFLX to invest in creative content with less dependence to take on additional debt.  This could favorably position NFLX with an edge in relation to their competition.  </w:t>
      </w:r>
      <w:r w:rsidR="008B2EF4">
        <w:t>Additionally</w:t>
      </w:r>
      <w:r>
        <w:t>, the reduction of their debt load in relation to their equity also provides an enhanced credit rating.  This gives NFLX more flexible and available options for funding future investments for growth</w:t>
      </w:r>
      <w:r w:rsidR="00AE7E7B">
        <w:t xml:space="preserve"> if they should decide to utilize debt for that purpose</w:t>
      </w:r>
      <w:r>
        <w:t>.</w:t>
      </w:r>
    </w:p>
    <w:p w14:paraId="507D9B5A" w14:textId="517E9EFB" w:rsidR="00653173" w:rsidRPr="00564384" w:rsidRDefault="00653173" w:rsidP="00653173">
      <w:r>
        <w:t xml:space="preserve">Although NFLX has historically not offered a dividend and has instead chosen to focus on reinvestment, the downward continuation of this debt trend could open the door to the possibility of </w:t>
      </w:r>
      <w:r w:rsidR="00692B86">
        <w:t xml:space="preserve">future </w:t>
      </w:r>
      <w:r>
        <w:t>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1517CD4E">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2DFF3CB" w14:textId="004185CE" w:rsidR="008C1238" w:rsidRDefault="00EB146B" w:rsidP="00653173">
      <w:proofErr w:type="gramStart"/>
      <w:r>
        <w:t>![</w:t>
      </w:r>
      <w:proofErr w:type="gramEnd"/>
      <w:r w:rsidRPr="00EB146B">
        <w:t>10_current_liabilities</w:t>
      </w:r>
      <w:r>
        <w:t>](</w:t>
      </w:r>
      <w:r w:rsidRPr="00EB146B">
        <w:t>https://github.com/k1bray/stock-price-analysis/blob/main/Visuals/10_current_liabilities.png</w:t>
      </w:r>
      <w:r>
        <w:t>)</w:t>
      </w:r>
    </w:p>
    <w:p w14:paraId="5EC22861" w14:textId="7F03E11C"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1E41868B" w14:textId="77777777" w:rsidR="008C1238" w:rsidRDefault="008C1238" w:rsidP="00653173"/>
    <w:p w14:paraId="3D0AF7B6" w14:textId="5C8A4526" w:rsidR="008C1238" w:rsidRDefault="008C1238" w:rsidP="00653173">
      <w:r>
        <w:rPr>
          <w:noProof/>
        </w:rPr>
        <w:drawing>
          <wp:inline distT="0" distB="0" distL="0" distR="0" wp14:anchorId="3F8BB06D" wp14:editId="6CFC1578">
            <wp:extent cx="4560570" cy="2743200"/>
            <wp:effectExtent l="0" t="0" r="11430" b="0"/>
            <wp:docPr id="971809801" name="Chart 1">
              <a:extLst xmlns:a="http://schemas.openxmlformats.org/drawingml/2006/main">
                <a:ext uri="{FF2B5EF4-FFF2-40B4-BE49-F238E27FC236}">
                  <a16:creationId xmlns:a16="http://schemas.microsoft.com/office/drawing/2014/main" id="{483D7F22-F2E8-81FA-EA8E-1D06DDC59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9940CDF" w14:textId="7B0E7C09" w:rsidR="00653173" w:rsidRDefault="004B5F3E" w:rsidP="00653173">
      <w:proofErr w:type="gramStart"/>
      <w:r>
        <w:t>![</w:t>
      </w:r>
      <w:proofErr w:type="gramEnd"/>
      <w:r w:rsidRPr="004B5F3E">
        <w:t>11_long_term_debt</w:t>
      </w:r>
      <w:r>
        <w:t>](</w:t>
      </w:r>
      <w:r w:rsidRPr="004B5F3E">
        <w:t>https://github.com/k1bray/stock-price-analysis/blob/main/Visuals/11_long_term_debt.png</w:t>
      </w:r>
      <w:r>
        <w:t>)</w:t>
      </w:r>
    </w:p>
    <w:p w14:paraId="61FB6EFF" w14:textId="77777777" w:rsidR="004B5F3E" w:rsidRDefault="004B5F3E" w:rsidP="00653173">
      <w:pPr>
        <w:rPr>
          <w:rFonts w:ascii="Calibri" w:hAnsi="Calibri" w:cs="Calibri"/>
        </w:rPr>
      </w:pPr>
    </w:p>
    <w:p w14:paraId="1FBEAC9E" w14:textId="75B954E9" w:rsidR="00653173" w:rsidRDefault="00653173" w:rsidP="00653173">
      <w:pPr>
        <w:rPr>
          <w:rFonts w:ascii="Calibri" w:hAnsi="Calibri" w:cs="Calibri"/>
        </w:rPr>
      </w:pPr>
      <w:r>
        <w:rPr>
          <w:noProof/>
        </w:rPr>
        <w:lastRenderedPageBreak/>
        <w:drawing>
          <wp:inline distT="0" distB="0" distL="0" distR="0" wp14:anchorId="398EE46D" wp14:editId="605B467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28B7DE8" w14:textId="33F64FE4" w:rsidR="004B5F3E" w:rsidRDefault="004B5F3E" w:rsidP="00653173">
      <w:pPr>
        <w:rPr>
          <w:rFonts w:ascii="Calibri" w:hAnsi="Calibri" w:cs="Calibri"/>
        </w:rPr>
      </w:pPr>
      <w:proofErr w:type="gramStart"/>
      <w:r>
        <w:rPr>
          <w:rFonts w:ascii="Calibri" w:hAnsi="Calibri" w:cs="Calibri"/>
        </w:rPr>
        <w:t>![</w:t>
      </w:r>
      <w:proofErr w:type="gramEnd"/>
      <w:r w:rsidRPr="004B5F3E">
        <w:rPr>
          <w:rFonts w:ascii="Calibri" w:hAnsi="Calibri" w:cs="Calibri"/>
        </w:rPr>
        <w:t>12%20_total_liabilities_vs_total_stockholders_equity</w:t>
      </w:r>
      <w:r>
        <w:rPr>
          <w:rFonts w:ascii="Calibri" w:hAnsi="Calibri" w:cs="Calibri"/>
        </w:rPr>
        <w:t>](</w:t>
      </w:r>
      <w:r w:rsidRPr="004B5F3E">
        <w:rPr>
          <w:rFonts w:ascii="Calibri" w:hAnsi="Calibri" w:cs="Calibri"/>
        </w:rPr>
        <w:t>https://github.com/k1bray/stock-price-analysis/blob/main/Visuals/12%20_total_liabilities_vs_total_stockholders_equity.png</w:t>
      </w:r>
      <w:r>
        <w:rPr>
          <w:rFonts w:ascii="Calibri" w:hAnsi="Calibri" w:cs="Calibri"/>
        </w:rPr>
        <w:t>)</w:t>
      </w:r>
    </w:p>
    <w:p w14:paraId="25258591" w14:textId="77777777" w:rsidR="004B5F3E" w:rsidRDefault="004B5F3E" w:rsidP="00653173">
      <w:pPr>
        <w:rPr>
          <w:rFonts w:ascii="Calibri" w:hAnsi="Calibri" w:cs="Calibri"/>
        </w:rPr>
      </w:pPr>
    </w:p>
    <w:p w14:paraId="70F0E88F" w14:textId="083645EF" w:rsidR="00653173" w:rsidRDefault="00653173" w:rsidP="00653173">
      <w:r>
        <w:rPr>
          <w:rFonts w:ascii="Calibri" w:hAnsi="Calibri" w:cs="Calibri"/>
        </w:rPr>
        <w:t xml:space="preserve">While Total Liabilities have stayed </w:t>
      </w:r>
      <w:proofErr w:type="gramStart"/>
      <w:r>
        <w:rPr>
          <w:rFonts w:ascii="Calibri" w:hAnsi="Calibri" w:cs="Calibri"/>
        </w:rPr>
        <w:t xml:space="preserve">fairly </w:t>
      </w:r>
      <w:r w:rsidR="00692B86">
        <w:rPr>
          <w:rFonts w:ascii="Calibri" w:hAnsi="Calibri" w:cs="Calibri"/>
        </w:rPr>
        <w:t>consistent</w:t>
      </w:r>
      <w:proofErr w:type="gramEnd"/>
      <w:r>
        <w:rPr>
          <w:rFonts w:ascii="Calibri" w:hAnsi="Calibri" w:cs="Calibri"/>
        </w:rPr>
        <w:t>, Total Stockholders’ Equity has been increasing, which could be an indication of retained earnings and reinvestment back into the company.</w:t>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2166CF56" w14:textId="77777777" w:rsidR="00ED7461" w:rsidRDefault="00ED7461" w:rsidP="00653173">
      <w:pPr>
        <w:rPr>
          <w:rFonts w:ascii="Calibri" w:hAnsi="Calibri" w:cs="Calibri"/>
          <w:b/>
          <w:bCs/>
        </w:rPr>
      </w:pPr>
    </w:p>
    <w:p w14:paraId="103551AD" w14:textId="77777777" w:rsidR="00653173" w:rsidRDefault="00653173" w:rsidP="00653173">
      <w:pPr>
        <w:rPr>
          <w:rFonts w:ascii="Calibri" w:hAnsi="Calibri" w:cs="Calibri"/>
          <w:b/>
          <w:bCs/>
        </w:rPr>
      </w:pPr>
      <w:r>
        <w:rPr>
          <w:noProof/>
        </w:rPr>
        <w:drawing>
          <wp:inline distT="0" distB="0" distL="0" distR="0" wp14:anchorId="7CD6B47D" wp14:editId="0B7C60FB">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442F55F" w14:textId="6FB20EA4" w:rsidR="00ED7461" w:rsidRPr="004B5F3E" w:rsidRDefault="004B5F3E" w:rsidP="00653173">
      <w:pPr>
        <w:rPr>
          <w:rFonts w:ascii="Calibri" w:hAnsi="Calibri" w:cs="Calibri"/>
        </w:rPr>
      </w:pPr>
      <w:proofErr w:type="gramStart"/>
      <w:r>
        <w:rPr>
          <w:rFonts w:ascii="Calibri" w:hAnsi="Calibri" w:cs="Calibri"/>
        </w:rPr>
        <w:lastRenderedPageBreak/>
        <w:t>![</w:t>
      </w:r>
      <w:proofErr w:type="gramEnd"/>
      <w:r w:rsidRPr="004B5F3E">
        <w:rPr>
          <w:rFonts w:ascii="Calibri" w:hAnsi="Calibri" w:cs="Calibri"/>
        </w:rPr>
        <w:t>13_operating_cash_flows</w:t>
      </w:r>
      <w:r>
        <w:rPr>
          <w:rFonts w:ascii="Calibri" w:hAnsi="Calibri" w:cs="Calibri"/>
        </w:rPr>
        <w:t>](</w:t>
      </w:r>
      <w:r w:rsidRPr="004B5F3E">
        <w:rPr>
          <w:rFonts w:ascii="Calibri" w:hAnsi="Calibri" w:cs="Calibri"/>
        </w:rPr>
        <w:t>https://github.com/k1bray/stock-price-analysis/blob/main/Visuals/13_operating_cash_flows.png</w:t>
      </w:r>
      <w:r>
        <w:rPr>
          <w:rFonts w:ascii="Calibri" w:hAnsi="Calibri" w:cs="Calibri"/>
        </w:rPr>
        <w:t>)</w:t>
      </w:r>
    </w:p>
    <w:p w14:paraId="0C56039D" w14:textId="77777777" w:rsidR="004B5F3E" w:rsidRDefault="004B5F3E" w:rsidP="00653173">
      <w:pPr>
        <w:rPr>
          <w:rFonts w:ascii="Calibri" w:hAnsi="Calibri" w:cs="Calibri"/>
        </w:rPr>
      </w:pPr>
    </w:p>
    <w:p w14:paraId="688B15F0" w14:textId="0B63BCFE" w:rsidR="00653173" w:rsidRDefault="00653173" w:rsidP="00653173">
      <w:pPr>
        <w:rPr>
          <w:rFonts w:ascii="Calibri" w:hAnsi="Calibri" w:cs="Calibri"/>
        </w:rPr>
      </w:pPr>
      <w:commentRangeStart w:id="14"/>
      <w:r>
        <w:rPr>
          <w:rFonts w:ascii="Calibri" w:hAnsi="Calibri" w:cs="Calibri"/>
        </w:rPr>
        <w:t>Positive and growing operating cash flow indicates that the company’s core business operations are generating cash.</w:t>
      </w:r>
      <w:r w:rsidR="00044D58">
        <w:rPr>
          <w:rFonts w:ascii="Calibri" w:hAnsi="Calibri" w:cs="Calibri"/>
        </w:rPr>
        <w:t xml:space="preserve">  </w:t>
      </w:r>
      <w:r w:rsidR="00044D58" w:rsidRPr="00044D58">
        <w:rPr>
          <w:rFonts w:ascii="Calibri" w:hAnsi="Calibri" w:cs="Calibri"/>
        </w:rPr>
        <w:t xml:space="preserve">This </w:t>
      </w:r>
      <w:r w:rsidR="001B09C4">
        <w:rPr>
          <w:rFonts w:ascii="Calibri" w:hAnsi="Calibri" w:cs="Calibri"/>
        </w:rPr>
        <w:t>can be seen as</w:t>
      </w:r>
      <w:r w:rsidR="00044D58" w:rsidRPr="00044D58">
        <w:rPr>
          <w:rFonts w:ascii="Calibri" w:hAnsi="Calibri" w:cs="Calibri"/>
        </w:rPr>
        <w:t xml:space="preserve"> a positive sign for the company's </w:t>
      </w:r>
      <w:r w:rsidR="001B09C4">
        <w:rPr>
          <w:rFonts w:ascii="Calibri" w:hAnsi="Calibri" w:cs="Calibri"/>
        </w:rPr>
        <w:t xml:space="preserve">overall </w:t>
      </w:r>
      <w:r w:rsidR="00044D58" w:rsidRPr="00044D58">
        <w:rPr>
          <w:rFonts w:ascii="Calibri" w:hAnsi="Calibri" w:cs="Calibri"/>
        </w:rPr>
        <w:t>financial health, as it indicates that their core business operations are generating enough cash to cover their expenses and invest in growth</w:t>
      </w:r>
      <w:r w:rsidR="001B09C4">
        <w:rPr>
          <w:rFonts w:ascii="Calibri" w:hAnsi="Calibri" w:cs="Calibri"/>
        </w:rPr>
        <w:t xml:space="preserve"> opportunities</w:t>
      </w:r>
      <w:r w:rsidR="00044D58" w:rsidRPr="00044D58">
        <w:rPr>
          <w:rFonts w:ascii="Calibri" w:hAnsi="Calibri" w:cs="Calibri"/>
        </w:rPr>
        <w:t>.</w:t>
      </w:r>
    </w:p>
    <w:p w14:paraId="1FF41B2B" w14:textId="157C42CE" w:rsidR="001B09C4" w:rsidRDefault="001B09C4" w:rsidP="00653173">
      <w:pPr>
        <w:rPr>
          <w:rFonts w:ascii="Calibri" w:hAnsi="Calibri" w:cs="Calibri"/>
        </w:rPr>
      </w:pPr>
      <w:r>
        <w:rPr>
          <w:rFonts w:ascii="Calibri" w:hAnsi="Calibri" w:cs="Calibri"/>
        </w:rPr>
        <w:t>NFLX subscriber base has been increasing since the modest draw-down in early 2022.  Combined with strategic price increases, the introduction of their budget-friendly ad-supported subscription tier, as well as their increasing efficiency at using assets to generate revenue have all helped in boosting their operating cash flows.</w:t>
      </w:r>
      <w:commentRangeEnd w:id="14"/>
      <w:r>
        <w:rPr>
          <w:rStyle w:val="CommentReference"/>
        </w:rPr>
        <w:commentReference w:id="14"/>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drawing>
          <wp:inline distT="0" distB="0" distL="0" distR="0" wp14:anchorId="7FB95235" wp14:editId="09932728">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4D76EA1" w14:textId="49772336" w:rsidR="004B5F3E" w:rsidRDefault="004B5F3E" w:rsidP="00653173">
      <w:pPr>
        <w:rPr>
          <w:rFonts w:ascii="Calibri" w:hAnsi="Calibri" w:cs="Calibri"/>
        </w:rPr>
      </w:pPr>
      <w:proofErr w:type="gramStart"/>
      <w:r>
        <w:rPr>
          <w:rFonts w:ascii="Calibri" w:hAnsi="Calibri" w:cs="Calibri"/>
        </w:rPr>
        <w:t>![</w:t>
      </w:r>
      <w:proofErr w:type="gramEnd"/>
      <w:r w:rsidRPr="004B5F3E">
        <w:rPr>
          <w:rFonts w:ascii="Calibri" w:hAnsi="Calibri" w:cs="Calibri"/>
        </w:rPr>
        <w:t>14_investing_cash_flows</w:t>
      </w:r>
      <w:r>
        <w:rPr>
          <w:rFonts w:ascii="Calibri" w:hAnsi="Calibri" w:cs="Calibri"/>
        </w:rPr>
        <w:t>](</w:t>
      </w:r>
      <w:r w:rsidRPr="004B5F3E">
        <w:rPr>
          <w:rFonts w:ascii="Calibri" w:hAnsi="Calibri" w:cs="Calibri"/>
        </w:rPr>
        <w:t>https://github.com/k1bray/stock-price-analysis/blob/main/Visuals/14_investing_cash_flows.png</w:t>
      </w:r>
      <w:r>
        <w:rPr>
          <w:rFonts w:ascii="Calibri" w:hAnsi="Calibri" w:cs="Calibri"/>
        </w:rPr>
        <w:t>)</w:t>
      </w:r>
    </w:p>
    <w:p w14:paraId="7D45179C" w14:textId="77777777" w:rsidR="004B5F3E" w:rsidRDefault="004B5F3E" w:rsidP="00653173">
      <w:pPr>
        <w:rPr>
          <w:rFonts w:ascii="Calibri" w:hAnsi="Calibri" w:cs="Calibri"/>
        </w:rPr>
      </w:pPr>
    </w:p>
    <w:p w14:paraId="025753E6" w14:textId="77BBDE1E" w:rsidR="00653173" w:rsidRDefault="00653173" w:rsidP="00653173">
      <w:pPr>
        <w:rPr>
          <w:rFonts w:ascii="Calibri" w:hAnsi="Calibri" w:cs="Calibri"/>
        </w:rPr>
      </w:pPr>
      <w:commentRangeStart w:id="15"/>
      <w:r>
        <w:rPr>
          <w:rFonts w:ascii="Calibri" w:hAnsi="Calibri" w:cs="Calibri"/>
        </w:rPr>
        <w:t>Analyze cash used for capital expenditures, acquisitions, and other investments. High capital expenditures could indicate growth but also requires scrutiny to ensure they are generating a good return.</w:t>
      </w:r>
      <w:commentRangeEnd w:id="15"/>
      <w:r>
        <w:rPr>
          <w:rStyle w:val="CommentReference"/>
        </w:rPr>
        <w:commentReference w:id="15"/>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lastRenderedPageBreak/>
        <w:drawing>
          <wp:inline distT="0" distB="0" distL="0" distR="0" wp14:anchorId="56D01A90" wp14:editId="502D1E16">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DD5E2B1" w14:textId="509F3EBA" w:rsidR="004B5F3E" w:rsidRDefault="004B5F3E" w:rsidP="00653173">
      <w:pPr>
        <w:rPr>
          <w:rFonts w:ascii="Calibri" w:hAnsi="Calibri" w:cs="Calibri"/>
        </w:rPr>
      </w:pPr>
      <w:proofErr w:type="gramStart"/>
      <w:r>
        <w:rPr>
          <w:rFonts w:ascii="Calibri" w:hAnsi="Calibri" w:cs="Calibri"/>
        </w:rPr>
        <w:t>![</w:t>
      </w:r>
      <w:proofErr w:type="gramEnd"/>
      <w:r w:rsidRPr="004B5F3E">
        <w:rPr>
          <w:rFonts w:ascii="Calibri" w:hAnsi="Calibri" w:cs="Calibri"/>
        </w:rPr>
        <w:t>15_financing_cash_flows</w:t>
      </w:r>
      <w:r>
        <w:rPr>
          <w:rFonts w:ascii="Calibri" w:hAnsi="Calibri" w:cs="Calibri"/>
        </w:rPr>
        <w:t>](</w:t>
      </w:r>
      <w:r w:rsidRPr="004B5F3E">
        <w:rPr>
          <w:rFonts w:ascii="Calibri" w:hAnsi="Calibri" w:cs="Calibri"/>
        </w:rPr>
        <w:t>https://github.com/k1bray/stock-price-analysis/blob/main/Visuals/15_financing_cash_flows.png</w:t>
      </w:r>
      <w:r>
        <w:rPr>
          <w:rFonts w:ascii="Calibri" w:hAnsi="Calibri" w:cs="Calibri"/>
        </w:rPr>
        <w:t>)</w:t>
      </w:r>
    </w:p>
    <w:p w14:paraId="75D56CD0" w14:textId="77777777" w:rsidR="004B5F3E" w:rsidRDefault="004B5F3E" w:rsidP="00653173">
      <w:pPr>
        <w:rPr>
          <w:rFonts w:ascii="Calibri" w:hAnsi="Calibri" w:cs="Calibri"/>
        </w:rPr>
      </w:pPr>
    </w:p>
    <w:p w14:paraId="1E325F34" w14:textId="351DB333" w:rsidR="00653173"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3518E354" w14:textId="77777777" w:rsidR="00CC1284" w:rsidRPr="00CC1284" w:rsidRDefault="00CC1284" w:rsidP="00653173">
      <w:pPr>
        <w:rPr>
          <w:rFonts w:ascii="Calibri" w:hAnsi="Calibri" w:cs="Calibri"/>
        </w:rPr>
      </w:pPr>
    </w:p>
    <w:p w14:paraId="707846C1" w14:textId="0CBD1BFD" w:rsidR="00653173" w:rsidRDefault="00653173" w:rsidP="00653173">
      <w:r>
        <w:rPr>
          <w:b/>
          <w:bCs/>
        </w:rPr>
        <w:t>Industry Comparison</w:t>
      </w:r>
    </w:p>
    <w:p w14:paraId="42C87D0B" w14:textId="384C37E9" w:rsidR="00CC1284" w:rsidRDefault="00CC1284" w:rsidP="00653173">
      <w:r>
        <w:t>| COMPANY                         | SUBSCRIBERS (MILLIONS) | MARKET SHARE |</w:t>
      </w:r>
    </w:p>
    <w:p w14:paraId="2197424C" w14:textId="126B453F" w:rsidR="00CC1284" w:rsidRDefault="00CC1284" w:rsidP="00653173">
      <w:r>
        <w:t>| :--------------------------- | ---------------------------------: | -------------------: |</w:t>
      </w:r>
    </w:p>
    <w:p w14:paraId="5113E629" w14:textId="6B3189BC" w:rsidR="00CC1284" w:rsidRDefault="00CC1284" w:rsidP="00653173">
      <w:r>
        <w:t>| Total Subscribers (Est) | 1800.0                                           | 100%                      |</w:t>
      </w:r>
    </w:p>
    <w:p w14:paraId="08FCC95F" w14:textId="7338A0F4" w:rsidR="00CC1284" w:rsidRDefault="00CC1284" w:rsidP="00653173">
      <w:r>
        <w:t>| NFLX                                     | 269.9                                             | 15.0%                     |</w:t>
      </w:r>
    </w:p>
    <w:p w14:paraId="7C32AB13" w14:textId="1A803097" w:rsidR="00CC1284" w:rsidRDefault="00CC1284" w:rsidP="00653173">
      <w:r>
        <w:t>| AMZN Prime Video         | 180.0                                             | 10.0%                     |</w:t>
      </w:r>
    </w:p>
    <w:p w14:paraId="0E12CF3B" w14:textId="1862F5CF" w:rsidR="00CC1284" w:rsidRDefault="00CC1284" w:rsidP="00653173">
      <w:r>
        <w:t>| Disney+                               | 153.6                                             | 8.5%                        |</w:t>
      </w:r>
    </w:p>
    <w:p w14:paraId="78C07E70" w14:textId="5AC14543" w:rsidR="00CC1284" w:rsidRDefault="00CC1284" w:rsidP="00653173">
      <w:r>
        <w:t>| HBO MAX                           | 99.6                                                | 5.5%                        |</w:t>
      </w:r>
    </w:p>
    <w:p w14:paraId="472E7D63" w14:textId="2A609106" w:rsidR="00CC1284" w:rsidRDefault="00CC1284" w:rsidP="00653173">
      <w:r>
        <w:t>| Paramount+                      | 71.0                                                | 3.9%                       |</w:t>
      </w:r>
    </w:p>
    <w:p w14:paraId="3471C3C8" w14:textId="57E6049E" w:rsidR="00CC1284" w:rsidRDefault="00CC1284" w:rsidP="00653173">
      <w:r>
        <w:t>| HULU                                   | 50.2                                                 | 2.8%                       |</w:t>
      </w:r>
    </w:p>
    <w:p w14:paraId="3695A671" w14:textId="25DDEAE0" w:rsidR="00CC1284" w:rsidRDefault="00CC1284" w:rsidP="00653173">
      <w:r>
        <w:t>| Apple TV                             | 44.1                                                 | 2.5%                       |</w:t>
      </w:r>
    </w:p>
    <w:p w14:paraId="0046A88B" w14:textId="060A4827" w:rsidR="00CC1284" w:rsidRDefault="00CC1284" w:rsidP="00653173">
      <w:r>
        <w:t>| Peacock                              | 34.0                                                | 1.9%                       |</w:t>
      </w:r>
    </w:p>
    <w:p w14:paraId="4125B6F0" w14:textId="7D31A304" w:rsidR="00CC1284" w:rsidRDefault="00CC1284" w:rsidP="00653173">
      <w:r>
        <w:t>| ESPN+                                 | 24.8                                                 | 1.4%                      |</w:t>
      </w:r>
    </w:p>
    <w:p w14:paraId="7ECC94DA" w14:textId="5D803D91" w:rsidR="00CC1284" w:rsidRDefault="00CC1284" w:rsidP="00653173">
      <w:r>
        <w:lastRenderedPageBreak/>
        <w:t xml:space="preserve">| YouTube TV                       | 8.0                                                    | 0.4%                      | </w:t>
      </w:r>
    </w:p>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Pr="00653173"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6"/>
      <w:r>
        <w:t>Is NFLX a “buy”?</w:t>
      </w:r>
      <w:commentRangeEnd w:id="16"/>
      <w:r>
        <w:rPr>
          <w:rStyle w:val="CommentReference"/>
        </w:rPr>
        <w:commentReference w:id="16"/>
      </w:r>
    </w:p>
    <w:p w14:paraId="4F8930F4" w14:textId="77777777" w:rsidR="000B3738" w:rsidRDefault="000B3738" w:rsidP="000B3738">
      <w:r w:rsidRPr="003C7695">
        <w:t>It's important to note that past performance is not indicative of future results.</w:t>
      </w:r>
      <w:r>
        <w:t xml:space="preserve">  </w:t>
      </w:r>
      <w:commentRangeStart w:id="17"/>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7"/>
      <w:r>
        <w:rPr>
          <w:rStyle w:val="CommentReference"/>
        </w:rPr>
        <w:commentReference w:id="17"/>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7-02T16:35:00Z" w:initials="KB">
    <w:p w14:paraId="360CF852" w14:textId="77777777" w:rsidR="004D337E" w:rsidRDefault="004D337E" w:rsidP="004D337E">
      <w:pPr>
        <w:pStyle w:val="CommentText"/>
      </w:pPr>
      <w:r>
        <w:rPr>
          <w:rStyle w:val="CommentReference"/>
        </w:rPr>
        <w:annotationRef/>
      </w:r>
      <w:r>
        <w:t>Link</w:t>
      </w:r>
    </w:p>
  </w:comment>
  <w:comment w:id="4" w:author="Kevin Bray" w:date="2024-06-26T11:28:00Z" w:initials="KB">
    <w:p w14:paraId="5DAF97E8" w14:textId="21210005" w:rsidR="00831CCF" w:rsidRDefault="00831CCF" w:rsidP="00831CCF">
      <w:pPr>
        <w:pStyle w:val="CommentText"/>
      </w:pPr>
      <w:r>
        <w:rPr>
          <w:rStyle w:val="CommentReference"/>
        </w:rPr>
        <w:annotationRef/>
      </w:r>
      <w:r>
        <w:t>Cite a date with an example</w:t>
      </w:r>
    </w:p>
  </w:comment>
  <w:comment w:id="5" w:author="Kevin Bray" w:date="2024-06-26T11:28:00Z" w:initials="KB">
    <w:p w14:paraId="14CFA886" w14:textId="77777777" w:rsidR="00831CCF" w:rsidRDefault="00831CCF" w:rsidP="00831CCF">
      <w:pPr>
        <w:pStyle w:val="CommentText"/>
      </w:pPr>
      <w:r>
        <w:rPr>
          <w:rStyle w:val="CommentReference"/>
        </w:rPr>
        <w:annotationRef/>
      </w:r>
      <w:r>
        <w:t>Cite a date with an example</w:t>
      </w:r>
    </w:p>
  </w:comment>
  <w:comment w:id="6" w:author="Kevin Bray" w:date="2024-07-02T16:35:00Z" w:initials="KB">
    <w:p w14:paraId="2BB5171D" w14:textId="77777777" w:rsidR="004D337E" w:rsidRDefault="004D337E" w:rsidP="004D337E">
      <w:pPr>
        <w:pStyle w:val="CommentText"/>
      </w:pPr>
      <w:r>
        <w:rPr>
          <w:rStyle w:val="CommentReference"/>
        </w:rPr>
        <w:annotationRef/>
      </w:r>
      <w:r>
        <w:t>Link</w:t>
      </w:r>
    </w:p>
  </w:comment>
  <w:comment w:id="7" w:author="Kevin Bray" w:date="2024-06-05T15:25:00Z" w:initials="KB">
    <w:p w14:paraId="6D8510A7" w14:textId="37C2D03F" w:rsidR="00C83E58" w:rsidRDefault="00C83E58" w:rsidP="00C83E58">
      <w:pPr>
        <w:pStyle w:val="CommentText"/>
      </w:pPr>
      <w:r>
        <w:rPr>
          <w:rStyle w:val="CommentReference"/>
        </w:rPr>
        <w:annotationRef/>
      </w:r>
      <w:r>
        <w:t>Quote and link a definition from investopedia.com?</w:t>
      </w:r>
    </w:p>
  </w:comment>
  <w:comment w:id="8" w:author="Kevin Bray" w:date="2024-07-02T16:35:00Z" w:initials="KB">
    <w:p w14:paraId="5C1FF3F2" w14:textId="77777777" w:rsidR="004D337E" w:rsidRDefault="004D337E" w:rsidP="004D337E">
      <w:pPr>
        <w:pStyle w:val="CommentText"/>
      </w:pPr>
      <w:r>
        <w:rPr>
          <w:rStyle w:val="CommentReference"/>
        </w:rPr>
        <w:annotationRef/>
      </w:r>
      <w:r>
        <w:t>Link</w:t>
      </w:r>
    </w:p>
  </w:comment>
  <w:comment w:id="9"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10" w:author="Kevin Bray" w:date="2024-07-02T10:20:00Z" w:initials="KB">
    <w:p w14:paraId="3EFBEE02" w14:textId="77777777" w:rsidR="00382185" w:rsidRDefault="00382185" w:rsidP="00382185">
      <w:pPr>
        <w:pStyle w:val="CommentText"/>
      </w:pPr>
      <w:r>
        <w:rPr>
          <w:rStyle w:val="CommentReference"/>
        </w:rPr>
        <w:annotationRef/>
      </w:r>
      <w:r>
        <w:t>Subscriber numbers</w:t>
      </w:r>
    </w:p>
  </w:comment>
  <w:comment w:id="11" w:author="Kevin Bray" w:date="2024-07-09T09:14:00Z" w:initials="KB">
    <w:p w14:paraId="5C689217" w14:textId="77777777" w:rsidR="00AD1365" w:rsidRDefault="00AD1365" w:rsidP="00AD1365">
      <w:pPr>
        <w:pStyle w:val="CommentText"/>
      </w:pPr>
      <w:r>
        <w:rPr>
          <w:rStyle w:val="CommentReference"/>
        </w:rPr>
        <w:annotationRef/>
      </w:r>
      <w:r>
        <w:t>Citation needed</w:t>
      </w:r>
    </w:p>
  </w:comment>
  <w:comment w:id="12" w:author="Kevin Bray" w:date="2024-07-09T09:14:00Z" w:initials="KB">
    <w:p w14:paraId="53F44847" w14:textId="77777777" w:rsidR="00AD1365" w:rsidRDefault="00AD1365" w:rsidP="00AD1365">
      <w:pPr>
        <w:pStyle w:val="CommentText"/>
      </w:pPr>
      <w:r>
        <w:rPr>
          <w:rStyle w:val="CommentReference"/>
        </w:rPr>
        <w:annotationRef/>
      </w:r>
      <w:r>
        <w:t>Citation needed</w:t>
      </w:r>
    </w:p>
  </w:comment>
  <w:comment w:id="13" w:author="Kevin Bray" w:date="2024-07-09T09:15:00Z" w:initials="KB">
    <w:p w14:paraId="32C79926" w14:textId="77777777" w:rsidR="00AD1365" w:rsidRDefault="00AD1365" w:rsidP="00AD1365">
      <w:pPr>
        <w:pStyle w:val="CommentText"/>
      </w:pPr>
      <w:r>
        <w:rPr>
          <w:rStyle w:val="CommentReference"/>
        </w:rPr>
        <w:annotationRef/>
      </w:r>
      <w:r>
        <w:t>Citation needed</w:t>
      </w:r>
    </w:p>
  </w:comment>
  <w:comment w:id="14" w:author="Kevin Bray" w:date="2024-07-02T10:18:00Z" w:initials="KB">
    <w:p w14:paraId="519AFE45" w14:textId="6F91F079" w:rsidR="001B09C4" w:rsidRDefault="001B09C4" w:rsidP="001B09C4">
      <w:pPr>
        <w:pStyle w:val="CommentText"/>
      </w:pPr>
      <w:r>
        <w:rPr>
          <w:rStyle w:val="CommentReference"/>
        </w:rPr>
        <w:annotationRef/>
      </w:r>
      <w:r>
        <w:t xml:space="preserve">"Since early 2022, Netflix has added X million subscribers" or "Strategic price increases have contributed to a Y% increase in revenue per subscriber." </w:t>
      </w:r>
    </w:p>
  </w:comment>
  <w:comment w:id="15" w:author="Kevin Bray" w:date="2024-06-24T11:50:00Z" w:initials="KB">
    <w:p w14:paraId="4B359695" w14:textId="32469533" w:rsidR="00653173" w:rsidRDefault="00653173" w:rsidP="00653173">
      <w:pPr>
        <w:pStyle w:val="CommentText"/>
      </w:pPr>
      <w:r>
        <w:rPr>
          <w:rStyle w:val="CommentReference"/>
        </w:rPr>
        <w:annotationRef/>
      </w:r>
      <w:r>
        <w:t>Reword</w:t>
      </w:r>
    </w:p>
  </w:comment>
  <w:comment w:id="16"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7"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360CF852" w15:done="0"/>
  <w15:commentEx w15:paraId="5DAF97E8" w15:done="0"/>
  <w15:commentEx w15:paraId="14CFA886" w15:done="0"/>
  <w15:commentEx w15:paraId="2BB5171D" w15:done="0"/>
  <w15:commentEx w15:paraId="6D8510A7" w15:done="0"/>
  <w15:commentEx w15:paraId="5C1FF3F2" w15:done="0"/>
  <w15:commentEx w15:paraId="104AF2D4" w15:done="0"/>
  <w15:commentEx w15:paraId="3EFBEE02" w15:done="0"/>
  <w15:commentEx w15:paraId="5C689217" w15:done="0"/>
  <w15:commentEx w15:paraId="53F44847" w15:done="0"/>
  <w15:commentEx w15:paraId="32C79926" w15:done="0"/>
  <w15:commentEx w15:paraId="519AFE45"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43E57283" w16cex:dateUtc="2024-07-02T20:35:00Z"/>
  <w16cex:commentExtensible w16cex:durableId="127E3AF7" w16cex:dateUtc="2024-06-26T15:28:00Z"/>
  <w16cex:commentExtensible w16cex:durableId="352C21D9" w16cex:dateUtc="2024-06-26T15:28:00Z"/>
  <w16cex:commentExtensible w16cex:durableId="60BB2852" w16cex:dateUtc="2024-07-02T20:35:00Z"/>
  <w16cex:commentExtensible w16cex:durableId="056CCF1F" w16cex:dateUtc="2024-06-05T19:25:00Z"/>
  <w16cex:commentExtensible w16cex:durableId="78AEB0ED" w16cex:dateUtc="2024-07-02T20:35:00Z"/>
  <w16cex:commentExtensible w16cex:durableId="37E9F8D4" w16cex:dateUtc="2024-06-01T09:30:00Z"/>
  <w16cex:commentExtensible w16cex:durableId="256851DC" w16cex:dateUtc="2024-07-02T14:20:00Z"/>
  <w16cex:commentExtensible w16cex:durableId="6228E168" w16cex:dateUtc="2024-07-09T13:14:00Z"/>
  <w16cex:commentExtensible w16cex:durableId="19B194BF" w16cex:dateUtc="2024-07-09T13:14:00Z"/>
  <w16cex:commentExtensible w16cex:durableId="6D9206E7" w16cex:dateUtc="2024-07-09T13:15:00Z"/>
  <w16cex:commentExtensible w16cex:durableId="08CF8051" w16cex:dateUtc="2024-07-02T14:18: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360CF852" w16cid:durableId="43E57283"/>
  <w16cid:commentId w16cid:paraId="5DAF97E8" w16cid:durableId="127E3AF7"/>
  <w16cid:commentId w16cid:paraId="14CFA886" w16cid:durableId="352C21D9"/>
  <w16cid:commentId w16cid:paraId="2BB5171D" w16cid:durableId="60BB2852"/>
  <w16cid:commentId w16cid:paraId="6D8510A7" w16cid:durableId="056CCF1F"/>
  <w16cid:commentId w16cid:paraId="5C1FF3F2" w16cid:durableId="78AEB0ED"/>
  <w16cid:commentId w16cid:paraId="104AF2D4" w16cid:durableId="37E9F8D4"/>
  <w16cid:commentId w16cid:paraId="3EFBEE02" w16cid:durableId="256851DC"/>
  <w16cid:commentId w16cid:paraId="5C689217" w16cid:durableId="6228E168"/>
  <w16cid:commentId w16cid:paraId="53F44847" w16cid:durableId="19B194BF"/>
  <w16cid:commentId w16cid:paraId="32C79926" w16cid:durableId="6D9206E7"/>
  <w16cid:commentId w16cid:paraId="519AFE45" w16cid:durableId="08CF8051"/>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0549D"/>
    <w:rsid w:val="0001379D"/>
    <w:rsid w:val="000217A2"/>
    <w:rsid w:val="00042034"/>
    <w:rsid w:val="000433B2"/>
    <w:rsid w:val="00044D58"/>
    <w:rsid w:val="00060CBA"/>
    <w:rsid w:val="0007470A"/>
    <w:rsid w:val="00090E1D"/>
    <w:rsid w:val="00092B8E"/>
    <w:rsid w:val="00097A24"/>
    <w:rsid w:val="00097F7B"/>
    <w:rsid w:val="000A261E"/>
    <w:rsid w:val="000B3738"/>
    <w:rsid w:val="000C1C4A"/>
    <w:rsid w:val="000F41AA"/>
    <w:rsid w:val="00102670"/>
    <w:rsid w:val="001043FD"/>
    <w:rsid w:val="00122091"/>
    <w:rsid w:val="00132899"/>
    <w:rsid w:val="00160667"/>
    <w:rsid w:val="00166FBF"/>
    <w:rsid w:val="0018406A"/>
    <w:rsid w:val="00194CFF"/>
    <w:rsid w:val="001A3D97"/>
    <w:rsid w:val="001B09C4"/>
    <w:rsid w:val="001B407A"/>
    <w:rsid w:val="001B5DC9"/>
    <w:rsid w:val="001C73C3"/>
    <w:rsid w:val="001D6BF3"/>
    <w:rsid w:val="001E0FE3"/>
    <w:rsid w:val="001E641E"/>
    <w:rsid w:val="00224025"/>
    <w:rsid w:val="002262E3"/>
    <w:rsid w:val="00245C0C"/>
    <w:rsid w:val="002466B5"/>
    <w:rsid w:val="00286ED0"/>
    <w:rsid w:val="002A088D"/>
    <w:rsid w:val="002A0A65"/>
    <w:rsid w:val="002C311B"/>
    <w:rsid w:val="002D1E46"/>
    <w:rsid w:val="002D3E5D"/>
    <w:rsid w:val="002D4985"/>
    <w:rsid w:val="0031136D"/>
    <w:rsid w:val="0031282E"/>
    <w:rsid w:val="00373693"/>
    <w:rsid w:val="003762CB"/>
    <w:rsid w:val="00382185"/>
    <w:rsid w:val="0039697A"/>
    <w:rsid w:val="003C7695"/>
    <w:rsid w:val="003D003A"/>
    <w:rsid w:val="003F007E"/>
    <w:rsid w:val="003F61A7"/>
    <w:rsid w:val="003F6A83"/>
    <w:rsid w:val="00401A0D"/>
    <w:rsid w:val="004143E6"/>
    <w:rsid w:val="00426348"/>
    <w:rsid w:val="00437CF5"/>
    <w:rsid w:val="0044428D"/>
    <w:rsid w:val="004605B5"/>
    <w:rsid w:val="00462231"/>
    <w:rsid w:val="004633B9"/>
    <w:rsid w:val="00464697"/>
    <w:rsid w:val="00464A62"/>
    <w:rsid w:val="00467A4D"/>
    <w:rsid w:val="004706C2"/>
    <w:rsid w:val="00475892"/>
    <w:rsid w:val="004845BD"/>
    <w:rsid w:val="004A584D"/>
    <w:rsid w:val="004A6E43"/>
    <w:rsid w:val="004B5F3E"/>
    <w:rsid w:val="004B6905"/>
    <w:rsid w:val="004C3A38"/>
    <w:rsid w:val="004D337E"/>
    <w:rsid w:val="005040FB"/>
    <w:rsid w:val="005060CD"/>
    <w:rsid w:val="005069C4"/>
    <w:rsid w:val="005109EE"/>
    <w:rsid w:val="00510B16"/>
    <w:rsid w:val="005515D9"/>
    <w:rsid w:val="00553F1F"/>
    <w:rsid w:val="00564384"/>
    <w:rsid w:val="00566BC5"/>
    <w:rsid w:val="005A451A"/>
    <w:rsid w:val="005C1057"/>
    <w:rsid w:val="005D6C5D"/>
    <w:rsid w:val="005E176A"/>
    <w:rsid w:val="005E5F09"/>
    <w:rsid w:val="005E73AE"/>
    <w:rsid w:val="005F3E31"/>
    <w:rsid w:val="00615BD8"/>
    <w:rsid w:val="0061799D"/>
    <w:rsid w:val="00622F60"/>
    <w:rsid w:val="00633A05"/>
    <w:rsid w:val="00653173"/>
    <w:rsid w:val="006570F6"/>
    <w:rsid w:val="006634B5"/>
    <w:rsid w:val="00670510"/>
    <w:rsid w:val="00675F96"/>
    <w:rsid w:val="00682D6F"/>
    <w:rsid w:val="00692B86"/>
    <w:rsid w:val="006A2924"/>
    <w:rsid w:val="006A2ABF"/>
    <w:rsid w:val="006E14C7"/>
    <w:rsid w:val="006F1902"/>
    <w:rsid w:val="006F793F"/>
    <w:rsid w:val="00732C89"/>
    <w:rsid w:val="0073380A"/>
    <w:rsid w:val="0074241D"/>
    <w:rsid w:val="00750068"/>
    <w:rsid w:val="00762FF2"/>
    <w:rsid w:val="00780B27"/>
    <w:rsid w:val="00782079"/>
    <w:rsid w:val="00783CB1"/>
    <w:rsid w:val="007B5B1D"/>
    <w:rsid w:val="007C5E17"/>
    <w:rsid w:val="007D0634"/>
    <w:rsid w:val="007E0596"/>
    <w:rsid w:val="007F0967"/>
    <w:rsid w:val="0080420B"/>
    <w:rsid w:val="00804973"/>
    <w:rsid w:val="0082196F"/>
    <w:rsid w:val="00824C55"/>
    <w:rsid w:val="0082625D"/>
    <w:rsid w:val="00831CCF"/>
    <w:rsid w:val="008540C0"/>
    <w:rsid w:val="0087402A"/>
    <w:rsid w:val="008810AA"/>
    <w:rsid w:val="008A0F4B"/>
    <w:rsid w:val="008A61BD"/>
    <w:rsid w:val="008B2EF4"/>
    <w:rsid w:val="008C1238"/>
    <w:rsid w:val="008C5287"/>
    <w:rsid w:val="008D2352"/>
    <w:rsid w:val="008F2FB9"/>
    <w:rsid w:val="008F7290"/>
    <w:rsid w:val="00910F7F"/>
    <w:rsid w:val="00913547"/>
    <w:rsid w:val="00917845"/>
    <w:rsid w:val="0096087C"/>
    <w:rsid w:val="00963671"/>
    <w:rsid w:val="0098441E"/>
    <w:rsid w:val="00992D0F"/>
    <w:rsid w:val="00994396"/>
    <w:rsid w:val="009A0E16"/>
    <w:rsid w:val="009B3B2D"/>
    <w:rsid w:val="009B7448"/>
    <w:rsid w:val="009C0F1C"/>
    <w:rsid w:val="009C0F32"/>
    <w:rsid w:val="009C2CF0"/>
    <w:rsid w:val="009D74AB"/>
    <w:rsid w:val="009F34EF"/>
    <w:rsid w:val="00A07566"/>
    <w:rsid w:val="00A1584F"/>
    <w:rsid w:val="00A23A37"/>
    <w:rsid w:val="00A43D7C"/>
    <w:rsid w:val="00A51EB4"/>
    <w:rsid w:val="00A702A3"/>
    <w:rsid w:val="00A94960"/>
    <w:rsid w:val="00AA2BA7"/>
    <w:rsid w:val="00AA56FE"/>
    <w:rsid w:val="00AC5B13"/>
    <w:rsid w:val="00AD1365"/>
    <w:rsid w:val="00AD286C"/>
    <w:rsid w:val="00AD78ED"/>
    <w:rsid w:val="00AE7E7B"/>
    <w:rsid w:val="00AF5A1A"/>
    <w:rsid w:val="00B159A9"/>
    <w:rsid w:val="00B2236C"/>
    <w:rsid w:val="00B23F6B"/>
    <w:rsid w:val="00B520AA"/>
    <w:rsid w:val="00B527C5"/>
    <w:rsid w:val="00B75C30"/>
    <w:rsid w:val="00B84ABD"/>
    <w:rsid w:val="00BC52E6"/>
    <w:rsid w:val="00BC55B1"/>
    <w:rsid w:val="00BD14DC"/>
    <w:rsid w:val="00BD39BB"/>
    <w:rsid w:val="00BE013A"/>
    <w:rsid w:val="00BF2829"/>
    <w:rsid w:val="00C04BB1"/>
    <w:rsid w:val="00C0683C"/>
    <w:rsid w:val="00C21619"/>
    <w:rsid w:val="00C62540"/>
    <w:rsid w:val="00C67B58"/>
    <w:rsid w:val="00C83E58"/>
    <w:rsid w:val="00C902FC"/>
    <w:rsid w:val="00CA163F"/>
    <w:rsid w:val="00CC0A53"/>
    <w:rsid w:val="00CC0F8A"/>
    <w:rsid w:val="00CC1284"/>
    <w:rsid w:val="00CC4E26"/>
    <w:rsid w:val="00D23742"/>
    <w:rsid w:val="00D51CDE"/>
    <w:rsid w:val="00D80248"/>
    <w:rsid w:val="00D900C1"/>
    <w:rsid w:val="00DA7FAF"/>
    <w:rsid w:val="00DB5725"/>
    <w:rsid w:val="00DC562A"/>
    <w:rsid w:val="00DC702E"/>
    <w:rsid w:val="00DF4431"/>
    <w:rsid w:val="00E05502"/>
    <w:rsid w:val="00E16F5B"/>
    <w:rsid w:val="00E2237F"/>
    <w:rsid w:val="00E254B3"/>
    <w:rsid w:val="00E2736B"/>
    <w:rsid w:val="00E3011A"/>
    <w:rsid w:val="00E570B5"/>
    <w:rsid w:val="00E87090"/>
    <w:rsid w:val="00EA0D60"/>
    <w:rsid w:val="00EA6D08"/>
    <w:rsid w:val="00EB0994"/>
    <w:rsid w:val="00EB146B"/>
    <w:rsid w:val="00EB597F"/>
    <w:rsid w:val="00EC5B3E"/>
    <w:rsid w:val="00ED3C08"/>
    <w:rsid w:val="00ED7461"/>
    <w:rsid w:val="00ED782D"/>
    <w:rsid w:val="00ED7E76"/>
    <w:rsid w:val="00EE10C4"/>
    <w:rsid w:val="00EE7855"/>
    <w:rsid w:val="00F10D76"/>
    <w:rsid w:val="00F1183A"/>
    <w:rsid w:val="00F30DCD"/>
    <w:rsid w:val="00F571DD"/>
    <w:rsid w:val="00F73CC5"/>
    <w:rsid w:val="00F7506D"/>
    <w:rsid w:val="00F76C46"/>
    <w:rsid w:val="00F83267"/>
    <w:rsid w:val="00F93E53"/>
    <w:rsid w:val="00F93EF1"/>
    <w:rsid w:val="00FA6DE3"/>
    <w:rsid w:val="00FB3A0C"/>
    <w:rsid w:val="00FB58D2"/>
    <w:rsid w:val="00FC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37E"/>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46223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223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138971">
      <w:bodyDiv w:val="1"/>
      <w:marLeft w:val="0"/>
      <w:marRight w:val="0"/>
      <w:marTop w:val="0"/>
      <w:marBottom w:val="0"/>
      <w:divBdr>
        <w:top w:val="none" w:sz="0" w:space="0" w:color="auto"/>
        <w:left w:val="none" w:sz="0" w:space="0" w:color="auto"/>
        <w:bottom w:val="none" w:sz="0" w:space="0" w:color="auto"/>
        <w:right w:val="none" w:sz="0" w:space="0" w:color="auto"/>
      </w:divBdr>
    </w:div>
    <w:div w:id="736783882">
      <w:bodyDiv w:val="1"/>
      <w:marLeft w:val="0"/>
      <w:marRight w:val="0"/>
      <w:marTop w:val="0"/>
      <w:marBottom w:val="0"/>
      <w:divBdr>
        <w:top w:val="none" w:sz="0" w:space="0" w:color="auto"/>
        <w:left w:val="none" w:sz="0" w:space="0" w:color="auto"/>
        <w:bottom w:val="none" w:sz="0" w:space="0" w:color="auto"/>
        <w:right w:val="none" w:sz="0" w:space="0" w:color="auto"/>
      </w:divBdr>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962658941">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368140299">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5935117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1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2.xml"/><Relationship Id="rId39" Type="http://schemas.openxmlformats.org/officeDocument/2006/relationships/chart" Target="charts/chart15.xml"/><Relationship Id="rId21" Type="http://schemas.openxmlformats.org/officeDocument/2006/relationships/hyperlink" Target="https://www.investopedia.com/netflix-looks-to-accelerate-revenue-and-subscriber-growth-for-q4-8546779" TargetMode="External"/><Relationship Id="rId34" Type="http://schemas.openxmlformats.org/officeDocument/2006/relationships/chart" Target="charts/chart10.xml"/><Relationship Id="rId42" Type="http://schemas.openxmlformats.org/officeDocument/2006/relationships/theme" Target="theme/theme1.xml"/><Relationship Id="rId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hyperlink" Target="https://www.investopedia.com/netflix-s-better-than-expected-q4-revenue-got-a-boost-from-strong-subscriber-growth-8547829" TargetMode="External"/><Relationship Id="rId29" Type="http://schemas.openxmlformats.org/officeDocument/2006/relationships/chart" Target="charts/chart5.xm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hyperlink" Target="https://s22.q4cdn.com/959853165/files/doc_financials/2022/q4/FINAL-Q4-22-Shareholder-Letter.pdf" TargetMode="External"/><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https://s22.q4cdn.com/959853165/files/doc_financials/2022/q4/Netflix,-Inc.,-Q4-2022-Earnings-Call,-Jan-19,-2023.pdf" TargetMode="External"/><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hyperlink" Target="https://www.kaggle.com/datasets/mayankanand2701/netflix-stock-price-dataset" TargetMode="External"/><Relationship Id="rId19" Type="http://schemas.openxmlformats.org/officeDocument/2006/relationships/hyperlink" Target="https://ir.netflix.net/financials/quarterly-earnings/default.aspx" TargetMode="External"/><Relationship Id="rId31" Type="http://schemas.openxmlformats.org/officeDocument/2006/relationships/chart" Target="charts/chart7.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hyperlink" Target="https://www.similarweb.com/blog/insights/media-entertainment-news/streaming-q1-2023/" TargetMode="External"/><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8" Type="http://schemas.microsoft.com/office/2016/09/relationships/commentsIds" Target="commentsIds.xml"/><Relationship Id="rId3" Type="http://schemas.openxmlformats.org/officeDocument/2006/relationships/settings" Target="settings.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a:t>
            </a:r>
            <a:r>
              <a:rPr lang="en-US" sz="1600" b="1">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'Long-Term Liabilities'!$A$5</c:f>
              <c:strCache>
                <c:ptCount val="1"/>
                <c:pt idx="0">
                  <c:v>Long-term debt</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extLst>
            <c:ext xmlns:c16="http://schemas.microsoft.com/office/drawing/2014/chart" uri="{C3380CC4-5D6E-409C-BE32-E72D297353CC}">
              <c16:uniqueId val="{00000000-1D05-4051-BAE2-E795C6ABEAE6}"/>
            </c:ext>
          </c:extLst>
        </c:ser>
        <c:dLbls>
          <c:dLblPos val="outEnd"/>
          <c:showLegendKey val="0"/>
          <c:showVal val="1"/>
          <c:showCatName val="0"/>
          <c:showSerName val="0"/>
          <c:showPercent val="0"/>
          <c:showBubbleSize val="0"/>
        </c:dLbls>
        <c:gapWidth val="219"/>
        <c:overlap val="-27"/>
        <c:axId val="402218383"/>
        <c:axId val="402217903"/>
      </c:barChart>
      <c:catAx>
        <c:axId val="40221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02217903"/>
        <c:crosses val="autoZero"/>
        <c:auto val="1"/>
        <c:lblAlgn val="ctr"/>
        <c:lblOffset val="100"/>
        <c:noMultiLvlLbl val="0"/>
      </c:catAx>
      <c:valAx>
        <c:axId val="402217903"/>
        <c:scaling>
          <c:orientation val="minMax"/>
        </c:scaling>
        <c:delete val="1"/>
        <c:axPos val="l"/>
        <c:numFmt formatCode="_(&quot;$&quot;* #,##0_);_(&quot;$&quot;* \(#,##0\);_(&quot;$&quot;* &quot;-&quot;??_);_(@_)" sourceLinked="1"/>
        <c:majorTickMark val="none"/>
        <c:minorTickMark val="none"/>
        <c:tickLblPos val="nextTo"/>
        <c:crossAx val="402218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Total</a:t>
            </a:r>
            <a:r>
              <a:rPr lang="en-US" sz="1600" baseline="0">
                <a:solidFill>
                  <a:schemeClr val="tx1">
                    <a:lumMod val="95000"/>
                    <a:lumOff val="5000"/>
                  </a:schemeClr>
                </a:solidFill>
              </a:rPr>
              <a:t> Liabilities </a:t>
            </a:r>
            <a:r>
              <a:rPr lang="en-US" sz="1400" baseline="0">
                <a:solidFill>
                  <a:schemeClr val="tx1">
                    <a:lumMod val="65000"/>
                    <a:lumOff val="35000"/>
                  </a:schemeClr>
                </a:solidFill>
              </a:rPr>
              <a:t>vs</a:t>
            </a:r>
            <a:r>
              <a:rPr lang="en-US" sz="1600" baseline="0">
                <a:solidFill>
                  <a:schemeClr val="tx1">
                    <a:lumMod val="95000"/>
                    <a:lumOff val="5000"/>
                  </a:schemeClr>
                </a:solidFill>
              </a:rPr>
              <a:t> Total 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b="1">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formatCode="General">
                  <c:v>0</c:v>
                </c:pt>
                <c:pt idx="1">
                  <c:v>1.2844691204333736E-2</c:v>
                </c:pt>
                <c:pt idx="2">
                  <c:v>-5.6212856861490579E-3</c:v>
                </c:pt>
                <c:pt idx="3">
                  <c:v>-9.3651940454297922E-3</c:v>
                </c:pt>
                <c:pt idx="4">
                  <c:v>3.791581035993008E-2</c:v>
                </c:pt>
                <c:pt idx="5">
                  <c:v>3.1509773489456494E-3</c:v>
                </c:pt>
                <c:pt idx="6">
                  <c:v>4.1486861816685039E-2</c:v>
                </c:pt>
                <c:pt idx="7">
                  <c:v>3.2963066742520142E-2</c:v>
                </c:pt>
                <c:pt idx="8">
                  <c:v>5.7373506473548774E-2</c:v>
                </c:pt>
              </c:numCache>
            </c:numRef>
          </c:val>
          <c:smooth val="0"/>
          <c:extLst>
            <c:ext xmlns:c16="http://schemas.microsoft.com/office/drawing/2014/chart" uri="{C3380CC4-5D6E-409C-BE32-E72D297353CC}">
              <c16:uniqueId val="{00000000-8FEB-4AE3-9A3A-C4F48536DA32}"/>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&amp; Operating </a:t>
            </a:r>
            <a:r>
              <a:rPr lang="en-US" sz="1600" b="1">
                <a:solidFill>
                  <a:schemeClr val="tx1">
                    <a:lumMod val="65000"/>
                    <a:lumOff val="35000"/>
                  </a:schemeClr>
                </a:solidFill>
              </a:rPr>
              <a:t>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 vs Operating Income'!$A$4</c:f>
              <c:strCache>
                <c:ptCount val="1"/>
                <c:pt idx="0">
                  <c:v>Net income</c:v>
                </c:pt>
              </c:strCache>
            </c:strRef>
          </c:tx>
          <c:spPr>
            <a:solidFill>
              <a:srgbClr val="E50914"/>
            </a:solidFill>
            <a:ln>
              <a:noFill/>
            </a:ln>
            <a:effectLst/>
          </c:spPr>
          <c:invertIfNegative val="0"/>
          <c:dLbls>
            <c:dLbl>
              <c:idx val="0"/>
              <c:layout>
                <c:manualLayout>
                  <c:x val="-1.6638935108153081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360-4793-92D8-26A40E4D0CDF}"/>
                </c:ext>
              </c:extLst>
            </c:dLbl>
            <c:dLbl>
              <c:idx val="1"/>
              <c:layout>
                <c:manualLayout>
                  <c:x val="-2.2185246810870782E-2"/>
                  <c:y val="1.388888888888888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360-4793-92D8-26A40E4D0CDF}"/>
                </c:ext>
              </c:extLst>
            </c:dLbl>
            <c:dLbl>
              <c:idx val="2"/>
              <c:layout>
                <c:manualLayout>
                  <c:x val="-2.2185246810870772E-2"/>
                  <c:y val="1.388888888888888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360-4793-92D8-26A40E4D0CDF}"/>
                </c:ext>
              </c:extLst>
            </c:dLbl>
            <c:dLbl>
              <c:idx val="3"/>
              <c:layout>
                <c:manualLayout>
                  <c:x val="-1.9412090959511925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360-4793-92D8-26A40E4D0CDF}"/>
                </c:ext>
              </c:extLst>
            </c:dLbl>
            <c:dLbl>
              <c:idx val="4"/>
              <c:layout>
                <c:manualLayout>
                  <c:x val="-1.9412090959512025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360-4793-92D8-26A40E4D0CDF}"/>
                </c:ext>
              </c:extLst>
            </c:dLbl>
            <c:dLbl>
              <c:idx val="5"/>
              <c:layout>
                <c:manualLayout>
                  <c:x val="-1.6638935108153077E-2"/>
                  <c:y val="4.629629629629544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360-4793-92D8-26A40E4D0CDF}"/>
                </c:ext>
              </c:extLst>
            </c:dLbl>
            <c:dLbl>
              <c:idx val="6"/>
              <c:layout>
                <c:manualLayout>
                  <c:x val="-1.9412090959511925E-2"/>
                  <c:y val="9.2592592592592587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360-4793-92D8-26A40E4D0CDF}"/>
                </c:ext>
              </c:extLst>
            </c:dLbl>
            <c:dLbl>
              <c:idx val="7"/>
              <c:layout>
                <c:manualLayout>
                  <c:x val="-1.6638935108153077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360-4793-92D8-26A40E4D0CDF}"/>
                </c:ext>
              </c:extLst>
            </c:dLbl>
            <c:dLbl>
              <c:idx val="8"/>
              <c:layout>
                <c:manualLayout>
                  <c:x val="-2.2185246810870772E-2"/>
                  <c:y val="4.629629629629586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360-4793-92D8-26A40E4D0CDF}"/>
                </c:ext>
              </c:extLst>
            </c:dLbl>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0-3CFA-455B-A348-975A6CBE5D38}"/>
            </c:ext>
          </c:extLst>
        </c:ser>
        <c:ser>
          <c:idx val="1"/>
          <c:order val="1"/>
          <c:tx>
            <c:strRef>
              <c:f>'Net Income vs Operating Income'!$A$5</c:f>
              <c:strCache>
                <c:ptCount val="1"/>
                <c:pt idx="0">
                  <c:v>Operating income</c:v>
                </c:pt>
              </c:strCache>
            </c:strRef>
          </c:tx>
          <c:spPr>
            <a:solidFill>
              <a:srgbClr val="1E90FF"/>
            </a:solidFill>
            <a:ln>
              <a:noFill/>
            </a:ln>
            <a:effectLst/>
          </c:spPr>
          <c:invertIfNegative val="0"/>
          <c:dLbls>
            <c:dLbl>
              <c:idx val="2"/>
              <c:layout>
                <c:manualLayout>
                  <c:x val="-5.0840603293257874E-17"/>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360-4793-92D8-26A40E4D0CDF}"/>
                </c:ext>
              </c:extLst>
            </c:dLbl>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Income'!$B$5:$J$5</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3CFA-455B-A348-975A6CBE5D38}"/>
            </c:ext>
          </c:extLst>
        </c:ser>
        <c:dLbls>
          <c:dLblPos val="outEnd"/>
          <c:showLegendKey val="0"/>
          <c:showVal val="1"/>
          <c:showCatName val="0"/>
          <c:showSerName val="0"/>
          <c:showPercent val="0"/>
          <c:showBubbleSize val="0"/>
        </c:dLbls>
        <c:gapWidth val="219"/>
        <c:overlap val="-27"/>
        <c:axId val="281277231"/>
        <c:axId val="281295951"/>
      </c:barChart>
      <c:catAx>
        <c:axId val="28127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95951"/>
        <c:crosses val="autoZero"/>
        <c:auto val="1"/>
        <c:lblAlgn val="ctr"/>
        <c:lblOffset val="100"/>
        <c:noMultiLvlLbl val="0"/>
      </c:catAx>
      <c:valAx>
        <c:axId val="281295951"/>
        <c:scaling>
          <c:orientation val="minMax"/>
        </c:scaling>
        <c:delete val="1"/>
        <c:axPos val="l"/>
        <c:numFmt formatCode="&quot;$&quot;#,##0.0,,&quot;B&quot;" sourceLinked="0"/>
        <c:majorTickMark val="none"/>
        <c:minorTickMark val="none"/>
        <c:tickLblPos val="nextTo"/>
        <c:crossAx val="28127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Margin </a:t>
            </a:r>
            <a:r>
              <a:rPr lang="en-US" sz="1400" b="1" baseline="0">
                <a:solidFill>
                  <a:schemeClr val="tx1">
                    <a:lumMod val="65000"/>
                    <a:lumOff val="35000"/>
                  </a:schemeClr>
                </a:solidFill>
              </a:rPr>
              <a:t>vs</a:t>
            </a:r>
            <a:r>
              <a:rPr lang="en-US" sz="1600" b="1" baseline="0">
                <a:solidFill>
                  <a:schemeClr val="tx1">
                    <a:lumMod val="95000"/>
                    <a:lumOff val="5000"/>
                  </a:schemeClr>
                </a:solidFill>
              </a:rPr>
              <a:t> Gross Margin</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4130-4C3A-85BE-06E2F223AF9A}"/>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4130-4C3A-85BE-06E2F223AF9A}"/>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EPS!$C$3:$K$3</c:f>
              <c:strCache>
                <c:ptCount val="9"/>
                <c:pt idx="0">
                  <c:v>Q1 '22</c:v>
                </c:pt>
                <c:pt idx="1">
                  <c:v>Q2 '22</c:v>
                </c:pt>
                <c:pt idx="2">
                  <c:v>Q3 '22</c:v>
                </c:pt>
                <c:pt idx="3">
                  <c:v>Q4 '22</c:v>
                </c:pt>
                <c:pt idx="4">
                  <c:v>Q1 '23</c:v>
                </c:pt>
                <c:pt idx="5">
                  <c:v>Q2 '23</c:v>
                </c:pt>
                <c:pt idx="6">
                  <c:v>Q3 '23</c:v>
                </c:pt>
                <c:pt idx="7">
                  <c:v>Q4 '23</c:v>
                </c:pt>
                <c:pt idx="8">
                  <c:v>Q1 '24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4BD8-40CE-83F0-1F1684A461E6}"/>
            </c:ext>
          </c:extLst>
        </c:ser>
        <c:dLbls>
          <c:dLblPos val="outEnd"/>
          <c:showLegendKey val="0"/>
          <c:showVal val="1"/>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a:solidFill>
                  <a:schemeClr val="tx1">
                    <a:lumMod val="95000"/>
                    <a:lumOff val="5000"/>
                  </a:schemeClr>
                </a:solidFill>
              </a:rPr>
              <a:t>Asset</a:t>
            </a:r>
            <a:r>
              <a:rPr lang="en-US" sz="1400" b="1" baseline="0">
                <a:solidFill>
                  <a:schemeClr val="tx1">
                    <a:lumMod val="95000"/>
                    <a:lumOff val="5000"/>
                  </a:schemeClr>
                </a:solidFill>
              </a:rPr>
              <a:t> Turnover Ratio with Quarterly % Change</a:t>
            </a:r>
            <a:endParaRPr lang="en-US" sz="14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0-0459-4412-A543-1ADD692BADE4}"/>
            </c:ext>
          </c:extLst>
        </c:ser>
        <c:dLbls>
          <c:showLegendKey val="0"/>
          <c:showVal val="0"/>
          <c:showCatName val="0"/>
          <c:showSerName val="0"/>
          <c:showPercent val="0"/>
          <c:showBubbleSize val="0"/>
        </c:dLbls>
        <c:gapWidth val="219"/>
        <c:axId val="12836783"/>
        <c:axId val="12848303"/>
      </c:barChart>
      <c:lineChart>
        <c:grouping val="standard"/>
        <c:varyColors val="0"/>
        <c:ser>
          <c:idx val="1"/>
          <c:order val="1"/>
          <c:tx>
            <c:strRef>
              <c:f>'Asset Turnover Ratio'!$A$8</c:f>
              <c:strCache>
                <c:ptCount val="1"/>
                <c:pt idx="0">
                  <c:v>% Change in ATR</c:v>
                </c:pt>
              </c:strCache>
            </c:strRef>
          </c:tx>
          <c:spPr>
            <a:ln w="28575" cap="rnd">
              <a:solidFill>
                <a:srgbClr val="1E90FF"/>
              </a:solidFill>
              <a:round/>
            </a:ln>
            <a:effectLst/>
          </c:spPr>
          <c:marker>
            <c:symbol val="none"/>
          </c:marker>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Ratio'!$B$8:$J$8</c:f>
              <c:numCache>
                <c:formatCode>0.0%</c:formatCode>
                <c:ptCount val="9"/>
                <c:pt idx="0">
                  <c:v>0</c:v>
                </c:pt>
                <c:pt idx="1">
                  <c:v>-9.3681686315554291E-3</c:v>
                </c:pt>
                <c:pt idx="2">
                  <c:v>-3.1900384339281329E-2</c:v>
                </c:pt>
                <c:pt idx="3">
                  <c:v>-3.1278638047334884E-2</c:v>
                </c:pt>
                <c:pt idx="4">
                  <c:v>2.0185085268181857E-2</c:v>
                </c:pt>
                <c:pt idx="5">
                  <c:v>-2.3580423487578273E-2</c:v>
                </c:pt>
                <c:pt idx="6">
                  <c:v>6.6303193696016893E-2</c:v>
                </c:pt>
                <c:pt idx="7">
                  <c:v>4.8001296454070475E-2</c:v>
                </c:pt>
                <c:pt idx="8">
                  <c:v>5.5521813409189935E-2</c:v>
                </c:pt>
              </c:numCache>
            </c:numRef>
          </c:val>
          <c:smooth val="0"/>
          <c:extLst>
            <c:ext xmlns:c16="http://schemas.microsoft.com/office/drawing/2014/chart" uri="{C3380CC4-5D6E-409C-BE32-E72D297353CC}">
              <c16:uniqueId val="{00000001-0459-4412-A543-1ADD692BADE4}"/>
            </c:ext>
          </c:extLst>
        </c:ser>
        <c:dLbls>
          <c:showLegendKey val="0"/>
          <c:showVal val="0"/>
          <c:showCatName val="0"/>
          <c:showSerName val="0"/>
          <c:showPercent val="0"/>
          <c:showBubbleSize val="0"/>
        </c:dLbls>
        <c:marker val="1"/>
        <c:smooth val="0"/>
        <c:axId val="12855983"/>
        <c:axId val="12834383"/>
      </c:lineChart>
      <c:catAx>
        <c:axId val="1283678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48303"/>
        <c:crosses val="autoZero"/>
        <c:auto val="1"/>
        <c:lblAlgn val="ctr"/>
        <c:lblOffset val="100"/>
        <c:noMultiLvlLbl val="0"/>
      </c:catAx>
      <c:valAx>
        <c:axId val="12848303"/>
        <c:scaling>
          <c:orientation val="minMax"/>
        </c:scaling>
        <c:delete val="0"/>
        <c:axPos val="l"/>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36783"/>
        <c:crosses val="autoZero"/>
        <c:crossBetween val="between"/>
      </c:valAx>
      <c:valAx>
        <c:axId val="12834383"/>
        <c:scaling>
          <c:orientation val="minMax"/>
        </c:scaling>
        <c:delete val="0"/>
        <c:axPos val="r"/>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55983"/>
        <c:crosses val="max"/>
        <c:crossBetween val="between"/>
      </c:valAx>
      <c:catAx>
        <c:axId val="12855983"/>
        <c:scaling>
          <c:orientation val="minMax"/>
        </c:scaling>
        <c:delete val="1"/>
        <c:axPos val="b"/>
        <c:numFmt formatCode="General" sourceLinked="1"/>
        <c:majorTickMark val="out"/>
        <c:minorTickMark val="none"/>
        <c:tickLblPos val="nextTo"/>
        <c:crossAx val="1283438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baseline="0">
                <a:solidFill>
                  <a:schemeClr val="tx1">
                    <a:lumMod val="95000"/>
                    <a:lumOff val="5000"/>
                  </a:schemeClr>
                </a:solidFill>
              </a:rPr>
              <a:t>ROA </a:t>
            </a:r>
            <a:r>
              <a:rPr lang="en-US" sz="1400" b="1" baseline="0">
                <a:solidFill>
                  <a:schemeClr val="tx1">
                    <a:lumMod val="65000"/>
                    <a:lumOff val="35000"/>
                  </a:schemeClr>
                </a:solidFill>
              </a:rPr>
              <a:t>vs</a:t>
            </a:r>
            <a:r>
              <a:rPr lang="en-US" sz="1600" b="1" baseline="0">
                <a:solidFill>
                  <a:schemeClr val="tx1">
                    <a:lumMod val="95000"/>
                    <a:lumOff val="5000"/>
                  </a:schemeClr>
                </a:solidFill>
              </a:rPr>
              <a:t> ROE</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 vs ROE'!$A$5</c:f>
              <c:strCache>
                <c:ptCount val="1"/>
                <c:pt idx="0">
                  <c:v>Return on Assets</c:v>
                </c:pt>
              </c:strCache>
            </c:strRef>
          </c:tx>
          <c:spPr>
            <a:solidFill>
              <a:srgbClr val="E50914"/>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extLst>
            <c:ext xmlns:c16="http://schemas.microsoft.com/office/drawing/2014/chart" uri="{C3380CC4-5D6E-409C-BE32-E72D297353CC}">
              <c16:uniqueId val="{00000000-3674-4F58-9E99-CCF40923F35B}"/>
            </c:ext>
          </c:extLst>
        </c:ser>
        <c:ser>
          <c:idx val="1"/>
          <c:order val="1"/>
          <c:tx>
            <c:strRef>
              <c:f>'ROA vs ROE'!$A$9</c:f>
              <c:strCache>
                <c:ptCount val="1"/>
                <c:pt idx="0">
                  <c:v>Return on Equity</c:v>
                </c:pt>
              </c:strCache>
            </c:strRef>
          </c:tx>
          <c:spPr>
            <a:solidFill>
              <a:srgbClr val="1E90FF"/>
            </a:solidFill>
            <a:ln>
              <a:noFill/>
            </a:ln>
            <a:effectLst/>
          </c:spPr>
          <c:invertIfNegative val="0"/>
          <c:dLbls>
            <c:dLbl>
              <c:idx val="3"/>
              <c:layout>
                <c:manualLayout>
                  <c:x val="0"/>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2B9-4E98-A561-11DD145DE8FB}"/>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ROE'!$B$9:$J$9</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extLst>
            <c:ext xmlns:c16="http://schemas.microsoft.com/office/drawing/2014/chart" uri="{C3380CC4-5D6E-409C-BE32-E72D297353CC}">
              <c16:uniqueId val="{00000001-3674-4F58-9E99-CCF40923F35B}"/>
            </c:ext>
          </c:extLst>
        </c:ser>
        <c:dLbls>
          <c:dLblPos val="outEnd"/>
          <c:showLegendKey val="0"/>
          <c:showVal val="1"/>
          <c:showCatName val="0"/>
          <c:showSerName val="0"/>
          <c:showPercent val="0"/>
          <c:showBubbleSize val="0"/>
        </c:dLbls>
        <c:gapWidth val="219"/>
        <c:overlap val="-27"/>
        <c:axId val="281291631"/>
        <c:axId val="281289711"/>
      </c:barChart>
      <c:catAx>
        <c:axId val="28129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89711"/>
        <c:crosses val="autoZero"/>
        <c:auto val="1"/>
        <c:lblAlgn val="ctr"/>
        <c:lblOffset val="100"/>
        <c:noMultiLvlLbl val="0"/>
      </c:catAx>
      <c:valAx>
        <c:axId val="281289711"/>
        <c:scaling>
          <c:orientation val="minMax"/>
        </c:scaling>
        <c:delete val="1"/>
        <c:axPos val="l"/>
        <c:numFmt formatCode="0%" sourceLinked="1"/>
        <c:majorTickMark val="none"/>
        <c:minorTickMark val="none"/>
        <c:tickLblPos val="nextTo"/>
        <c:crossAx val="28129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Current</a:t>
            </a:r>
            <a:r>
              <a:rPr lang="en-US" sz="1600"/>
              <a:t> </a:t>
            </a:r>
            <a:r>
              <a:rPr lang="en-US" sz="1600">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Debt-To-Equity</a:t>
            </a:r>
            <a:r>
              <a:rPr lang="en-US" sz="1600" b="1"/>
              <a:t>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43664</TotalTime>
  <Pages>22</Pages>
  <Words>4577</Words>
  <Characters>26094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118</cp:revision>
  <dcterms:created xsi:type="dcterms:W3CDTF">2024-05-31T14:20:00Z</dcterms:created>
  <dcterms:modified xsi:type="dcterms:W3CDTF">2024-07-10T14:19:00Z</dcterms:modified>
</cp:coreProperties>
</file>