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9"/>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9"/>
      <w:r w:rsidR="000A261E">
        <w:rPr>
          <w:rStyle w:val="CommentReference"/>
        </w:rPr>
        <w:commentReference w:id="9"/>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lastRenderedPageBreak/>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C6E38CA" w:rsidR="00653173" w:rsidRDefault="00653173" w:rsidP="00653173">
      <w:r>
        <w:t xml:space="preserve">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w:t>
      </w:r>
      <w:r>
        <w:lastRenderedPageBreak/>
        <w:t>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31764E9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3331E658"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5CE9E365"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42F55F" w14:textId="77777777" w:rsidR="00ED7461" w:rsidRDefault="00ED7461" w:rsidP="00653173">
      <w:pPr>
        <w:rPr>
          <w:rFonts w:ascii="Calibri" w:hAnsi="Calibri" w:cs="Calibri"/>
          <w:b/>
          <w:bCs/>
        </w:rPr>
      </w:pPr>
    </w:p>
    <w:p w14:paraId="688B15F0" w14:textId="459E9BFC" w:rsidR="00653173" w:rsidRDefault="00653173" w:rsidP="00653173">
      <w:pPr>
        <w:rPr>
          <w:rFonts w:ascii="Calibri" w:hAnsi="Calibri" w:cs="Calibri"/>
        </w:rPr>
      </w:pPr>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This is a positive sign for the company's financial health, as it indicates that their core business operations are generating enough cash to cover their expenses and invest in growth.</w:t>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0"/>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0"/>
      <w:r>
        <w:rPr>
          <w:rStyle w:val="CommentReference"/>
        </w:rPr>
        <w:commentReference w:id="10"/>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1"/>
      <w:r>
        <w:t>Is NFLX a “buy”?</w:t>
      </w:r>
      <w:commentRangeEnd w:id="11"/>
      <w:r>
        <w:rPr>
          <w:rStyle w:val="CommentReference"/>
        </w:rPr>
        <w:commentReference w:id="11"/>
      </w:r>
    </w:p>
    <w:p w14:paraId="4F8930F4" w14:textId="77777777" w:rsidR="000B3738" w:rsidRDefault="000B3738" w:rsidP="000B3738">
      <w:r w:rsidRPr="003C7695">
        <w:t>It's important to note that past performance is not indicative of future results.</w:t>
      </w:r>
      <w:r>
        <w:t xml:space="preserve">  </w:t>
      </w:r>
      <w:commentRangeStart w:id="12"/>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2"/>
      <w:r>
        <w:rPr>
          <w:rStyle w:val="CommentReference"/>
        </w:rPr>
        <w:commentReference w:id="12"/>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0"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1"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2"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359AFB6"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3F33DD2E" w16cex:dateUtc="2024-06-25T12:04: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359AFB6" w16cid:durableId="3F33DD2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44D58"/>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7589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33559</TotalTime>
  <Pages>20</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93</cp:revision>
  <dcterms:created xsi:type="dcterms:W3CDTF">2024-05-31T14:20:00Z</dcterms:created>
  <dcterms:modified xsi:type="dcterms:W3CDTF">2024-07-02T13:57:00Z</dcterms:modified>
</cp:coreProperties>
</file>