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proofErr w:type="gramStart"/>
      <w:r>
        <w:t>!</w:t>
      </w:r>
      <w:r w:rsidR="00BD14DC">
        <w:t>[</w:t>
      </w:r>
      <w:proofErr w:type="gramEnd"/>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proofErr w:type="gramStart"/>
      <w:r>
        <w:t>![</w:t>
      </w:r>
      <w:proofErr w:type="gramEnd"/>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proofErr w:type="gramStart"/>
      <w:r>
        <w:t>![</w:t>
      </w:r>
      <w:proofErr w:type="gramEnd"/>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proofErr w:type="gramStart"/>
      <w:r>
        <w:rPr>
          <w:rFonts w:ascii="Calibri" w:hAnsi="Calibri" w:cs="Calibri"/>
        </w:rPr>
        <w:t>![</w:t>
      </w:r>
      <w:proofErr w:type="gramEnd"/>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6269CB1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4"/>
      <w:r w:rsidR="00AD1365">
        <w:rPr>
          <w:rFonts w:ascii="Calibri" w:hAnsi="Calibri" w:cs="Calibri"/>
        </w:rPr>
        <w:t>Citation</w:t>
      </w:r>
      <w:commentRangeEnd w:id="14"/>
      <w:r w:rsidR="00AD1365">
        <w:rPr>
          <w:rStyle w:val="CommentReference"/>
        </w:rPr>
        <w:commentReference w:id="14"/>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proofErr w:type="gramStart"/>
      <w:r>
        <w:t>![</w:t>
      </w:r>
      <w:proofErr w:type="gramEnd"/>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 xml:space="preserve">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proofErr w:type="gramStart"/>
      <w:r>
        <w:t>![</w:t>
      </w:r>
      <w:proofErr w:type="gramEnd"/>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proofErr w:type="gramStart"/>
      <w:r>
        <w:t>![</w:t>
      </w:r>
      <w:proofErr w:type="gramEnd"/>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proofErr w:type="gramStart"/>
      <w:r>
        <w:t>![</w:t>
      </w:r>
      <w:proofErr w:type="gramEnd"/>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proofErr w:type="gramStart"/>
      <w:r>
        <w:t>![</w:t>
      </w:r>
      <w:proofErr w:type="gramEnd"/>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proofErr w:type="gramStart"/>
      <w:r>
        <w:t>![</w:t>
      </w:r>
      <w:proofErr w:type="gramEnd"/>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proofErr w:type="gramStart"/>
      <w:r>
        <w:t>![</w:t>
      </w:r>
      <w:proofErr w:type="gramEnd"/>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proofErr w:type="gramStart"/>
      <w:r>
        <w:t>![</w:t>
      </w:r>
      <w:proofErr w:type="gramEnd"/>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proofErr w:type="gramStart"/>
      <w:r>
        <w:rPr>
          <w:rFonts w:ascii="Calibri" w:hAnsi="Calibri" w:cs="Calibri"/>
        </w:rPr>
        <w:t>![</w:t>
      </w:r>
      <w:proofErr w:type="gramEnd"/>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5"/>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5"/>
      <w:r>
        <w:rPr>
          <w:rStyle w:val="CommentReference"/>
        </w:rPr>
        <w:commentReference w:id="15"/>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6"/>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6"/>
      <w:r>
        <w:rPr>
          <w:rStyle w:val="CommentReference"/>
        </w:rPr>
        <w:commentReference w:id="16"/>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2288B01F" w:rsidR="00CF05AD" w:rsidRDefault="003F1836" w:rsidP="00CF05AD">
      <w:pPr>
        <w:rPr>
          <w:rFonts w:ascii="Calibri" w:hAnsi="Calibri" w:cs="Calibri"/>
        </w:rPr>
      </w:pPr>
      <w:r>
        <w:rPr>
          <w:noProof/>
        </w:rPr>
        <w:drawing>
          <wp:inline distT="0" distB="0" distL="0" distR="0" wp14:anchorId="70D9655B" wp14:editId="5F125AEE">
            <wp:extent cx="4572000" cy="2809875"/>
            <wp:effectExtent l="0" t="0" r="0" b="9525"/>
            <wp:docPr id="904081353"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proofErr w:type="gramStart"/>
      <w:r>
        <w:rPr>
          <w:rFonts w:ascii="Calibri" w:hAnsi="Calibri" w:cs="Calibri"/>
        </w:rPr>
        <w:t>![</w:t>
      </w:r>
      <w:proofErr w:type="gramEnd"/>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01FD1604" w:rsidR="00CF05AD" w:rsidRDefault="00CF05AD" w:rsidP="00CF05AD">
      <w:pPr>
        <w:rPr>
          <w:rFonts w:ascii="Calibri" w:hAnsi="Calibri" w:cs="Calibri"/>
        </w:rPr>
      </w:pPr>
      <w:r>
        <w:rPr>
          <w:rFonts w:ascii="Calibri" w:hAnsi="Calibri" w:cs="Calibri"/>
        </w:rPr>
        <w:t>Historically until Q1 ’22, NFLX had always seen a quarterly expansion of their subscriber base with a quarter-over-quarter average subscription growth rate of 4.4%.</w:t>
      </w:r>
      <w:r w:rsidRPr="00CF05AD">
        <w:rPr>
          <w:rFonts w:ascii="Calibri" w:hAnsi="Calibri" w:cs="Calibri"/>
        </w:rPr>
        <w:t xml:space="preserve"> </w:t>
      </w:r>
      <w:r>
        <w:rPr>
          <w:rFonts w:ascii="Calibri" w:hAnsi="Calibri" w:cs="Calibri"/>
        </w:rPr>
        <w:t xml:space="preserve"> Since 2013, NFLX has had only 2 quarters of negative growth in Q1 ’22 (-0.1%) and Q2 ’22 (-0.4%).  Just before the beginning of the Covid-19 pandemic in Q4 ’19, NFLX had 167.09 million subscribers.  The mandated lockdowns caused a surge in </w:t>
      </w:r>
      <w:r>
        <w:rPr>
          <w:rFonts w:ascii="Calibri" w:hAnsi="Calibri" w:cs="Calibri"/>
        </w:rPr>
        <w:lastRenderedPageBreak/>
        <w:t>subscribers which had ballooned to 221.84 million by Q4 ’21.  Since that time NFLX has gained 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7"/>
      <w:r>
        <w:t>Is NFLX a “buy”?</w:t>
      </w:r>
      <w:commentRangeEnd w:id="17"/>
      <w:r>
        <w:rPr>
          <w:rStyle w:val="CommentReference"/>
        </w:rPr>
        <w:commentReference w:id="17"/>
      </w:r>
    </w:p>
    <w:p w14:paraId="4F8930F4" w14:textId="77777777" w:rsidR="000B3738" w:rsidRDefault="000B3738" w:rsidP="000B3738">
      <w:r w:rsidRPr="003C7695">
        <w:t>It's important to note that past performance is not indicative of future results.</w:t>
      </w:r>
      <w:r>
        <w:t xml:space="preserve">  </w:t>
      </w:r>
      <w:commentRangeStart w:id="1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8"/>
      <w:r>
        <w:rPr>
          <w:rStyle w:val="CommentReference"/>
        </w:rPr>
        <w:commentReference w:id="1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09T09:15:00Z" w:initials="KB">
    <w:p w14:paraId="32C79926" w14:textId="684382C7" w:rsidR="00AD1365" w:rsidRDefault="00AD1365" w:rsidP="00AD1365">
      <w:pPr>
        <w:pStyle w:val="CommentText"/>
      </w:pPr>
      <w:r>
        <w:rPr>
          <w:rStyle w:val="CommentReference"/>
        </w:rPr>
        <w:annotationRef/>
      </w:r>
      <w:r>
        <w:t>Citation needed</w:t>
      </w:r>
    </w:p>
  </w:comment>
  <w:comment w:id="15"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6"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7"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01D1-4E2F-A10B-F9406C26249D}"/>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0.76667</cdr:x>
      <cdr:y>0.28271</cdr:y>
    </cdr:from>
    <cdr:to>
      <cdr:x>0.84792</cdr:x>
      <cdr:y>0.39458</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505200" y="794385"/>
          <a:ext cx="371475" cy="314325"/>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45169</TotalTime>
  <Pages>23</Pages>
  <Words>4754</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125</cp:revision>
  <dcterms:created xsi:type="dcterms:W3CDTF">2024-05-31T14:20:00Z</dcterms:created>
  <dcterms:modified xsi:type="dcterms:W3CDTF">2024-07-11T15:24:00Z</dcterms:modified>
</cp:coreProperties>
</file>