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lastRenderedPageBreak/>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r w:rsidRPr="004B6905">
        <w:t>nflx_vs_spy_sma</w:t>
      </w:r>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r w:rsidRPr="004B6905">
        <w:t>nflx_vs_spy_hv</w:t>
      </w:r>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3"/>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3"/>
      <w:r>
        <w:rPr>
          <w:rStyle w:val="CommentReference"/>
        </w:rPr>
        <w:commentReference w:id="3"/>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w:t>
      </w:r>
      <w:r w:rsidR="00DB5725">
        <w:lastRenderedPageBreak/>
        <w:t>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lastRenderedPageBreak/>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r w:rsidRPr="004B6905">
        <w:t>nflx_vs_spy_annual_pct_return</w:t>
      </w:r>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5"/>
      <w:r w:rsidR="00FB58D2">
        <w:rPr>
          <w:b/>
          <w:bCs/>
          <w:sz w:val="28"/>
          <w:szCs w:val="28"/>
        </w:rPr>
        <w:t>Analysis of NFLX Financials</w:t>
      </w:r>
      <w:commentRangeEnd w:id="5"/>
      <w:r w:rsidR="00FB58D2">
        <w:rPr>
          <w:rStyle w:val="CommentReference"/>
        </w:rPr>
        <w:commentReference w:id="5"/>
      </w:r>
    </w:p>
    <w:p w14:paraId="17469DC5" w14:textId="6E1755FE" w:rsidR="00DC562A" w:rsidRDefault="00DC562A" w:rsidP="003C7695">
      <w:r>
        <w:lastRenderedPageBreak/>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B41CB6" w14:textId="60733E07" w:rsidR="00653173" w:rsidRDefault="00653173" w:rsidP="00653173">
      <w:commentRangeStart w:id="7"/>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7"/>
      <w:r w:rsidR="000A261E">
        <w:rPr>
          <w:rStyle w:val="CommentReference"/>
        </w:rPr>
        <w:commentReference w:id="7"/>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5C0AF1E5">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t>Net Income</w:t>
      </w:r>
    </w:p>
    <w:p w14:paraId="5C66AB22" w14:textId="77777777" w:rsidR="00653173" w:rsidRDefault="00653173" w:rsidP="00653173">
      <w:r>
        <w:rPr>
          <w:noProof/>
        </w:rPr>
        <w:drawing>
          <wp:inline distT="0" distB="0" distL="0" distR="0" wp14:anchorId="6EAE7E22" wp14:editId="77AF1155">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332011" w14:textId="713325D0" w:rsidR="000A261E" w:rsidRDefault="000A261E" w:rsidP="00653173">
      <w:pPr>
        <w:rPr>
          <w:rFonts w:ascii="Calibri" w:hAnsi="Calibri" w:cs="Calibri"/>
        </w:rPr>
      </w:pPr>
      <w:commentRangeStart w:id="8"/>
      <w:r>
        <w:rPr>
          <w:rFonts w:ascii="Calibri" w:hAnsi="Calibri" w:cs="Calibri"/>
        </w:rPr>
        <w:t>This chart looks almost identical to the operating income chart</w:t>
      </w:r>
      <w:commentRangeEnd w:id="8"/>
      <w:r>
        <w:rPr>
          <w:rStyle w:val="CommentReference"/>
        </w:rPr>
        <w:commentReference w:id="8"/>
      </w:r>
    </w:p>
    <w:p w14:paraId="78EA9A0B" w14:textId="77777777" w:rsidR="000A261E" w:rsidRDefault="000A261E" w:rsidP="00653173">
      <w:pPr>
        <w:rPr>
          <w:rFonts w:ascii="Calibri" w:hAnsi="Calibri" w:cs="Calibri"/>
        </w:rPr>
      </w:pPr>
    </w:p>
    <w:p w14:paraId="69C01649" w14:textId="4F61E06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w:t>
      </w:r>
      <w:r>
        <w:rPr>
          <w:rFonts w:ascii="Calibri" w:hAnsi="Calibri" w:cs="Calibri"/>
        </w:rPr>
        <w:lastRenderedPageBreak/>
        <w:t>launched their lower-priced ad-supported subscription service, which has since helped to bolster their overall subscriber base as well as revenues.</w:t>
      </w:r>
    </w:p>
    <w:p w14:paraId="0923CDAF" w14:textId="0F7C35FC" w:rsidR="00653173" w:rsidRDefault="00653173" w:rsidP="00653173">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drawing>
          <wp:inline distT="0" distB="0" distL="0" distR="0" wp14:anchorId="5888CA95" wp14:editId="645DD8D9">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lastRenderedPageBreak/>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842EB8" w14:textId="77777777" w:rsidR="00653173" w:rsidRDefault="00653173" w:rsidP="00653173"/>
    <w:p w14:paraId="48014A3F" w14:textId="77777777" w:rsidR="00653173" w:rsidRPr="00D97C10" w:rsidRDefault="00653173" w:rsidP="00653173">
      <w:commentRangeStart w:id="9"/>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lastRenderedPageBreak/>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commentRangeEnd w:id="9"/>
      <w:r w:rsidR="002A088D">
        <w:rPr>
          <w:rStyle w:val="CommentReference"/>
        </w:rPr>
        <w:commentReference w:id="9"/>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drawing>
          <wp:inline distT="0" distB="0" distL="0" distR="0" wp14:anchorId="1789F7D1" wp14:editId="03E61FF8">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B9028" w14:textId="77777777" w:rsidR="00653173" w:rsidRDefault="00653173" w:rsidP="00653173">
      <w:r>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lastRenderedPageBreak/>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251598D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lastRenderedPageBreak/>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lastRenderedPageBreak/>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drawing>
          <wp:inline distT="0" distB="0" distL="0" distR="0" wp14:anchorId="6ECDE08E" wp14:editId="48957BEC">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11625E6" w14:textId="77777777"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w:t>
      </w:r>
      <w:r>
        <w:lastRenderedPageBreak/>
        <w:t>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drawing>
          <wp:inline distT="0" distB="0" distL="0" distR="0" wp14:anchorId="2BEE598B" wp14:editId="4F895AB4">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63699CFB">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fairly constant,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65B8311B">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6640D689">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8B15F0" w14:textId="77777777" w:rsidR="00653173" w:rsidRDefault="00653173" w:rsidP="00653173">
      <w:pPr>
        <w:rPr>
          <w:rFonts w:ascii="Calibri" w:hAnsi="Calibri" w:cs="Calibri"/>
        </w:rPr>
      </w:pPr>
      <w:commentRangeStart w:id="10"/>
      <w:r>
        <w:rPr>
          <w:rFonts w:ascii="Calibri" w:hAnsi="Calibri" w:cs="Calibri"/>
        </w:rPr>
        <w:t>Positive and growing operating cash flow indicates that the company’s core business operations are generating cash.</w:t>
      </w:r>
      <w:commentRangeEnd w:id="10"/>
      <w:r>
        <w:rPr>
          <w:rStyle w:val="CommentReference"/>
        </w:rPr>
        <w:commentReference w:id="10"/>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25753E6" w14:textId="7457110A" w:rsidR="00653173" w:rsidRDefault="00653173" w:rsidP="00653173">
      <w:pPr>
        <w:rPr>
          <w:rFonts w:ascii="Calibri" w:hAnsi="Calibri" w:cs="Calibri"/>
        </w:rPr>
      </w:pPr>
      <w:commentRangeStart w:id="11"/>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11"/>
      <w:r>
        <w:rPr>
          <w:rStyle w:val="CommentReference"/>
        </w:rPr>
        <w:commentReference w:id="11"/>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2"/>
      <w:r>
        <w:t>Is NFLX a “buy”?</w:t>
      </w:r>
      <w:commentRangeEnd w:id="12"/>
      <w:r>
        <w:rPr>
          <w:rStyle w:val="CommentReference"/>
        </w:rPr>
        <w:commentReference w:id="12"/>
      </w:r>
    </w:p>
    <w:p w14:paraId="4F8930F4" w14:textId="77777777" w:rsidR="000B3738" w:rsidRDefault="000B3738" w:rsidP="000B3738">
      <w:r w:rsidRPr="003C7695">
        <w:t>It's important to note that past performance is not indicative of future results.</w:t>
      </w:r>
      <w:r>
        <w:t xml:space="preserve">  </w:t>
      </w:r>
      <w:commentRangeStart w:id="13"/>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3"/>
      <w:r>
        <w:rPr>
          <w:rStyle w:val="CommentReference"/>
        </w:rPr>
        <w:commentReference w:id="13"/>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8" w:author="Kevin Bray" w:date="2024-06-25T08:03:00Z" w:initials="KB">
    <w:p w14:paraId="523E83D0" w14:textId="0BC2C71C" w:rsidR="000A261E" w:rsidRDefault="000A261E" w:rsidP="000A261E">
      <w:pPr>
        <w:pStyle w:val="CommentText"/>
      </w:pPr>
      <w:r>
        <w:rPr>
          <w:rStyle w:val="CommentReference"/>
        </w:rPr>
        <w:annotationRef/>
      </w:r>
      <w:r>
        <w:t>Take a look at this</w:t>
      </w:r>
    </w:p>
  </w:comment>
  <w:comment w:id="9" w:author="Kevin Bray" w:date="2024-06-25T08:29:00Z" w:initials="KB">
    <w:p w14:paraId="3E49DD1D" w14:textId="77777777" w:rsidR="002A088D" w:rsidRDefault="002A088D" w:rsidP="002A088D">
      <w:pPr>
        <w:pStyle w:val="CommentText"/>
      </w:pPr>
      <w:r>
        <w:rPr>
          <w:rStyle w:val="CommentReference"/>
        </w:rPr>
        <w:annotationRef/>
      </w:r>
      <w:r>
        <w:t>Reword</w:t>
      </w:r>
    </w:p>
  </w:comment>
  <w:comment w:id="10"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1"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2"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3"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6D8510A7" w15:done="0"/>
  <w15:commentEx w15:paraId="0E179569" w15:done="0"/>
  <w15:commentEx w15:paraId="74F00DA3" w15:done="0"/>
  <w15:commentEx w15:paraId="104AF2D4" w15:done="0"/>
  <w15:commentEx w15:paraId="3359AFB6" w15:done="0"/>
  <w15:commentEx w15:paraId="523E83D0" w15:done="0"/>
  <w15:commentEx w15:paraId="3E49DD1D"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3F33DD2E" w16cex:dateUtc="2024-06-25T12:04:00Z"/>
  <w16cex:commentExtensible w16cex:durableId="3FBF9E36" w16cex:dateUtc="2024-06-25T12:03:00Z"/>
  <w16cex:commentExtensible w16cex:durableId="2746DE73" w16cex:dateUtc="2024-06-25T12:29: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3359AFB6" w16cid:durableId="3F33DD2E"/>
  <w16cid:commentId w16cid:paraId="523E83D0" w16cid:durableId="3FBF9E36"/>
  <w16cid:commentId w16cid:paraId="3E49DD1D" w16cid:durableId="2746DE73"/>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A24"/>
    <w:rsid w:val="00097F7B"/>
    <w:rsid w:val="000A261E"/>
    <w:rsid w:val="000B3738"/>
    <w:rsid w:val="000C1C4A"/>
    <w:rsid w:val="000F41AA"/>
    <w:rsid w:val="001043FD"/>
    <w:rsid w:val="00122091"/>
    <w:rsid w:val="00132899"/>
    <w:rsid w:val="00166FBF"/>
    <w:rsid w:val="0018406A"/>
    <w:rsid w:val="00194CFF"/>
    <w:rsid w:val="001A3D97"/>
    <w:rsid w:val="001B5DC9"/>
    <w:rsid w:val="001D6BF3"/>
    <w:rsid w:val="001E641E"/>
    <w:rsid w:val="00224025"/>
    <w:rsid w:val="002262E3"/>
    <w:rsid w:val="002466B5"/>
    <w:rsid w:val="002A088D"/>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196F"/>
    <w:rsid w:val="00824C55"/>
    <w:rsid w:val="0082625D"/>
    <w:rsid w:val="008540C0"/>
    <w:rsid w:val="0087402A"/>
    <w:rsid w:val="008A0F4B"/>
    <w:rsid w:val="008C5287"/>
    <w:rsid w:val="008D2352"/>
    <w:rsid w:val="008F2FB9"/>
    <w:rsid w:val="008F7290"/>
    <w:rsid w:val="00910F7F"/>
    <w:rsid w:val="00913547"/>
    <w:rsid w:val="00917845"/>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chart" Target="charts/chart19.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microsoft.com/office/2011/relationships/people" Target="people.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dLblPos val="outEnd"/>
          <c:showLegendKey val="0"/>
          <c:showVal val="1"/>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dLblPos val="outEnd"/>
          <c:showLegendKey val="0"/>
          <c:showVal val="1"/>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1"/>
        <c:axPos val="l"/>
        <c:numFmt formatCode="_(&quot;$&quot;* #,##0_);_(&quot;$&quot;* \(#,##0\);_(&quot;$&quot;* &quot;-&quot;??_);_(@_)" sourceLinked="1"/>
        <c:majorTickMark val="none"/>
        <c:minorTickMark val="none"/>
        <c:tickLblPos val="nextTo"/>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29369</TotalTime>
  <Pages>19</Pages>
  <Words>3539</Words>
  <Characters>20177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67</cp:revision>
  <dcterms:created xsi:type="dcterms:W3CDTF">2024-05-31T14:20:00Z</dcterms:created>
  <dcterms:modified xsi:type="dcterms:W3CDTF">2024-06-25T12:35:00Z</dcterms:modified>
</cp:coreProperties>
</file>