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3C36D6EB"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3"/>
      <w:r w:rsidR="00AD1365">
        <w:rPr>
          <w:rFonts w:ascii="Calibri" w:hAnsi="Calibri" w:cs="Calibri"/>
        </w:rPr>
        <w:t>Citation</w:t>
      </w:r>
      <w:commentRangeEnd w:id="13"/>
      <w:r w:rsidR="00AD1365">
        <w:rPr>
          <w:rStyle w:val="CommentReference"/>
        </w:rPr>
        <w:commentReference w:id="13"/>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r>
        <w:rPr>
          <w:rFonts w:ascii="Calibri" w:hAnsi="Calibri" w:cs="Calibri"/>
        </w:rPr>
        <w:lastRenderedPageBreak/>
        <w:t>![</w:t>
      </w:r>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09T09:15:00Z" w:initials="KB">
    <w:p w14:paraId="32C79926" w14:textId="77777777" w:rsidR="00AD1365" w:rsidRDefault="00AD1365" w:rsidP="00AD1365">
      <w:pPr>
        <w:pStyle w:val="CommentText"/>
      </w:pPr>
      <w:r>
        <w:rPr>
          <w:rStyle w:val="CommentReference"/>
        </w:rPr>
        <w:annotationRef/>
      </w:r>
      <w:r>
        <w:t>Citation needed</w:t>
      </w:r>
    </w:p>
  </w:comment>
  <w:comment w:id="14"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43879</TotalTime>
  <Pages>22</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122</cp:revision>
  <dcterms:created xsi:type="dcterms:W3CDTF">2024-05-31T14:20:00Z</dcterms:created>
  <dcterms:modified xsi:type="dcterms:W3CDTF">2024-07-10T17:54:00Z</dcterms:modified>
</cp:coreProperties>
</file>