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00F8E9E1"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4764EF">
        <w:rPr>
          <w:rFonts w:ascii="Calibri" w:hAnsi="Calibri" w:cs="Calibri"/>
        </w:rPr>
        <w:t xml:space="preserve"> </w:t>
      </w:r>
      <w:r w:rsidR="00AD1365">
        <w:rPr>
          <w:rFonts w:ascii="Calibri" w:hAnsi="Calibri" w:cs="Calibri"/>
        </w:rPr>
        <w:t>[</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w:t>
      </w:r>
      <w:r w:rsidR="004764EF">
        <w:rPr>
          <w:rFonts w:ascii="Calibri" w:hAnsi="Calibri" w:cs="Calibri"/>
        </w:rPr>
        <w:t xml:space="preserve">  The draw-down will be discussed in more detail in a later section covering subscriber growth rates.</w:t>
      </w:r>
      <w:r>
        <w:rPr>
          <w:rFonts w:ascii="Calibri" w:hAnsi="Calibri" w:cs="Calibri"/>
        </w:rPr>
        <w:t xml:space="preserve">  Q4 ’22 was when they launched their lower-priced ad-supported subscription service, which has since helped to bolster their overall subscriber base as well as revenues</w:t>
      </w:r>
      <w:r w:rsidR="004764EF">
        <w:rPr>
          <w:rFonts w:ascii="Calibri" w:hAnsi="Calibri" w:cs="Calibri"/>
        </w:rPr>
        <w:t xml:space="preserve"> [</w:t>
      </w:r>
      <w:commentRangeStart w:id="14"/>
      <w:r w:rsidR="004764EF">
        <w:rPr>
          <w:rFonts w:ascii="Calibri" w:hAnsi="Calibri" w:cs="Calibri"/>
        </w:rPr>
        <w:t>Citation</w:t>
      </w:r>
      <w:commentRangeEnd w:id="14"/>
      <w:r w:rsidR="004764EF">
        <w:rPr>
          <w:rStyle w:val="CommentReference"/>
        </w:rPr>
        <w:commentReference w:id="14"/>
      </w:r>
      <w:r w:rsidR="004764EF">
        <w:rPr>
          <w:rFonts w:ascii="Calibri" w:hAnsi="Calibri" w:cs="Calibri"/>
        </w:rPr>
        <w:t>]</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5"/>
      <w:r w:rsidR="00AD1365">
        <w:rPr>
          <w:rFonts w:ascii="Calibri" w:hAnsi="Calibri" w:cs="Calibri"/>
        </w:rPr>
        <w:t>Citation</w:t>
      </w:r>
      <w:commentRangeEnd w:id="15"/>
      <w:r w:rsidR="00AD1365">
        <w:rPr>
          <w:rStyle w:val="CommentReference"/>
        </w:rPr>
        <w:commentReference w:id="15"/>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lastRenderedPageBreak/>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490D6EA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r w:rsidR="009E3367">
        <w:t>As an example, t</w:t>
      </w:r>
      <w:r>
        <w:t xml:space="preserve">hey </w:t>
      </w:r>
      <w:r w:rsidR="00475892">
        <w:t xml:space="preserve">would potentially </w:t>
      </w:r>
      <w:r>
        <w:t>have much less variability in their cash flows than a company that operates in manufacturing that must maintain a level of current inventory.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lastRenderedPageBreak/>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2E5ACDEB" w:rsidR="00653173" w:rsidRDefault="00653173" w:rsidP="00653173">
      <w:r>
        <w:t xml:space="preserve">NFLX is showing a declining trend in their debt-to-equity ratio.  </w:t>
      </w:r>
      <w:r w:rsidR="00DF2C88">
        <w:t>What this means is that t</w:t>
      </w:r>
      <w:r>
        <w:t xml:space="preserve">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r>
        <w:rPr>
          <w:rFonts w:ascii="Calibri" w:hAnsi="Calibri" w:cs="Calibri"/>
        </w:rPr>
        <w:lastRenderedPageBreak/>
        <w:t>![</w:t>
      </w:r>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6"/>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40FA183D"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6"/>
      <w:r>
        <w:rPr>
          <w:rStyle w:val="CommentReference"/>
        </w:rPr>
        <w:commentReference w:id="16"/>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7"/>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7"/>
      <w:r>
        <w:rPr>
          <w:rStyle w:val="CommentReference"/>
        </w:rPr>
        <w:commentReference w:id="17"/>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3FB13377" w:rsidR="00CF05AD" w:rsidRDefault="00F772EB" w:rsidP="00CF05AD">
      <w:pPr>
        <w:rPr>
          <w:rFonts w:ascii="Calibri" w:hAnsi="Calibri" w:cs="Calibri"/>
        </w:rPr>
      </w:pPr>
      <w:r>
        <w:rPr>
          <w:noProof/>
        </w:rPr>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r>
        <w:rPr>
          <w:rFonts w:ascii="Calibri" w:hAnsi="Calibri" w:cs="Calibri"/>
        </w:rPr>
        <w:t>![</w:t>
      </w:r>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33DC02E3" w:rsidR="00CF05AD" w:rsidRDefault="00F772EB" w:rsidP="00CF05AD">
      <w:pPr>
        <w:rPr>
          <w:rFonts w:ascii="Calibri" w:hAnsi="Calibri" w:cs="Calibri"/>
        </w:rPr>
      </w:pPr>
      <w:r>
        <w:rPr>
          <w:rFonts w:ascii="Calibri" w:hAnsi="Calibri" w:cs="Calibri"/>
        </w:rPr>
        <w:t xml:space="preserve">The chart above shows the number of monthly NFLX subscribers by quarter going back to 2013.  </w:t>
      </w:r>
      <w:r w:rsidR="00CF05AD">
        <w:rPr>
          <w:rFonts w:ascii="Calibri" w:hAnsi="Calibri" w:cs="Calibri"/>
        </w:rPr>
        <w:t xml:space="preserve">Historically until Q1 ’22, NFLX had always seen a </w:t>
      </w:r>
      <w:r>
        <w:rPr>
          <w:rFonts w:ascii="Calibri" w:hAnsi="Calibri" w:cs="Calibri"/>
        </w:rPr>
        <w:t xml:space="preserve">positive </w:t>
      </w:r>
      <w:r w:rsidR="00CF05AD">
        <w:rPr>
          <w:rFonts w:ascii="Calibri" w:hAnsi="Calibri" w:cs="Calibri"/>
        </w:rPr>
        <w:t>quarterly expansion of their subscriber base with a quarter-over-quarter average subscription growth rate of 4.4%.</w:t>
      </w:r>
      <w:r w:rsidR="00CF05AD" w:rsidRPr="00CF05AD">
        <w:rPr>
          <w:rFonts w:ascii="Calibri" w:hAnsi="Calibri" w:cs="Calibri"/>
        </w:rPr>
        <w:t xml:space="preserve"> </w:t>
      </w:r>
      <w:r w:rsidR="00CF05AD">
        <w:rPr>
          <w:rFonts w:ascii="Calibri" w:hAnsi="Calibri" w:cs="Calibri"/>
        </w:rPr>
        <w:t xml:space="preserve"> Since 2013, NFLX has had only 2 quarters of negative growth in Q1 ’22 (-0.1%) and Q2 ’22 (-0.4%).</w:t>
      </w:r>
      <w:r>
        <w:rPr>
          <w:rFonts w:ascii="Calibri" w:hAnsi="Calibri" w:cs="Calibri"/>
        </w:rPr>
        <w:t xml:space="preserve">  These two quarters have been highlighted on the chart with a box.</w:t>
      </w:r>
      <w:r w:rsidR="00CF05AD">
        <w:rPr>
          <w:rFonts w:ascii="Calibri" w:hAnsi="Calibri" w:cs="Calibri"/>
        </w:rPr>
        <w:t xml:space="preserve">  Just before the beginning of the Covid-19 pandemic in Q4 ’19, NFLX </w:t>
      </w:r>
      <w:r w:rsidR="00CF05AD">
        <w:rPr>
          <w:rFonts w:ascii="Calibri" w:hAnsi="Calibri" w:cs="Calibri"/>
        </w:rPr>
        <w:lastRenderedPageBreak/>
        <w:t xml:space="preserve">had 167.09 million subscribers.  The mandated lockdowns caused a surge in subscribers which had ballooned to 221.84 million by Q4 ’21.  Since that time NFLX has gained </w:t>
      </w:r>
      <w:r>
        <w:rPr>
          <w:rFonts w:ascii="Calibri" w:hAnsi="Calibri" w:cs="Calibri"/>
        </w:rPr>
        <w:t xml:space="preserve">an additional </w:t>
      </w:r>
      <w:r w:rsidR="00CF05AD">
        <w:rPr>
          <w:rFonts w:ascii="Calibri" w:hAnsi="Calibri" w:cs="Calibri"/>
        </w:rPr>
        <w:t>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8"/>
      <w:r>
        <w:t>Is NFLX a “buy”?</w:t>
      </w:r>
      <w:commentRangeEnd w:id="18"/>
      <w:r>
        <w:rPr>
          <w:rStyle w:val="CommentReference"/>
        </w:rPr>
        <w:commentReference w:id="18"/>
      </w:r>
    </w:p>
    <w:p w14:paraId="4F8930F4" w14:textId="77777777" w:rsidR="000B3738" w:rsidRDefault="000B3738" w:rsidP="000B3738">
      <w:r w:rsidRPr="003C7695">
        <w:t>It's important to note that past performance is not indicative of future results.</w:t>
      </w:r>
      <w:r>
        <w:t xml:space="preserve">  </w:t>
      </w:r>
      <w:commentRangeStart w:id="19"/>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9"/>
      <w:r>
        <w:rPr>
          <w:rStyle w:val="CommentReference"/>
        </w:rPr>
        <w:commentReference w:id="19"/>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11T16:51:00Z" w:initials="KB">
    <w:p w14:paraId="683119A7" w14:textId="77777777" w:rsidR="004764EF" w:rsidRDefault="004764EF" w:rsidP="004764EF">
      <w:pPr>
        <w:pStyle w:val="CommentText"/>
      </w:pPr>
      <w:r>
        <w:rPr>
          <w:rStyle w:val="CommentReference"/>
        </w:rPr>
        <w:annotationRef/>
      </w:r>
      <w:r>
        <w:t>Link to citation</w:t>
      </w:r>
    </w:p>
  </w:comment>
  <w:comment w:id="15" w:author="Kevin Bray" w:date="2024-07-09T09:15:00Z" w:initials="KB">
    <w:p w14:paraId="32C79926" w14:textId="79538862" w:rsidR="00AD1365" w:rsidRDefault="00AD1365" w:rsidP="00AD1365">
      <w:pPr>
        <w:pStyle w:val="CommentText"/>
      </w:pPr>
      <w:r>
        <w:rPr>
          <w:rStyle w:val="CommentReference"/>
        </w:rPr>
        <w:annotationRef/>
      </w:r>
      <w:r>
        <w:t>Citation needed</w:t>
      </w:r>
    </w:p>
  </w:comment>
  <w:comment w:id="16"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7"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8"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9"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683119A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5F1C8D26" w16cex:dateUtc="2024-07-11T20:51: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683119A7" w16cid:durableId="5F1C8D26"/>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764EF"/>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E3367"/>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51CDE"/>
    <w:rsid w:val="00D80248"/>
    <w:rsid w:val="00D900C1"/>
    <w:rsid w:val="00DA7FAF"/>
    <w:rsid w:val="00DB5725"/>
    <w:rsid w:val="00DC562A"/>
    <w:rsid w:val="00DC702E"/>
    <w:rsid w:val="00DF2C88"/>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772EB"/>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48296</TotalTime>
  <Pages>23</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129</cp:revision>
  <dcterms:created xsi:type="dcterms:W3CDTF">2024-05-31T14:20:00Z</dcterms:created>
  <dcterms:modified xsi:type="dcterms:W3CDTF">2024-07-13T19:31:00Z</dcterms:modified>
</cp:coreProperties>
</file>