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r>
        <w:t>![</w:t>
      </w:r>
      <w:r w:rsidRPr="004B6905">
        <w:t xml:space="preserve"> </w:t>
      </w:r>
      <w:r w:rsidRPr="004B6905">
        <w:t>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lastRenderedPageBreak/>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29D6514D"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w:t>
      </w:r>
      <w:proofErr w:type="spellStart"/>
      <w:r w:rsidR="00804973">
        <w:t>GutHub</w:t>
      </w:r>
      <w:proofErr w:type="spellEnd"/>
      <w:r w:rsidR="00804973">
        <w:t xml:space="preserve"> was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7B9C9531" w14:textId="77777777" w:rsidR="00804973" w:rsidRDefault="00804973" w:rsidP="006634B5"/>
    <w:p w14:paraId="4A6FE1BB" w14:textId="4053FDE4" w:rsidR="00804973" w:rsidRDefault="00804973" w:rsidP="006634B5">
      <w:r>
        <w:rPr>
          <w:noProof/>
        </w:rPr>
        <w:lastRenderedPageBreak/>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1AA7D6CB" w14:textId="41147F99" w:rsidR="004B6905" w:rsidRDefault="004B6905" w:rsidP="006634B5">
      <w:r>
        <w:t>!</w:t>
      </w:r>
      <w:r w:rsidR="00BD14DC">
        <w:t>[</w:t>
      </w:r>
      <w:proofErr w:type="spellStart"/>
      <w:r w:rsidRPr="004B6905">
        <w:t>nflx_vs_spy_sma</w:t>
      </w:r>
      <w:proofErr w:type="spellEnd"/>
      <w:r w:rsidR="00BD14DC">
        <w:t>]</w:t>
      </w:r>
      <w:r>
        <w:t>(</w:t>
      </w:r>
      <w:r w:rsidRPr="004B6905">
        <w:t xml:space="preserve"> </w:t>
      </w:r>
      <w:r w:rsidRPr="004B6905">
        <w:t>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w:t>
      </w:r>
      <w:r w:rsidR="00194CFF">
        <w:lastRenderedPageBreak/>
        <w:t xml:space="preserve">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A9FBADE" w14:textId="1D7681C7" w:rsidR="00804973" w:rsidRDefault="00804973" w:rsidP="00C83E58">
      <w:pPr>
        <w:tabs>
          <w:tab w:val="left" w:pos="1668"/>
        </w:tabs>
      </w:pPr>
      <w:r>
        <w:rPr>
          <w:noProof/>
        </w:rPr>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74E1C47" w:rsidR="00BD14DC" w:rsidRDefault="004B6905" w:rsidP="00C83E58">
      <w:pPr>
        <w:tabs>
          <w:tab w:val="left" w:pos="1668"/>
        </w:tabs>
      </w:pPr>
      <w:r>
        <w:t>!</w:t>
      </w:r>
      <w:r w:rsidR="00BD14DC">
        <w:t>[</w:t>
      </w:r>
      <w:proofErr w:type="spellStart"/>
      <w:r w:rsidRPr="004B6905">
        <w:t>nflx_vs_spy_hv</w:t>
      </w:r>
      <w:proofErr w:type="spellEnd"/>
      <w:r w:rsidR="00BD14DC">
        <w:t>]</w:t>
      </w:r>
      <w:r>
        <w:t>(</w:t>
      </w:r>
      <w:r w:rsidRPr="004B6905">
        <w:t xml:space="preserve"> </w:t>
      </w:r>
      <w:r w:rsidRPr="004B6905">
        <w:t>https://github.com/k1bray/stock-price-analysis/blob/main/Visuals/nflx_vs_spy_hv.png</w:t>
      </w:r>
      <w:r>
        <w:t>)</w:t>
      </w:r>
    </w:p>
    <w:p w14:paraId="76B28D15" w14:textId="131F08DD" w:rsidR="00C83E58" w:rsidRDefault="00C83E58" w:rsidP="00C83E58">
      <w:pPr>
        <w:tabs>
          <w:tab w:val="left" w:pos="1668"/>
        </w:tabs>
      </w:pPr>
      <w:commentRangeStart w:id="3"/>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3"/>
      <w:r>
        <w:rPr>
          <w:rStyle w:val="CommentReference"/>
        </w:rPr>
        <w:commentReference w:id="3"/>
      </w:r>
    </w:p>
    <w:p w14:paraId="657C9324" w14:textId="3D1690A4" w:rsidR="00DC702E" w:rsidRDefault="00DC702E" w:rsidP="00C83E58">
      <w:pPr>
        <w:tabs>
          <w:tab w:val="left" w:pos="1668"/>
        </w:tabs>
      </w:pPr>
      <w:r>
        <w:lastRenderedPageBreak/>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xml:space="preserve">. This suggests some level of consistency, </w:t>
      </w:r>
      <w:commentRangeStart w:id="4"/>
      <w:r w:rsidRPr="002A0A65">
        <w:t xml:space="preserve">but it's important to remember that past performance isn't a guarantee of future results. </w:t>
      </w:r>
      <w:commentRangeEnd w:id="4"/>
      <w:r w:rsidR="00F93E53">
        <w:rPr>
          <w:rStyle w:val="CommentReference"/>
        </w:rPr>
        <w:commentReference w:id="4"/>
      </w:r>
      <w:r w:rsidRPr="002A0A65">
        <w:t>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lastRenderedPageBreak/>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822114B" w14:textId="452B84A0" w:rsidR="00042034" w:rsidRDefault="00042034" w:rsidP="003C7695">
      <w:r>
        <w:rPr>
          <w:noProof/>
        </w:rPr>
        <w:lastRenderedPageBreak/>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6D67C3E" w:rsidR="00C83E58" w:rsidRDefault="004B6905" w:rsidP="003C7695">
      <w:r>
        <w:t>!</w:t>
      </w:r>
      <w:r w:rsidR="00BD14DC">
        <w:t>[</w:t>
      </w:r>
      <w:r w:rsidRPr="004B6905">
        <w:t xml:space="preserve"> </w:t>
      </w:r>
      <w:proofErr w:type="spellStart"/>
      <w:r w:rsidRPr="004B6905">
        <w:t>nflx_vs_spy_annual_pct_return</w:t>
      </w:r>
      <w:proofErr w:type="spellEnd"/>
      <w:r w:rsidR="00BD14DC">
        <w:t>]</w:t>
      </w:r>
      <w:r>
        <w:t>(</w:t>
      </w:r>
      <w:r w:rsidRPr="004B6905">
        <w:t xml:space="preserve"> </w:t>
      </w:r>
      <w:r w:rsidRPr="004B6905">
        <w:t>https://github.com/k1bray/stock-price-analysis/blob/main/Visuals/nflx_vs_spy_annual_pct_return.png</w:t>
      </w:r>
      <w:r>
        <w:t>)</w:t>
      </w:r>
    </w:p>
    <w:p w14:paraId="0FEF105F" w14:textId="77777777" w:rsidR="00AF5A1A" w:rsidRDefault="00AF5A1A" w:rsidP="003C7695"/>
    <w:p w14:paraId="03939F87" w14:textId="77777777" w:rsidR="00F93E53" w:rsidRPr="00F93E53" w:rsidRDefault="00F93E53" w:rsidP="00F93E53">
      <w:r w:rsidRPr="00F93E53">
        <w:t xml:space="preserve">The chart above highlights a trend towards greater stability in NFLX's annual percentage returns over the past decade compared to its earlier years. However, </w:t>
      </w:r>
      <w:commentRangeStart w:id="5"/>
      <w:r w:rsidRPr="00F93E53">
        <w:t>it's important to remember that past performance is not a guarantee of future results.</w:t>
      </w:r>
      <w:commentRangeEnd w:id="5"/>
      <w:r>
        <w:rPr>
          <w:rStyle w:val="CommentReference"/>
        </w:rPr>
        <w:commentReference w:id="5"/>
      </w:r>
    </w:p>
    <w:p w14:paraId="477398F1" w14:textId="224AE167"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volatility </w:t>
      </w:r>
      <w:r w:rsidR="005040FB">
        <w:t xml:space="preserve"> that was </w:t>
      </w:r>
      <w:r w:rsidRPr="00F93E53">
        <w:t xml:space="preserve">discussed </w:t>
      </w:r>
      <w:r w:rsidR="005040FB">
        <w:t>earlier</w:t>
      </w:r>
      <w:r w:rsidRPr="00F93E53">
        <w:t xml:space="preserve"> in the report. The stock market itself, even a broad index like SPY, carries inherent risk.</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77777777" w:rsidR="00F93E53" w:rsidRDefault="00F93E53" w:rsidP="00166FBF">
      <w:r w:rsidRPr="00F93E53">
        <w:t xml:space="preserve">To assess the historical long-term performance of NFLX stock, we analyzed the potential return using a hypothetical $100 investment made on the IPO date, May 23, 2002 (split-adjusted). The </w:t>
      </w:r>
      <w:r w:rsidRPr="00F93E53">
        <w:lastRenderedPageBreak/>
        <w:t>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commentRangeStart w:id="6"/>
      <w:r w:rsidR="00FB58D2">
        <w:rPr>
          <w:b/>
          <w:bCs/>
          <w:sz w:val="28"/>
          <w:szCs w:val="28"/>
        </w:rPr>
        <w:t>Analysis of NFLX Financials</w:t>
      </w:r>
      <w:commentRangeEnd w:id="6"/>
      <w:r w:rsidR="00FB58D2">
        <w:rPr>
          <w:rStyle w:val="CommentReference"/>
        </w:rPr>
        <w:commentReference w:id="6"/>
      </w:r>
    </w:p>
    <w:p w14:paraId="17469DC5" w14:textId="6E1755FE" w:rsidR="00DC562A" w:rsidRDefault="00DC562A" w:rsidP="003C7695">
      <w:r>
        <w:t xml:space="preserve">NFLX Q1 2024 financial statements can be seen </w:t>
      </w:r>
      <w:commentRangeStart w:id="7"/>
      <w:r>
        <w:fldChar w:fldCharType="begin"/>
      </w:r>
      <w:r>
        <w:instrText>HYPERLINK "https://ir.netflix.net/financials/financial-statements/default.aspx"</w:instrText>
      </w:r>
      <w:r>
        <w:fldChar w:fldCharType="separate"/>
      </w:r>
      <w:r>
        <w:rPr>
          <w:rStyle w:val="Hyperlink"/>
        </w:rPr>
        <w:t>here</w:t>
      </w:r>
      <w:r>
        <w:fldChar w:fldCharType="end"/>
      </w:r>
      <w:commentRangeEnd w:id="7"/>
      <w:r>
        <w:rPr>
          <w:rStyle w:val="CommentReference"/>
        </w:rPr>
        <w:commentReference w:id="7"/>
      </w:r>
      <w:r>
        <w:t>.</w:t>
      </w:r>
    </w:p>
    <w:p w14:paraId="5539BAC4" w14:textId="07FA0092" w:rsidR="00EA6D08" w:rsidRPr="00917845" w:rsidRDefault="00917845" w:rsidP="003C7695">
      <w:pPr>
        <w:rPr>
          <w:b/>
          <w:bCs/>
        </w:rPr>
      </w:pPr>
      <w:r>
        <w:rPr>
          <w:b/>
          <w:bCs/>
        </w:rPr>
        <w:t xml:space="preserve">### </w:t>
      </w:r>
      <w:r w:rsidR="00EA6D08" w:rsidRPr="00917845">
        <w:rPr>
          <w:b/>
          <w:bCs/>
        </w:rPr>
        <w:t>Note: All values are in thousands of dollars unless otherwise indicated.</w:t>
      </w:r>
    </w:p>
    <w:p w14:paraId="6C2C59DF" w14:textId="77777777" w:rsidR="004143E6" w:rsidRDefault="004143E6" w:rsidP="00653173">
      <w:pPr>
        <w:rPr>
          <w:b/>
          <w:bCs/>
        </w:rPr>
      </w:pPr>
    </w:p>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019B2FF4">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B41CB6" w14:textId="60733E07" w:rsidR="00653173" w:rsidRDefault="00653173" w:rsidP="00653173">
      <w:commentRangeStart w:id="8"/>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8"/>
      <w:r w:rsidR="000A261E">
        <w:rPr>
          <w:rStyle w:val="CommentReference"/>
        </w:rPr>
        <w:commentReference w:id="8"/>
      </w:r>
    </w:p>
    <w:p w14:paraId="6F5E3220" w14:textId="77777777" w:rsidR="004143E6" w:rsidRDefault="004143E6" w:rsidP="00653173"/>
    <w:p w14:paraId="4ABE4C8E" w14:textId="77777777" w:rsidR="00653173" w:rsidRDefault="00653173" w:rsidP="00653173">
      <w:r>
        <w:rPr>
          <w:noProof/>
        </w:rPr>
        <w:lastRenderedPageBreak/>
        <w:drawing>
          <wp:inline distT="0" distB="0" distL="0" distR="0" wp14:anchorId="193B5589" wp14:editId="5C0AF1E5">
            <wp:extent cx="4566285" cy="2743200"/>
            <wp:effectExtent l="0" t="0" r="5715" b="0"/>
            <wp:docPr id="572150310"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8BC6A5" w14:textId="77777777" w:rsidR="00653173" w:rsidRDefault="00653173" w:rsidP="00653173">
      <w:r>
        <w:t>The consistency of revenue growth demonstrates the strength of the NFLX business model, as well as their placement among their competitors with respect to capturing market share.</w:t>
      </w:r>
    </w:p>
    <w:p w14:paraId="6A50605C" w14:textId="77777777" w:rsidR="00653173" w:rsidRDefault="00653173" w:rsidP="00653173"/>
    <w:p w14:paraId="288DA103" w14:textId="77777777" w:rsidR="00653173" w:rsidRDefault="00653173" w:rsidP="00653173">
      <w:r w:rsidRPr="006A2924">
        <w:rPr>
          <w:b/>
          <w:bCs/>
        </w:rPr>
        <w:t>Net Income</w:t>
      </w:r>
    </w:p>
    <w:p w14:paraId="5C66AB22" w14:textId="77777777" w:rsidR="00653173" w:rsidRDefault="00653173" w:rsidP="00653173">
      <w:r>
        <w:rPr>
          <w:noProof/>
        </w:rPr>
        <w:drawing>
          <wp:inline distT="0" distB="0" distL="0" distR="0" wp14:anchorId="6EAE7E22" wp14:editId="77AF1155">
            <wp:extent cx="4573905" cy="2743200"/>
            <wp:effectExtent l="0" t="0" r="17145" b="0"/>
            <wp:docPr id="1663025560" name="Chart 1">
              <a:extLst xmlns:a="http://schemas.openxmlformats.org/drawingml/2006/main">
                <a:ext uri="{FF2B5EF4-FFF2-40B4-BE49-F238E27FC236}">
                  <a16:creationId xmlns:a16="http://schemas.microsoft.com/office/drawing/2014/main" id="{C12336DC-2319-7A45-9F11-53FDEAB556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7332011" w14:textId="713325D0" w:rsidR="000A261E" w:rsidRDefault="000A261E" w:rsidP="00653173">
      <w:pPr>
        <w:rPr>
          <w:rFonts w:ascii="Calibri" w:hAnsi="Calibri" w:cs="Calibri"/>
        </w:rPr>
      </w:pPr>
      <w:commentRangeStart w:id="9"/>
      <w:r>
        <w:rPr>
          <w:rFonts w:ascii="Calibri" w:hAnsi="Calibri" w:cs="Calibri"/>
        </w:rPr>
        <w:t>This chart looks almost identical to the operating income chart</w:t>
      </w:r>
      <w:commentRangeEnd w:id="9"/>
      <w:r>
        <w:rPr>
          <w:rStyle w:val="CommentReference"/>
        </w:rPr>
        <w:commentReference w:id="9"/>
      </w:r>
    </w:p>
    <w:p w14:paraId="78EA9A0B" w14:textId="77777777" w:rsidR="000A261E" w:rsidRDefault="000A261E" w:rsidP="00653173">
      <w:pPr>
        <w:rPr>
          <w:rFonts w:ascii="Calibri" w:hAnsi="Calibri" w:cs="Calibri"/>
        </w:rPr>
      </w:pPr>
    </w:p>
    <w:p w14:paraId="69C01649" w14:textId="4F61E066"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w:t>
      </w:r>
      <w:r>
        <w:rPr>
          <w:rFonts w:ascii="Calibri" w:hAnsi="Calibri" w:cs="Calibri"/>
        </w:rPr>
        <w:lastRenderedPageBreak/>
        <w:t>launched their lower-priced ad-supported subscription service, which has since helped to bolster their overall subscriber base as well as revenues.</w:t>
      </w:r>
    </w:p>
    <w:p w14:paraId="0923CDAF" w14:textId="0F7C35FC" w:rsidR="00653173" w:rsidRDefault="00653173" w:rsidP="00653173">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3D9659E9" w14:textId="77777777" w:rsidR="00653173" w:rsidRDefault="00653173" w:rsidP="00653173"/>
    <w:p w14:paraId="4C042758" w14:textId="77777777" w:rsidR="00653173" w:rsidRDefault="00653173" w:rsidP="00653173">
      <w:r>
        <w:rPr>
          <w:b/>
          <w:bCs/>
        </w:rPr>
        <w:t>Profitability Analysis</w:t>
      </w:r>
    </w:p>
    <w:p w14:paraId="566643CB" w14:textId="77777777" w:rsidR="00653173" w:rsidRDefault="00653173" w:rsidP="00653173">
      <w:r w:rsidRPr="006A2924">
        <w:rPr>
          <w:b/>
          <w:bCs/>
        </w:rPr>
        <w:t>Operating Income (EBIT</w:t>
      </w:r>
      <w:r>
        <w:t>)</w:t>
      </w:r>
    </w:p>
    <w:p w14:paraId="2C43A102" w14:textId="77777777" w:rsidR="00653173" w:rsidRDefault="00653173" w:rsidP="00653173">
      <w:pPr>
        <w:rPr>
          <w:rFonts w:ascii="Calibri" w:hAnsi="Calibri" w:cs="Calibri"/>
        </w:rPr>
      </w:pPr>
      <w:r>
        <w:rPr>
          <w:noProof/>
        </w:rPr>
        <w:drawing>
          <wp:inline distT="0" distB="0" distL="0" distR="0" wp14:anchorId="5888CA95" wp14:editId="645DD8D9">
            <wp:extent cx="4573905" cy="2743200"/>
            <wp:effectExtent l="0" t="0" r="17145" b="0"/>
            <wp:docPr id="701383851" name="Chart 1">
              <a:extLst xmlns:a="http://schemas.openxmlformats.org/drawingml/2006/main">
                <a:ext uri="{FF2B5EF4-FFF2-40B4-BE49-F238E27FC236}">
                  <a16:creationId xmlns:a16="http://schemas.microsoft.com/office/drawing/2014/main" id="{1DBDB6FD-1C2A-A8E0-2CAB-24FAA8169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9849089" w14:textId="77777777" w:rsidR="00653173" w:rsidRDefault="00653173" w:rsidP="00653173">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2DA9A433" w14:textId="77777777" w:rsidR="00653173" w:rsidRDefault="00653173" w:rsidP="00653173">
      <w:pPr>
        <w:rPr>
          <w:b/>
          <w:bCs/>
        </w:rPr>
      </w:pPr>
    </w:p>
    <w:p w14:paraId="600CF67E" w14:textId="77777777" w:rsidR="00653173" w:rsidRDefault="00653173" w:rsidP="00653173">
      <w:r>
        <w:rPr>
          <w:b/>
          <w:bCs/>
        </w:rPr>
        <w:t>Net Profit Margin</w:t>
      </w:r>
    </w:p>
    <w:p w14:paraId="6C5921ED" w14:textId="77777777" w:rsidR="00653173" w:rsidRDefault="00653173" w:rsidP="00653173">
      <w:r>
        <w:rPr>
          <w:noProof/>
        </w:rPr>
        <w:lastRenderedPageBreak/>
        <w:drawing>
          <wp:inline distT="0" distB="0" distL="0" distR="0" wp14:anchorId="660A9072" wp14:editId="3E544E04">
            <wp:extent cx="4187190" cy="2743200"/>
            <wp:effectExtent l="0" t="0" r="3810" b="0"/>
            <wp:docPr id="1160546338" name="Chart 1">
              <a:extLst xmlns:a="http://schemas.openxmlformats.org/drawingml/2006/main">
                <a:ext uri="{FF2B5EF4-FFF2-40B4-BE49-F238E27FC236}">
                  <a16:creationId xmlns:a16="http://schemas.microsoft.com/office/drawing/2014/main" id="{D9C85738-726A-13ED-9782-B4E1019B9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2777F5A" w14:textId="77777777" w:rsidR="00653173" w:rsidRDefault="00653173" w:rsidP="00653173"/>
    <w:p w14:paraId="2D5D7C15" w14:textId="77777777" w:rsidR="00653173" w:rsidRDefault="00653173" w:rsidP="00653173">
      <w:pPr>
        <w:rPr>
          <w:rFonts w:ascii="Calibri" w:hAnsi="Calibri" w:cs="Calibri"/>
        </w:rPr>
      </w:pPr>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p>
    <w:p w14:paraId="766E0A0B" w14:textId="77777777" w:rsidR="00653173" w:rsidRDefault="00653173" w:rsidP="00653173">
      <w:pPr>
        <w:rPr>
          <w:b/>
          <w:bCs/>
        </w:rPr>
      </w:pPr>
      <w:r>
        <w:rPr>
          <w:noProof/>
        </w:rPr>
        <w:drawing>
          <wp:inline distT="0" distB="0" distL="0" distR="0" wp14:anchorId="4341B8CF" wp14:editId="4B5BB05F">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6842EB8" w14:textId="77777777" w:rsidR="00653173" w:rsidRDefault="00653173" w:rsidP="00653173"/>
    <w:p w14:paraId="48014A3F" w14:textId="77777777" w:rsidR="00653173" w:rsidRPr="00D97C10" w:rsidRDefault="00653173" w:rsidP="00653173">
      <w:commentRangeStart w:id="10"/>
      <w:r w:rsidRPr="00D97C10">
        <w:t>Based on the image you sent, the net profit margin and operating margin for Netflix are indeed very similar across all quarters shown (Q1'22 - Q1'24). The lowest net profit margin was 1% (Q4'22) and the highest was 25% (Q1'24), while the operating margin ranged from 7% (Q4'22) to 28% (Q1'24). In most quarters, the net profit margin is only 1-2 percentage points higher than the operating margin.</w:t>
      </w:r>
    </w:p>
    <w:p w14:paraId="748A2109" w14:textId="77777777" w:rsidR="00653173" w:rsidRPr="00D97C10" w:rsidRDefault="00653173" w:rsidP="00653173">
      <w:r w:rsidRPr="00D97C10">
        <w:lastRenderedPageBreak/>
        <w:t>Here's what I recommend considering this data:</w:t>
      </w:r>
    </w:p>
    <w:p w14:paraId="7222416A" w14:textId="77777777" w:rsidR="00653173" w:rsidRPr="00D97C10" w:rsidRDefault="00653173" w:rsidP="00653173">
      <w:pPr>
        <w:numPr>
          <w:ilvl w:val="0"/>
          <w:numId w:val="7"/>
        </w:numPr>
      </w:pPr>
      <w:r w:rsidRPr="00D97C10">
        <w:rPr>
          <w:b/>
          <w:bCs/>
        </w:rPr>
        <w:t>Focus on Net Profit Margin and Gross Margin:</w:t>
      </w:r>
      <w:r w:rsidRPr="00D97C10">
        <w:t xml:space="preserve"> Given the high similarity between net profit margin and operating margin, a chart comparing just </w:t>
      </w:r>
      <w:r w:rsidRPr="00D97C10">
        <w:rPr>
          <w:b/>
          <w:bCs/>
        </w:rPr>
        <w:t>net profit margin</w:t>
      </w:r>
      <w:r w:rsidRPr="00D97C10">
        <w:t xml:space="preserve"> and </w:t>
      </w:r>
      <w:r w:rsidRPr="00D97C10">
        <w:rPr>
          <w:b/>
          <w:bCs/>
        </w:rPr>
        <w:t>gross margin</w:t>
      </w:r>
      <w:r w:rsidRPr="00D97C10">
        <w:t xml:space="preserve"> would be sufficient and less cluttered. This will effectively highlight the impact of different expense categories on profitability.</w:t>
      </w:r>
    </w:p>
    <w:p w14:paraId="2734761F" w14:textId="77777777" w:rsidR="00653173" w:rsidRPr="00D97C10" w:rsidRDefault="00653173" w:rsidP="00653173">
      <w:pPr>
        <w:numPr>
          <w:ilvl w:val="0"/>
          <w:numId w:val="7"/>
        </w:numPr>
      </w:pPr>
      <w:r w:rsidRPr="00D97C10">
        <w:rPr>
          <w:b/>
          <w:bCs/>
        </w:rPr>
        <w:t>Discuss Operating Margin in Text:</w:t>
      </w:r>
      <w:r w:rsidRPr="00D97C10">
        <w:t xml:space="preserve"> Briefly mention the operating margin in the text that accompanies the chart. You can state that it is very similar to the net profit margin, suggesting that Netflix might have relatively low non-operating expenses (expenses not directly related to core operations). This can be a positive sign for its financial efficiency.</w:t>
      </w:r>
      <w:commentRangeEnd w:id="10"/>
      <w:r w:rsidR="002A088D">
        <w:rPr>
          <w:rStyle w:val="CommentReference"/>
        </w:rPr>
        <w:commentReference w:id="10"/>
      </w:r>
    </w:p>
    <w:p w14:paraId="22A44B6B" w14:textId="77777777" w:rsidR="00653173" w:rsidRDefault="00653173" w:rsidP="00653173"/>
    <w:p w14:paraId="13EE1EA4" w14:textId="77777777" w:rsidR="00653173" w:rsidRPr="00D97C10" w:rsidRDefault="00653173" w:rsidP="00653173"/>
    <w:p w14:paraId="311A3A18" w14:textId="77777777" w:rsidR="00653173" w:rsidRDefault="00653173" w:rsidP="00653173">
      <w:r>
        <w:rPr>
          <w:b/>
          <w:bCs/>
        </w:rPr>
        <w:t>Profitability Margins</w:t>
      </w:r>
    </w:p>
    <w:p w14:paraId="56336D41" w14:textId="77777777" w:rsidR="00653173" w:rsidRDefault="00653173" w:rsidP="00653173">
      <w:r w:rsidRPr="006A2924">
        <w:rPr>
          <w:b/>
          <w:bCs/>
        </w:rPr>
        <w:t>Gross Margin</w:t>
      </w:r>
    </w:p>
    <w:p w14:paraId="0DF33BD8" w14:textId="77777777" w:rsidR="00653173" w:rsidRDefault="00653173" w:rsidP="00653173">
      <w:r>
        <w:rPr>
          <w:noProof/>
        </w:rPr>
        <w:drawing>
          <wp:inline distT="0" distB="0" distL="0" distR="0" wp14:anchorId="1789F7D1" wp14:editId="03E61FF8">
            <wp:extent cx="4566285" cy="2743200"/>
            <wp:effectExtent l="0" t="0" r="5715" b="0"/>
            <wp:docPr id="1944493955" name="Chart 1">
              <a:extLst xmlns:a="http://schemas.openxmlformats.org/drawingml/2006/main">
                <a:ext uri="{FF2B5EF4-FFF2-40B4-BE49-F238E27FC236}">
                  <a16:creationId xmlns:a16="http://schemas.microsoft.com/office/drawing/2014/main" id="{2C943EC1-802C-E799-7086-CCC530BB36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4B9028" w14:textId="77777777" w:rsidR="00653173" w:rsidRDefault="00653173" w:rsidP="00653173">
      <w:r>
        <w:t>Over the past two years NFLX has seen some variability in their gross margins.  However, the prevailing trend is positive with the lowest period (Q4 ’22) showing 31% of revenue retained as gross profit.  Generally speaking, after incurring the costs for content creation, streaming services such as NFLX could greatly benefit from overall low marginal costs.  This gives them the ability to maintain lower gross margins, relatively speaking, and still remain quite competitive in their market.</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7777777" w:rsidR="00653173" w:rsidRDefault="00653173" w:rsidP="00653173">
      <w:r>
        <w:rPr>
          <w:noProof/>
        </w:rPr>
        <w:lastRenderedPageBreak/>
        <w:drawing>
          <wp:inline distT="0" distB="0" distL="0" distR="0" wp14:anchorId="25ADBCC0" wp14:editId="2E6516AE">
            <wp:extent cx="4568190" cy="2743200"/>
            <wp:effectExtent l="0" t="0" r="3810" b="0"/>
            <wp:docPr id="1850477560"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EA4BA40" w14:textId="77777777" w:rsidR="00653173" w:rsidRDefault="00653173" w:rsidP="00653173">
      <w:r>
        <w:t>Looking at the EPS Basic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drawing>
          <wp:inline distT="0" distB="0" distL="0" distR="0" wp14:anchorId="42EE7E97" wp14:editId="251598D9">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CE37B7A" w14:textId="77777777" w:rsidR="00653173" w:rsidRPr="00B2236C" w:rsidRDefault="00653173" w:rsidP="00653173">
      <w:r>
        <w:lastRenderedPageBreak/>
        <w:t>The increasing values of the Asset Turnover Ratio shows that NFLX is improving in their ability to use their assets to generate revenue.</w:t>
      </w:r>
    </w:p>
    <w:p w14:paraId="2E04D4AF" w14:textId="77777777" w:rsidR="00653173" w:rsidRDefault="00653173" w:rsidP="00653173"/>
    <w:p w14:paraId="0A5FFD7E" w14:textId="77777777" w:rsidR="00653173" w:rsidRDefault="00653173" w:rsidP="00653173">
      <w:r>
        <w:rPr>
          <w:b/>
          <w:bCs/>
        </w:rPr>
        <w:t>Efficiency Ratios</w:t>
      </w:r>
    </w:p>
    <w:p w14:paraId="1F8C7BEE" w14:textId="77777777" w:rsidR="00653173" w:rsidRPr="004C3A38" w:rsidRDefault="00653173" w:rsidP="00653173">
      <w:r>
        <w:t>As can been seen in the two following charts,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along with a reduction of expenses, there has been a substantial rebound in net income values, which in turn has bolstered the figures for ROA and ROE.</w:t>
      </w:r>
    </w:p>
    <w:p w14:paraId="6B7B12EE" w14:textId="77777777" w:rsidR="00653173" w:rsidRDefault="00653173" w:rsidP="00653173">
      <w:pPr>
        <w:pStyle w:val="ListParagraph"/>
        <w:numPr>
          <w:ilvl w:val="0"/>
          <w:numId w:val="6"/>
        </w:numPr>
      </w:pPr>
      <w:r w:rsidRPr="00401A0D">
        <w:rPr>
          <w:b/>
          <w:bCs/>
        </w:rPr>
        <w:t>Return on Assets</w:t>
      </w:r>
      <w:r>
        <w:t xml:space="preserve"> = net income/total assets</w:t>
      </w:r>
    </w:p>
    <w:p w14:paraId="6B921A83" w14:textId="77777777" w:rsidR="00653173" w:rsidRDefault="00653173" w:rsidP="00653173">
      <w:pPr>
        <w:rPr>
          <w:b/>
          <w:bCs/>
        </w:rPr>
      </w:pPr>
      <w:r>
        <w:rPr>
          <w:noProof/>
        </w:rPr>
        <w:drawing>
          <wp:inline distT="0" distB="0" distL="0" distR="0" wp14:anchorId="5C7F2912" wp14:editId="15576DB6">
            <wp:extent cx="4572000" cy="2743200"/>
            <wp:effectExtent l="0" t="0" r="0" b="0"/>
            <wp:docPr id="1572772910" name="Chart 1">
              <a:extLst xmlns:a="http://schemas.openxmlformats.org/drawingml/2006/main">
                <a:ext uri="{FF2B5EF4-FFF2-40B4-BE49-F238E27FC236}">
                  <a16:creationId xmlns:a16="http://schemas.microsoft.com/office/drawing/2014/main" id="{B0C12E96-3412-C155-62FD-AA23B73057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F0FFCB6" w14:textId="77777777" w:rsidR="00653173" w:rsidRDefault="00653173" w:rsidP="00653173"/>
    <w:p w14:paraId="035ECC54" w14:textId="77777777" w:rsidR="00653173" w:rsidRDefault="00653173" w:rsidP="00653173">
      <w:pPr>
        <w:pStyle w:val="ListParagraph"/>
        <w:numPr>
          <w:ilvl w:val="0"/>
          <w:numId w:val="6"/>
        </w:numPr>
      </w:pPr>
      <w:r w:rsidRPr="00401A0D">
        <w:rPr>
          <w:b/>
          <w:bCs/>
        </w:rPr>
        <w:t>Return on Equity</w:t>
      </w:r>
      <w:r>
        <w:t xml:space="preserve"> = net income/shareholders’ equity</w:t>
      </w:r>
    </w:p>
    <w:p w14:paraId="66D16FCE" w14:textId="77777777" w:rsidR="00653173" w:rsidRDefault="00653173" w:rsidP="00653173">
      <w:r>
        <w:rPr>
          <w:noProof/>
        </w:rPr>
        <w:lastRenderedPageBreak/>
        <w:drawing>
          <wp:inline distT="0" distB="0" distL="0" distR="0" wp14:anchorId="56188E3F" wp14:editId="0715EA65">
            <wp:extent cx="4566285" cy="2743200"/>
            <wp:effectExtent l="0" t="0" r="5715" b="0"/>
            <wp:docPr id="2097040799" name="Chart 1">
              <a:extLst xmlns:a="http://schemas.openxmlformats.org/drawingml/2006/main">
                <a:ext uri="{FF2B5EF4-FFF2-40B4-BE49-F238E27FC236}">
                  <a16:creationId xmlns:a16="http://schemas.microsoft.com/office/drawing/2014/main" id="{397721BD-B1D8-2A03-5574-FD0AF8359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BBB2202" w14:textId="77777777" w:rsidR="00653173" w:rsidRDefault="00653173" w:rsidP="00653173"/>
    <w:p w14:paraId="251456FB" w14:textId="77777777" w:rsidR="00653173" w:rsidRDefault="00653173" w:rsidP="00653173">
      <w:r>
        <w:rPr>
          <w:b/>
          <w:bCs/>
        </w:rPr>
        <w:t>Liquidity and Solvency Analysis</w:t>
      </w:r>
    </w:p>
    <w:p w14:paraId="1859B420" w14:textId="77777777" w:rsidR="00653173" w:rsidRPr="00EC5B3E" w:rsidRDefault="00653173" w:rsidP="00653173">
      <w:pPr>
        <w:pStyle w:val="ListParagraph"/>
        <w:numPr>
          <w:ilvl w:val="0"/>
          <w:numId w:val="6"/>
        </w:numPr>
      </w:pPr>
      <w:r w:rsidRPr="006A2924">
        <w:rPr>
          <w:b/>
          <w:bCs/>
        </w:rPr>
        <w:t>Current Ratio</w:t>
      </w:r>
      <w:r>
        <w:t xml:space="preserve"> - </w:t>
      </w:r>
      <w:r>
        <w:rPr>
          <w:rFonts w:ascii="Calibri" w:hAnsi="Calibri" w:cs="Calibri"/>
        </w:rPr>
        <w:t>A current ratio above 1 indicates good short-term liquidity.</w:t>
      </w:r>
    </w:p>
    <w:p w14:paraId="445FFA67" w14:textId="77777777" w:rsidR="00653173" w:rsidRPr="008A0F4B" w:rsidRDefault="00653173" w:rsidP="00653173">
      <w:r>
        <w:rPr>
          <w:noProof/>
        </w:rPr>
        <w:drawing>
          <wp:inline distT="0" distB="0" distL="0" distR="0" wp14:anchorId="6ECDE08E" wp14:editId="48957BEC">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11625E6" w14:textId="77777777"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can “afford” to maintain a lower current ratio when compared to other businesses with different business models and capital structure.  They can do this in part because of the structure of their subscription model revenues.  They have much less variability in their cash flows than a company that operates in manufacturing that must maintain a level of current inventory, as an example.  Also, being a company in a growth phase, they invest heavily in creative content, which is a long-term </w:t>
      </w:r>
      <w:r>
        <w:lastRenderedPageBreak/>
        <w:t>asset, along with investments in growth opportunities in an evolving on-demand digital streaming market.</w:t>
      </w:r>
    </w:p>
    <w:p w14:paraId="39B8B249" w14:textId="77777777" w:rsidR="00653173" w:rsidRDefault="00653173" w:rsidP="00653173"/>
    <w:p w14:paraId="7D9C6A2A" w14:textId="77777777" w:rsidR="00653173" w:rsidRDefault="00653173" w:rsidP="00653173">
      <w:pPr>
        <w:pStyle w:val="ListParagraph"/>
        <w:numPr>
          <w:ilvl w:val="0"/>
          <w:numId w:val="6"/>
        </w:numPr>
      </w:pPr>
      <w:r w:rsidRPr="00401A0D">
        <w:rPr>
          <w:b/>
          <w:bCs/>
        </w:rPr>
        <w:t>Debt-to-Equity Ratio</w:t>
      </w:r>
      <w:r>
        <w:t xml:space="preserve"> = total liabilities/shareholders’ equity</w:t>
      </w:r>
    </w:p>
    <w:p w14:paraId="74A1D0AE" w14:textId="77777777" w:rsidR="00653173" w:rsidRDefault="00653173" w:rsidP="00653173">
      <w:r>
        <w:rPr>
          <w:noProof/>
        </w:rPr>
        <w:drawing>
          <wp:inline distT="0" distB="0" distL="0" distR="0" wp14:anchorId="2BEE598B" wp14:editId="4F895AB4">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ECF9420" w14:textId="77777777" w:rsidR="00653173" w:rsidRDefault="00653173" w:rsidP="00653173">
      <w:r>
        <w:t>NFLX is showing a declining trend in their debt-to-equity ratio.  The general explanation I that they are using less debt in relation to their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77777777" w:rsidR="00653173" w:rsidRPr="00FC64E0" w:rsidRDefault="00653173" w:rsidP="00653173">
      <w:r>
        <w:t>The continued reduction of debt would allow NFLX to invest in creative content with less dependence to take on additional debt.  This could favorably position NFLX with an edge in relation to their competition.  However, the reduction of their debt load in relation to their equity also provides an enhanced credit rating.  This gives NFLX more flexible and available options for funding future investments for growth.</w:t>
      </w:r>
    </w:p>
    <w:p w14:paraId="507D9B5A" w14:textId="77777777" w:rsidR="00653173" w:rsidRPr="00564384" w:rsidRDefault="00653173" w:rsidP="00653173">
      <w:r>
        <w:t>Although NFLX has historically not offered a dividend and has instead chosen to focus on reinvestment, the downward continuation of this debt trend could open the door to the future possibility of 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63699CFB">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EC22861" w14:textId="77777777"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59940CDF" w14:textId="77777777" w:rsidR="00653173" w:rsidRDefault="00653173" w:rsidP="00653173"/>
    <w:p w14:paraId="1FBEAC9E" w14:textId="77777777" w:rsidR="00653173" w:rsidRDefault="00653173" w:rsidP="00653173">
      <w:pPr>
        <w:rPr>
          <w:rFonts w:ascii="Calibri" w:hAnsi="Calibri" w:cs="Calibri"/>
        </w:rPr>
      </w:pPr>
      <w:r>
        <w:rPr>
          <w:noProof/>
        </w:rPr>
        <w:drawing>
          <wp:inline distT="0" distB="0" distL="0" distR="0" wp14:anchorId="398EE46D" wp14:editId="01D63B8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0F0E88F" w14:textId="139B437B" w:rsidR="00653173" w:rsidRDefault="00653173" w:rsidP="00653173">
      <w:r>
        <w:rPr>
          <w:rFonts w:ascii="Calibri" w:hAnsi="Calibri" w:cs="Calibri"/>
        </w:rPr>
        <w:t xml:space="preserve">While Total Liabilities have stayed fairly constant, Total Stockholders’ Equity has been increasing, which could be </w:t>
      </w:r>
      <w:r>
        <w:rPr>
          <w:rFonts w:ascii="Calibri" w:hAnsi="Calibri" w:cs="Calibri"/>
        </w:rPr>
        <w:t>an</w:t>
      </w:r>
      <w:r>
        <w:rPr>
          <w:rFonts w:ascii="Calibri" w:hAnsi="Calibri" w:cs="Calibri"/>
        </w:rPr>
        <w:t xml:space="preserve"> indication of retained earnings and reinvestment back into the company.</w:t>
      </w:r>
    </w:p>
    <w:p w14:paraId="6516BADF" w14:textId="77777777" w:rsidR="00653173" w:rsidRDefault="00653173" w:rsidP="00653173"/>
    <w:p w14:paraId="340BDFD8" w14:textId="77777777" w:rsidR="00653173" w:rsidRDefault="00653173" w:rsidP="00653173"/>
    <w:p w14:paraId="46972B59" w14:textId="77777777" w:rsidR="00653173" w:rsidRDefault="00653173" w:rsidP="00653173">
      <w:r>
        <w:rPr>
          <w:noProof/>
        </w:rPr>
        <w:lastRenderedPageBreak/>
        <w:drawing>
          <wp:inline distT="0" distB="0" distL="0" distR="0" wp14:anchorId="15A3EC73" wp14:editId="65B8311B">
            <wp:extent cx="4560570" cy="2743200"/>
            <wp:effectExtent l="0" t="0" r="11430" b="0"/>
            <wp:docPr id="659693577" name="Chart 1">
              <a:extLst xmlns:a="http://schemas.openxmlformats.org/drawingml/2006/main">
                <a:ext uri="{FF2B5EF4-FFF2-40B4-BE49-F238E27FC236}">
                  <a16:creationId xmlns:a16="http://schemas.microsoft.com/office/drawing/2014/main" id="{9A665F71-E66A-2550-9D48-8C41B13E3F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103551AD" w14:textId="77777777" w:rsidR="00653173" w:rsidRDefault="00653173" w:rsidP="00653173">
      <w:pPr>
        <w:rPr>
          <w:rFonts w:ascii="Calibri" w:hAnsi="Calibri" w:cs="Calibri"/>
          <w:b/>
          <w:bCs/>
        </w:rPr>
      </w:pPr>
      <w:r>
        <w:rPr>
          <w:noProof/>
        </w:rPr>
        <w:drawing>
          <wp:inline distT="0" distB="0" distL="0" distR="0" wp14:anchorId="7CD6B47D" wp14:editId="6640D689">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88B15F0" w14:textId="77777777" w:rsidR="00653173" w:rsidRDefault="00653173" w:rsidP="00653173">
      <w:pPr>
        <w:rPr>
          <w:rFonts w:ascii="Calibri" w:hAnsi="Calibri" w:cs="Calibri"/>
        </w:rPr>
      </w:pPr>
      <w:commentRangeStart w:id="11"/>
      <w:r>
        <w:rPr>
          <w:rFonts w:ascii="Calibri" w:hAnsi="Calibri" w:cs="Calibri"/>
        </w:rPr>
        <w:t>Positive and growing operating cash flow indicates that the company’s core business operations are generating cash.</w:t>
      </w:r>
      <w:commentRangeEnd w:id="11"/>
      <w:r>
        <w:rPr>
          <w:rStyle w:val="CommentReference"/>
        </w:rPr>
        <w:commentReference w:id="11"/>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lastRenderedPageBreak/>
        <w:drawing>
          <wp:inline distT="0" distB="0" distL="0" distR="0" wp14:anchorId="7FB95235" wp14:editId="2778B107">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25753E6" w14:textId="7457110A" w:rsidR="00653173" w:rsidRDefault="00653173" w:rsidP="00653173">
      <w:pPr>
        <w:rPr>
          <w:rFonts w:ascii="Calibri" w:hAnsi="Calibri" w:cs="Calibri"/>
        </w:rPr>
      </w:pPr>
      <w:commentRangeStart w:id="12"/>
      <w:r>
        <w:rPr>
          <w:rFonts w:ascii="Calibri" w:hAnsi="Calibri" w:cs="Calibri"/>
        </w:rPr>
        <w:t xml:space="preserve">Analyze cash used for capital expenditures, acquisitions, and other investments. High capital expenditures could indicate growth but also </w:t>
      </w:r>
      <w:r>
        <w:rPr>
          <w:rFonts w:ascii="Calibri" w:hAnsi="Calibri" w:cs="Calibri"/>
        </w:rPr>
        <w:t>requires</w:t>
      </w:r>
      <w:r>
        <w:rPr>
          <w:rFonts w:ascii="Calibri" w:hAnsi="Calibri" w:cs="Calibri"/>
        </w:rPr>
        <w:t xml:space="preserve"> scrutiny to ensure they are generating a good return.</w:t>
      </w:r>
      <w:commentRangeEnd w:id="12"/>
      <w:r>
        <w:rPr>
          <w:rStyle w:val="CommentReference"/>
        </w:rPr>
        <w:commentReference w:id="12"/>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drawing>
          <wp:inline distT="0" distB="0" distL="0" distR="0" wp14:anchorId="56D01A90" wp14:editId="5C2C28BE">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4C7C08B" w14:textId="77777777" w:rsidR="00653173" w:rsidRPr="006A2924"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1E325F34" w14:textId="77777777" w:rsidR="00653173" w:rsidRDefault="00653173" w:rsidP="00653173"/>
    <w:p w14:paraId="0D7B1C0B" w14:textId="77777777" w:rsidR="00653173" w:rsidRDefault="00653173" w:rsidP="00653173">
      <w:r>
        <w:rPr>
          <w:b/>
          <w:bCs/>
        </w:rPr>
        <w:t>Industry Comparison</w:t>
      </w:r>
    </w:p>
    <w:p w14:paraId="46EF96C8" w14:textId="77777777" w:rsidR="00653173" w:rsidRDefault="00653173" w:rsidP="00653173"/>
    <w:p w14:paraId="707846C1" w14:textId="77777777" w:rsidR="00653173" w:rsidRDefault="00653173" w:rsidP="00653173"/>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w:t>
      </w:r>
      <w:r>
        <w:rPr>
          <w:rFonts w:ascii="Calibri" w:hAnsi="Calibri" w:cs="Calibri"/>
        </w:rPr>
        <w:t>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w:t>
      </w:r>
      <w:r>
        <w:rPr>
          <w:rFonts w:ascii="Calibri" w:hAnsi="Calibri" w:cs="Calibri"/>
        </w:rPr>
        <w:t>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3"/>
      <w:r>
        <w:t>Is NFLX a “buy”?</w:t>
      </w:r>
      <w:commentRangeEnd w:id="13"/>
      <w:r>
        <w:rPr>
          <w:rStyle w:val="CommentReference"/>
        </w:rPr>
        <w:commentReference w:id="13"/>
      </w:r>
    </w:p>
    <w:p w14:paraId="4F8930F4" w14:textId="77777777" w:rsidR="000B3738" w:rsidRDefault="000B3738" w:rsidP="000B3738">
      <w:r w:rsidRPr="003C7695">
        <w:t>It's important to note that past performance is not indicative of future results.</w:t>
      </w:r>
      <w:r>
        <w:t xml:space="preserve">  </w:t>
      </w:r>
      <w:commentRangeStart w:id="14"/>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4"/>
      <w:r>
        <w:rPr>
          <w:rStyle w:val="CommentReference"/>
        </w:rPr>
        <w:commentReference w:id="14"/>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4" w:author="Kevin Bray" w:date="2024-06-25T11:43:00Z" w:initials="KB">
    <w:p w14:paraId="36E49DD4" w14:textId="77777777" w:rsidR="00F93E53" w:rsidRDefault="00F93E53" w:rsidP="00F93E53">
      <w:pPr>
        <w:pStyle w:val="CommentText"/>
      </w:pPr>
      <w:r>
        <w:rPr>
          <w:rStyle w:val="CommentReference"/>
        </w:rPr>
        <w:annotationRef/>
      </w:r>
      <w:r>
        <w:t>Say it again?</w:t>
      </w:r>
    </w:p>
  </w:comment>
  <w:comment w:id="5" w:author="Kevin Bray" w:date="2024-06-25T11:44:00Z" w:initials="KB">
    <w:p w14:paraId="5DA0AC00" w14:textId="77777777" w:rsidR="00F93E53" w:rsidRDefault="00F93E53" w:rsidP="00F93E53">
      <w:pPr>
        <w:pStyle w:val="CommentText"/>
      </w:pPr>
      <w:r>
        <w:rPr>
          <w:rStyle w:val="CommentReference"/>
        </w:rPr>
        <w:annotationRef/>
      </w:r>
      <w:r>
        <w:t>And again...</w:t>
      </w:r>
    </w:p>
  </w:comment>
  <w:comment w:id="6" w:author="Kevin Bray" w:date="2024-06-15T10:38:00Z" w:initials="KB">
    <w:p w14:paraId="74F00DA3" w14:textId="0F0CD65B" w:rsidR="00FB58D2" w:rsidRDefault="00FB58D2" w:rsidP="00FB58D2">
      <w:pPr>
        <w:pStyle w:val="CommentText"/>
      </w:pPr>
      <w:r>
        <w:rPr>
          <w:rStyle w:val="CommentReference"/>
        </w:rPr>
        <w:annotationRef/>
      </w:r>
      <w:r>
        <w:t>Give a rundown of company financials based on latest earnings report.</w:t>
      </w:r>
    </w:p>
  </w:comment>
  <w:comment w:id="7"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8" w:author="Kevin Bray" w:date="2024-06-25T08:04:00Z" w:initials="KB">
    <w:p w14:paraId="3359AFB6" w14:textId="77777777" w:rsidR="000A261E" w:rsidRDefault="000A261E" w:rsidP="000A261E">
      <w:pPr>
        <w:pStyle w:val="CommentText"/>
      </w:pPr>
      <w:r>
        <w:rPr>
          <w:rStyle w:val="CommentReference"/>
        </w:rPr>
        <w:annotationRef/>
      </w:r>
      <w:r>
        <w:t>Take another look at this</w:t>
      </w:r>
    </w:p>
  </w:comment>
  <w:comment w:id="9" w:author="Kevin Bray" w:date="2024-06-25T08:03:00Z" w:initials="KB">
    <w:p w14:paraId="523E83D0" w14:textId="0BC2C71C" w:rsidR="000A261E" w:rsidRDefault="000A261E" w:rsidP="000A261E">
      <w:pPr>
        <w:pStyle w:val="CommentText"/>
      </w:pPr>
      <w:r>
        <w:rPr>
          <w:rStyle w:val="CommentReference"/>
        </w:rPr>
        <w:annotationRef/>
      </w:r>
      <w:r>
        <w:t>Take a look at this</w:t>
      </w:r>
    </w:p>
  </w:comment>
  <w:comment w:id="10" w:author="Kevin Bray" w:date="2024-06-25T08:29:00Z" w:initials="KB">
    <w:p w14:paraId="3E49DD1D" w14:textId="77777777" w:rsidR="002A088D" w:rsidRDefault="002A088D" w:rsidP="002A088D">
      <w:pPr>
        <w:pStyle w:val="CommentText"/>
      </w:pPr>
      <w:r>
        <w:rPr>
          <w:rStyle w:val="CommentReference"/>
        </w:rPr>
        <w:annotationRef/>
      </w:r>
      <w:r>
        <w:t>Reword</w:t>
      </w:r>
    </w:p>
  </w:comment>
  <w:comment w:id="11" w:author="Kevin Bray" w:date="2024-06-24T11:51:00Z" w:initials="KB">
    <w:p w14:paraId="01686B11" w14:textId="25410DE4" w:rsidR="00653173" w:rsidRDefault="00653173" w:rsidP="00653173">
      <w:pPr>
        <w:pStyle w:val="CommentText"/>
      </w:pPr>
      <w:r>
        <w:rPr>
          <w:rStyle w:val="CommentReference"/>
        </w:rPr>
        <w:annotationRef/>
      </w:r>
      <w:r>
        <w:t>Reword</w:t>
      </w:r>
    </w:p>
  </w:comment>
  <w:comment w:id="12" w:author="Kevin Bray" w:date="2024-06-24T11:50:00Z" w:initials="KB">
    <w:p w14:paraId="4B359695" w14:textId="51CF39B1" w:rsidR="00653173" w:rsidRDefault="00653173" w:rsidP="00653173">
      <w:pPr>
        <w:pStyle w:val="CommentText"/>
      </w:pPr>
      <w:r>
        <w:rPr>
          <w:rStyle w:val="CommentReference"/>
        </w:rPr>
        <w:annotationRef/>
      </w:r>
      <w:r>
        <w:t>Reword</w:t>
      </w:r>
    </w:p>
  </w:comment>
  <w:comment w:id="13"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4"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6D8510A7" w15:done="0"/>
  <w15:commentEx w15:paraId="36E49DD4" w15:done="0"/>
  <w15:commentEx w15:paraId="5DA0AC00" w15:done="0"/>
  <w15:commentEx w15:paraId="74F00DA3" w15:done="0"/>
  <w15:commentEx w15:paraId="104AF2D4" w15:done="0"/>
  <w15:commentEx w15:paraId="3359AFB6" w15:done="0"/>
  <w15:commentEx w15:paraId="523E83D0" w15:done="0"/>
  <w15:commentEx w15:paraId="3E49DD1D" w15:done="0"/>
  <w15:commentEx w15:paraId="01686B11"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056CCF1F" w16cex:dateUtc="2024-06-05T19:25:00Z"/>
  <w16cex:commentExtensible w16cex:durableId="43488EBC" w16cex:dateUtc="2024-06-25T15:43:00Z"/>
  <w16cex:commentExtensible w16cex:durableId="428F83E4" w16cex:dateUtc="2024-06-25T15:44:00Z"/>
  <w16cex:commentExtensible w16cex:durableId="1460B269" w16cex:dateUtc="2024-06-15T14:38:00Z"/>
  <w16cex:commentExtensible w16cex:durableId="37E9F8D4" w16cex:dateUtc="2024-06-01T09:30:00Z"/>
  <w16cex:commentExtensible w16cex:durableId="3F33DD2E" w16cex:dateUtc="2024-06-25T12:04:00Z"/>
  <w16cex:commentExtensible w16cex:durableId="3FBF9E36" w16cex:dateUtc="2024-06-25T12:03:00Z"/>
  <w16cex:commentExtensible w16cex:durableId="2746DE73" w16cex:dateUtc="2024-06-25T12:29:00Z"/>
  <w16cex:commentExtensible w16cex:durableId="2EB4F39E" w16cex:dateUtc="2024-06-24T15:51: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6D8510A7" w16cid:durableId="056CCF1F"/>
  <w16cid:commentId w16cid:paraId="36E49DD4" w16cid:durableId="43488EBC"/>
  <w16cid:commentId w16cid:paraId="5DA0AC00" w16cid:durableId="428F83E4"/>
  <w16cid:commentId w16cid:paraId="74F00DA3" w16cid:durableId="1460B269"/>
  <w16cid:commentId w16cid:paraId="104AF2D4" w16cid:durableId="37E9F8D4"/>
  <w16cid:commentId w16cid:paraId="3359AFB6" w16cid:durableId="3F33DD2E"/>
  <w16cid:commentId w16cid:paraId="523E83D0" w16cid:durableId="3FBF9E36"/>
  <w16cid:commentId w16cid:paraId="3E49DD1D" w16cid:durableId="2746DE73"/>
  <w16cid:commentId w16cid:paraId="01686B11" w16cid:durableId="2EB4F39E"/>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2034"/>
    <w:rsid w:val="000433B2"/>
    <w:rsid w:val="00060CBA"/>
    <w:rsid w:val="00090E1D"/>
    <w:rsid w:val="00097A24"/>
    <w:rsid w:val="00097F7B"/>
    <w:rsid w:val="000A261E"/>
    <w:rsid w:val="000B3738"/>
    <w:rsid w:val="000C1C4A"/>
    <w:rsid w:val="000F41AA"/>
    <w:rsid w:val="001043FD"/>
    <w:rsid w:val="00122091"/>
    <w:rsid w:val="00132899"/>
    <w:rsid w:val="00166FBF"/>
    <w:rsid w:val="0018406A"/>
    <w:rsid w:val="00194CFF"/>
    <w:rsid w:val="001A3D97"/>
    <w:rsid w:val="001B5DC9"/>
    <w:rsid w:val="001D6BF3"/>
    <w:rsid w:val="001E641E"/>
    <w:rsid w:val="00224025"/>
    <w:rsid w:val="002262E3"/>
    <w:rsid w:val="002466B5"/>
    <w:rsid w:val="002A088D"/>
    <w:rsid w:val="002A0A65"/>
    <w:rsid w:val="002C311B"/>
    <w:rsid w:val="002D1E46"/>
    <w:rsid w:val="002D3E5D"/>
    <w:rsid w:val="002D4985"/>
    <w:rsid w:val="0031136D"/>
    <w:rsid w:val="0031282E"/>
    <w:rsid w:val="0039697A"/>
    <w:rsid w:val="003C7695"/>
    <w:rsid w:val="003F007E"/>
    <w:rsid w:val="003F61A7"/>
    <w:rsid w:val="003F6A83"/>
    <w:rsid w:val="00401A0D"/>
    <w:rsid w:val="004143E6"/>
    <w:rsid w:val="00426348"/>
    <w:rsid w:val="00437CF5"/>
    <w:rsid w:val="0044428D"/>
    <w:rsid w:val="004633B9"/>
    <w:rsid w:val="00464697"/>
    <w:rsid w:val="00464A62"/>
    <w:rsid w:val="00467A4D"/>
    <w:rsid w:val="004845BD"/>
    <w:rsid w:val="004A584D"/>
    <w:rsid w:val="004B6905"/>
    <w:rsid w:val="004C3A38"/>
    <w:rsid w:val="005040FB"/>
    <w:rsid w:val="005069C4"/>
    <w:rsid w:val="00510B16"/>
    <w:rsid w:val="005515D9"/>
    <w:rsid w:val="00564384"/>
    <w:rsid w:val="00566BC5"/>
    <w:rsid w:val="005A451A"/>
    <w:rsid w:val="005E176A"/>
    <w:rsid w:val="005E5F09"/>
    <w:rsid w:val="005E73AE"/>
    <w:rsid w:val="00615BD8"/>
    <w:rsid w:val="0061799D"/>
    <w:rsid w:val="00622F60"/>
    <w:rsid w:val="00633A05"/>
    <w:rsid w:val="00653173"/>
    <w:rsid w:val="006570F6"/>
    <w:rsid w:val="006634B5"/>
    <w:rsid w:val="00675F96"/>
    <w:rsid w:val="006A2924"/>
    <w:rsid w:val="006A2ABF"/>
    <w:rsid w:val="006E14C7"/>
    <w:rsid w:val="006F793F"/>
    <w:rsid w:val="00732C89"/>
    <w:rsid w:val="0074241D"/>
    <w:rsid w:val="00780B27"/>
    <w:rsid w:val="00782079"/>
    <w:rsid w:val="00783CB1"/>
    <w:rsid w:val="007C5E17"/>
    <w:rsid w:val="007D0634"/>
    <w:rsid w:val="007E0596"/>
    <w:rsid w:val="0080420B"/>
    <w:rsid w:val="00804973"/>
    <w:rsid w:val="0082196F"/>
    <w:rsid w:val="00824C55"/>
    <w:rsid w:val="0082625D"/>
    <w:rsid w:val="008540C0"/>
    <w:rsid w:val="0087402A"/>
    <w:rsid w:val="008A0F4B"/>
    <w:rsid w:val="008C5287"/>
    <w:rsid w:val="008D2352"/>
    <w:rsid w:val="008F2FB9"/>
    <w:rsid w:val="008F7290"/>
    <w:rsid w:val="00910F7F"/>
    <w:rsid w:val="00913547"/>
    <w:rsid w:val="00917845"/>
    <w:rsid w:val="0096087C"/>
    <w:rsid w:val="0098441E"/>
    <w:rsid w:val="00992D0F"/>
    <w:rsid w:val="00994396"/>
    <w:rsid w:val="009B3B2D"/>
    <w:rsid w:val="009B7448"/>
    <w:rsid w:val="009C0F1C"/>
    <w:rsid w:val="009C0F32"/>
    <w:rsid w:val="009C2CF0"/>
    <w:rsid w:val="009D74AB"/>
    <w:rsid w:val="009F34EF"/>
    <w:rsid w:val="00A07566"/>
    <w:rsid w:val="00A23A37"/>
    <w:rsid w:val="00A702A3"/>
    <w:rsid w:val="00AA2BA7"/>
    <w:rsid w:val="00AA56FE"/>
    <w:rsid w:val="00AC5B13"/>
    <w:rsid w:val="00AD286C"/>
    <w:rsid w:val="00AF5A1A"/>
    <w:rsid w:val="00B159A9"/>
    <w:rsid w:val="00B2236C"/>
    <w:rsid w:val="00B520AA"/>
    <w:rsid w:val="00B527C5"/>
    <w:rsid w:val="00B75C30"/>
    <w:rsid w:val="00BC52E6"/>
    <w:rsid w:val="00BD14DC"/>
    <w:rsid w:val="00BD39BB"/>
    <w:rsid w:val="00BE013A"/>
    <w:rsid w:val="00BF2829"/>
    <w:rsid w:val="00C04BB1"/>
    <w:rsid w:val="00C21619"/>
    <w:rsid w:val="00C67B58"/>
    <w:rsid w:val="00C83E58"/>
    <w:rsid w:val="00C902FC"/>
    <w:rsid w:val="00CA163F"/>
    <w:rsid w:val="00CC0A53"/>
    <w:rsid w:val="00CC4E26"/>
    <w:rsid w:val="00D23742"/>
    <w:rsid w:val="00D900C1"/>
    <w:rsid w:val="00DA7FAF"/>
    <w:rsid w:val="00DB5725"/>
    <w:rsid w:val="00DC562A"/>
    <w:rsid w:val="00DC702E"/>
    <w:rsid w:val="00DF4431"/>
    <w:rsid w:val="00E05502"/>
    <w:rsid w:val="00E16F5B"/>
    <w:rsid w:val="00E2237F"/>
    <w:rsid w:val="00E254B3"/>
    <w:rsid w:val="00E2736B"/>
    <w:rsid w:val="00E3011A"/>
    <w:rsid w:val="00E570B5"/>
    <w:rsid w:val="00EA6D08"/>
    <w:rsid w:val="00EC5B3E"/>
    <w:rsid w:val="00EE10C4"/>
    <w:rsid w:val="00EE7855"/>
    <w:rsid w:val="00F10D76"/>
    <w:rsid w:val="00F1183A"/>
    <w:rsid w:val="00F73CC5"/>
    <w:rsid w:val="00F7506D"/>
    <w:rsid w:val="00F76C46"/>
    <w:rsid w:val="00F83267"/>
    <w:rsid w:val="00F93E53"/>
    <w:rsid w:val="00F93EF1"/>
    <w:rsid w:val="00FA6DE3"/>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8.xml"/><Relationship Id="rId39" Type="http://schemas.microsoft.com/office/2011/relationships/people" Target="people.xml"/><Relationship Id="rId21" Type="http://schemas.openxmlformats.org/officeDocument/2006/relationships/chart" Target="charts/chart3.xml"/><Relationship Id="rId34" Type="http://schemas.openxmlformats.org/officeDocument/2006/relationships/chart" Target="charts/chart16.xml"/><Relationship Id="rId7" Type="http://schemas.microsoft.com/office/2011/relationships/commentsExtended" Target="commentsExtended.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7.xml"/><Relationship Id="rId33" Type="http://schemas.openxmlformats.org/officeDocument/2006/relationships/chart" Target="charts/chart15.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chart" Target="charts/chart6.xml"/><Relationship Id="rId32" Type="http://schemas.openxmlformats.org/officeDocument/2006/relationships/chart" Target="charts/chart14.xml"/><Relationship Id="rId37" Type="http://schemas.openxmlformats.org/officeDocument/2006/relationships/chart" Target="charts/chart19.xm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chart" Target="charts/chart18.xml"/><Relationship Id="rId10" Type="http://schemas.openxmlformats.org/officeDocument/2006/relationships/hyperlink" Target="https://www.kaggle.com/datasets/mayankanand2701/netflix-stock-price-dataset" TargetMode="External"/><Relationship Id="rId19" Type="http://schemas.openxmlformats.org/officeDocument/2006/relationships/chart" Target="charts/chart1.xml"/><Relationship Id="rId31" Type="http://schemas.openxmlformats.org/officeDocument/2006/relationships/chart" Target="charts/chart13.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chart" Target="charts/chart17.xml"/><Relationship Id="rId8" Type="http://schemas.microsoft.com/office/2016/09/relationships/commentsIds" Target="commentsIds.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Assets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ROA!$A$5</c:f>
              <c:strCache>
                <c:ptCount val="1"/>
                <c:pt idx="0">
                  <c:v>Return on Assets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ROA!$B$2:$J$2</c:f>
              <c:strCache>
                <c:ptCount val="9"/>
                <c:pt idx="0">
                  <c:v>Q1 '22</c:v>
                </c:pt>
                <c:pt idx="1">
                  <c:v>Q2 '22</c:v>
                </c:pt>
                <c:pt idx="2">
                  <c:v>Q3 '22</c:v>
                </c:pt>
                <c:pt idx="3">
                  <c:v>Q4 '22</c:v>
                </c:pt>
                <c:pt idx="4">
                  <c:v>Q1 '23</c:v>
                </c:pt>
                <c:pt idx="5">
                  <c:v>Q2 '23</c:v>
                </c:pt>
                <c:pt idx="6">
                  <c:v>Q3 '23</c:v>
                </c:pt>
                <c:pt idx="7">
                  <c:v>Q4 '23</c:v>
                </c:pt>
                <c:pt idx="8">
                  <c:v>Q1 '24</c:v>
                </c:pt>
              </c:strCache>
            </c:strRef>
          </c:cat>
          <c:val>
            <c:numRef>
              <c:f>ROA!$B$5:$J$5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smooth val="0"/>
          <c:extLst>
            <c:ext xmlns:c16="http://schemas.microsoft.com/office/drawing/2014/chart" uri="{C3380CC4-5D6E-409C-BE32-E72D297353CC}">
              <c16:uniqueId val="{00000001-5015-47F3-8B84-E3070C661EDF}"/>
            </c:ext>
          </c:extLst>
        </c:ser>
        <c:dLbls>
          <c:showLegendKey val="0"/>
          <c:showVal val="0"/>
          <c:showCatName val="0"/>
          <c:showSerName val="0"/>
          <c:showPercent val="0"/>
          <c:showBubbleSize val="0"/>
        </c:dLbls>
        <c:smooth val="0"/>
        <c:axId val="199881344"/>
        <c:axId val="199887104"/>
      </c:lineChart>
      <c:catAx>
        <c:axId val="1998813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7104"/>
        <c:crosses val="autoZero"/>
        <c:auto val="0"/>
        <c:lblAlgn val="ctr"/>
        <c:lblOffset val="100"/>
        <c:noMultiLvlLbl val="0"/>
      </c:catAx>
      <c:valAx>
        <c:axId val="19988710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1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Equity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ROE!$A$5</c:f>
              <c:strCache>
                <c:ptCount val="1"/>
                <c:pt idx="0">
                  <c:v>Return on Equity</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ROE!$B$5:$J$5</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smooth val="0"/>
          <c:extLst>
            <c:ext xmlns:c16="http://schemas.microsoft.com/office/drawing/2014/chart" uri="{C3380CC4-5D6E-409C-BE32-E72D297353CC}">
              <c16:uniqueId val="{00000001-8233-45CD-9667-42B65273D55B}"/>
            </c:ext>
          </c:extLst>
        </c:ser>
        <c:dLbls>
          <c:showLegendKey val="0"/>
          <c:showVal val="0"/>
          <c:showCatName val="0"/>
          <c:showSerName val="0"/>
          <c:showPercent val="0"/>
          <c:showBubbleSize val="0"/>
        </c:dLbls>
        <c:smooth val="0"/>
        <c:axId val="115445040"/>
        <c:axId val="115440720"/>
      </c:lineChart>
      <c:catAx>
        <c:axId val="1154450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0720"/>
        <c:crosses val="autoZero"/>
        <c:auto val="0"/>
        <c:lblAlgn val="ctr"/>
        <c:lblOffset val="100"/>
        <c:noMultiLvlLbl val="0"/>
      </c:catAx>
      <c:valAx>
        <c:axId val="115440720"/>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5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Current 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Debt-To-Equity</a:t>
            </a:r>
            <a:r>
              <a:rPr lang="en-US"/>
              <a:t>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solidFill>
                  <a:schemeClr val="tx1">
                    <a:lumMod val="65000"/>
                    <a:lumOff val="35000"/>
                  </a:schemeClr>
                </a:solidFill>
              </a:rPr>
              <a:t>Total</a:t>
            </a:r>
            <a:r>
              <a:rPr lang="en-US" baseline="0"/>
              <a:t> </a:t>
            </a:r>
            <a:r>
              <a:rPr lang="en-US" sz="1600" baseline="0">
                <a:solidFill>
                  <a:schemeClr val="tx1">
                    <a:lumMod val="95000"/>
                    <a:lumOff val="5000"/>
                  </a:schemeClr>
                </a:solidFill>
              </a:rPr>
              <a:t>Liabilities</a:t>
            </a:r>
            <a:r>
              <a:rPr lang="en-US" baseline="0"/>
              <a:t> </a:t>
            </a:r>
            <a:r>
              <a:rPr lang="en-US" baseline="0">
                <a:solidFill>
                  <a:schemeClr val="tx1">
                    <a:lumMod val="65000"/>
                    <a:lumOff val="35000"/>
                  </a:schemeClr>
                </a:solidFill>
              </a:rPr>
              <a:t>vs</a:t>
            </a:r>
            <a:r>
              <a:rPr lang="en-US" baseline="0"/>
              <a:t> </a:t>
            </a:r>
            <a:r>
              <a:rPr lang="en-US" baseline="0">
                <a:solidFill>
                  <a:schemeClr val="tx1">
                    <a:lumMod val="65000"/>
                    <a:lumOff val="35000"/>
                  </a:schemeClr>
                </a:solidFill>
              </a:rPr>
              <a:t>Total</a:t>
            </a:r>
            <a:r>
              <a:rPr lang="en-US" baseline="0"/>
              <a:t> </a:t>
            </a:r>
            <a:r>
              <a:rPr lang="en-US" sz="1600" baseline="0">
                <a:solidFill>
                  <a:schemeClr val="tx1">
                    <a:lumMod val="95000"/>
                    <a:lumOff val="5000"/>
                  </a:schemeClr>
                </a:solidFill>
              </a:rPr>
              <a:t>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a:t>
            </a:r>
            <a:r>
              <a:rPr lang="en-US" sz="1400" b="0">
                <a:solidFill>
                  <a:schemeClr val="tx1">
                    <a:lumMod val="65000"/>
                    <a:lumOff val="35000"/>
                  </a:schemeClr>
                </a:solidFill>
              </a:rPr>
              <a:t>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Liabilities'!$A$5</c:f>
              <c:strCache>
                <c:ptCount val="1"/>
                <c:pt idx="0">
                  <c:v>Long-term debt</c:v>
                </c:pt>
              </c:strCache>
            </c:strRef>
          </c:tx>
          <c:spPr>
            <a:ln w="28575" cap="rnd">
              <a:solidFill>
                <a:srgbClr val="E50914"/>
              </a:solidFill>
              <a:round/>
            </a:ln>
            <a:effectLst/>
          </c:spPr>
          <c:marker>
            <c:symbol val="none"/>
          </c:marker>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smooth val="0"/>
          <c:extLst>
            <c:ext xmlns:c16="http://schemas.microsoft.com/office/drawing/2014/chart" uri="{C3380CC4-5D6E-409C-BE32-E72D297353CC}">
              <c16:uniqueId val="{00000001-A1FB-4193-9C7C-16A8B2688E02}"/>
            </c:ext>
          </c:extLst>
        </c:ser>
        <c:dLbls>
          <c:dLblPos val="t"/>
          <c:showLegendKey val="0"/>
          <c:showVal val="1"/>
          <c:showCatName val="0"/>
          <c:showSerName val="0"/>
          <c:showPercent val="0"/>
          <c:showBubbleSize val="0"/>
        </c:dLbls>
        <c:smooth val="0"/>
        <c:axId val="105738784"/>
        <c:axId val="105750784"/>
      </c:lineChart>
      <c:catAx>
        <c:axId val="105738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50784"/>
        <c:crosses val="autoZero"/>
        <c:auto val="1"/>
        <c:lblAlgn val="ctr"/>
        <c:lblOffset val="100"/>
        <c:noMultiLvlLbl val="0"/>
      </c:catAx>
      <c:valAx>
        <c:axId val="105750784"/>
        <c:scaling>
          <c:orientation val="minMax"/>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05738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c:v>1.2844691204333736E-2</c:v>
                </c:pt>
                <c:pt idx="1">
                  <c:v>-5.6212856861490579E-3</c:v>
                </c:pt>
                <c:pt idx="2">
                  <c:v>-9.3651940454297922E-3</c:v>
                </c:pt>
                <c:pt idx="3">
                  <c:v>3.791581035993008E-2</c:v>
                </c:pt>
                <c:pt idx="4">
                  <c:v>3.1509773489456494E-3</c:v>
                </c:pt>
                <c:pt idx="5">
                  <c:v>4.1486861816685039E-2</c:v>
                </c:pt>
                <c:pt idx="6">
                  <c:v>3.2963066742520142E-2</c:v>
                </c:pt>
                <c:pt idx="7">
                  <c:v>5.7373506473548774E-2</c:v>
                </c:pt>
              </c:numCache>
            </c:numRef>
          </c:val>
          <c:smooth val="0"/>
          <c:extLst>
            <c:ext xmlns:c16="http://schemas.microsoft.com/office/drawing/2014/chart" uri="{C3380CC4-5D6E-409C-BE32-E72D297353CC}">
              <c16:uniqueId val="{00000001-934E-4E29-8468-7A0DFFE4DA4D}"/>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Income'!$A$4</c:f>
              <c:strCache>
                <c:ptCount val="1"/>
                <c:pt idx="0">
                  <c:v>Net income</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1-92E0-446C-B90F-02A288364748}"/>
            </c:ext>
          </c:extLst>
        </c:ser>
        <c:dLbls>
          <c:dLblPos val="outEnd"/>
          <c:showLegendKey val="0"/>
          <c:showVal val="1"/>
          <c:showCatName val="0"/>
          <c:showSerName val="0"/>
          <c:showPercent val="0"/>
          <c:showBubbleSize val="0"/>
        </c:dLbls>
        <c:gapWidth val="219"/>
        <c:overlap val="-27"/>
        <c:axId val="115449360"/>
        <c:axId val="115447920"/>
      </c:barChart>
      <c:catAx>
        <c:axId val="11544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7920"/>
        <c:crosses val="autoZero"/>
        <c:auto val="0"/>
        <c:lblAlgn val="ctr"/>
        <c:lblOffset val="100"/>
        <c:noMultiLvlLbl val="0"/>
      </c:catAx>
      <c:valAx>
        <c:axId val="115447920"/>
        <c:scaling>
          <c:orientation val="minMax"/>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1544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Income'!$A$4</c:f>
              <c:strCache>
                <c:ptCount val="1"/>
                <c:pt idx="0">
                  <c:v>Operating income</c:v>
                </c:pt>
              </c:strCache>
            </c:strRef>
          </c:tx>
          <c:spPr>
            <a:solidFill>
              <a:srgbClr val="E50914"/>
            </a:solidFill>
            <a:ln>
              <a:solidFill>
                <a:srgbClr val="E50914"/>
              </a:solid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Income'!$B$4:$J$4</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B839-4759-A170-C631D64169E8}"/>
            </c:ext>
          </c:extLst>
        </c:ser>
        <c:dLbls>
          <c:dLblPos val="outEnd"/>
          <c:showLegendKey val="0"/>
          <c:showVal val="1"/>
          <c:showCatName val="0"/>
          <c:showSerName val="0"/>
          <c:showPercent val="0"/>
          <c:showBubbleSize val="0"/>
        </c:dLbls>
        <c:gapWidth val="219"/>
        <c:overlap val="-27"/>
        <c:axId val="115451760"/>
        <c:axId val="115454160"/>
      </c:barChart>
      <c:catAx>
        <c:axId val="11545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54160"/>
        <c:crosses val="autoZero"/>
        <c:auto val="0"/>
        <c:lblAlgn val="ctr"/>
        <c:lblOffset val="100"/>
        <c:noMultiLvlLbl val="0"/>
      </c:catAx>
      <c:valAx>
        <c:axId val="115454160"/>
        <c:scaling>
          <c:orientation val="minMax"/>
        </c:scaling>
        <c:delete val="1"/>
        <c:axPos val="l"/>
        <c:numFmt formatCode="_(&quot;$&quot;* #,##0_);_(&quot;$&quot;* \(#,##0\);_(&quot;$&quot;* &quot;-&quot;??_);_(@_)" sourceLinked="1"/>
        <c:majorTickMark val="none"/>
        <c:minorTickMark val="none"/>
        <c:tickLblPos val="nextTo"/>
        <c:crossAx val="11545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Margin'!$A$6</c:f>
              <c:strCache>
                <c:ptCount val="1"/>
                <c:pt idx="0">
                  <c:v>Net Profit Margin</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'Net Profit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1-8528-495C-A056-CBFB54568145}"/>
            </c:ext>
          </c:extLst>
        </c:ser>
        <c:dLbls>
          <c:showLegendKey val="0"/>
          <c:showVal val="0"/>
          <c:showCatName val="0"/>
          <c:showSerName val="0"/>
          <c:showPercent val="0"/>
          <c:showBubbleSize val="0"/>
        </c:dLbls>
        <c:smooth val="0"/>
        <c:axId val="108586704"/>
        <c:axId val="108587184"/>
      </c:lineChart>
      <c:catAx>
        <c:axId val="1085867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7184"/>
        <c:crosses val="autoZero"/>
        <c:auto val="0"/>
        <c:lblAlgn val="ctr"/>
        <c:lblOffset val="100"/>
        <c:noMultiLvlLbl val="0"/>
      </c:catAx>
      <c:valAx>
        <c:axId val="10858718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6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a:t>
            </a:r>
            <a:r>
              <a:rPr lang="en-US" baseline="0">
                <a:solidFill>
                  <a:schemeClr val="tx1">
                    <a:lumMod val="65000"/>
                    <a:lumOff val="35000"/>
                  </a:schemeClr>
                </a:solidFill>
              </a:rPr>
              <a:t>Margin vs </a:t>
            </a:r>
            <a:r>
              <a:rPr lang="en-US" sz="1600" b="1" baseline="0">
                <a:solidFill>
                  <a:schemeClr val="tx1">
                    <a:lumMod val="95000"/>
                    <a:lumOff val="5000"/>
                  </a:schemeClr>
                </a:solidFill>
              </a:rPr>
              <a:t>Gross</a:t>
            </a:r>
            <a:r>
              <a:rPr lang="en-US" baseline="0"/>
              <a:t> </a:t>
            </a:r>
            <a:r>
              <a:rPr lang="en-US" baseline="0">
                <a:solidFill>
                  <a:schemeClr val="tx1">
                    <a:lumMod val="65000"/>
                    <a:lumOff val="35000"/>
                  </a:schemeClr>
                </a:solidFill>
              </a:rPr>
              <a:t>Margin</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2009-4C82-848E-29A371E50832}"/>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2009-4C82-848E-29A371E50832}"/>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Gross</a:t>
            </a:r>
            <a:r>
              <a:rPr lang="en-US"/>
              <a: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'Gross Margin'!$A$6</c:f>
              <c:strCache>
                <c:ptCount val="1"/>
                <c:pt idx="0">
                  <c:v>Gross Margin</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'Gross Margin'!$B$6:$J$6</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extLst>
            <c:ext xmlns:c16="http://schemas.microsoft.com/office/drawing/2014/chart" uri="{C3380CC4-5D6E-409C-BE32-E72D297353CC}">
              <c16:uniqueId val="{00000001-4D0E-4D19-BF49-CB298030D2CD}"/>
            </c:ext>
          </c:extLst>
        </c:ser>
        <c:dLbls>
          <c:showLegendKey val="0"/>
          <c:showVal val="0"/>
          <c:showCatName val="0"/>
          <c:showSerName val="0"/>
          <c:showPercent val="0"/>
          <c:showBubbleSize val="0"/>
        </c:dLbls>
        <c:gapWidth val="219"/>
        <c:overlap val="-27"/>
        <c:axId val="1553459648"/>
        <c:axId val="1553452928"/>
      </c:barChart>
      <c:catAx>
        <c:axId val="1553459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2928"/>
        <c:crosses val="autoZero"/>
        <c:auto val="0"/>
        <c:lblAlgn val="ctr"/>
        <c:lblOffset val="100"/>
        <c:noMultiLvlLbl val="0"/>
      </c:catAx>
      <c:valAx>
        <c:axId val="1553452928"/>
        <c:scaling>
          <c:orientation val="minMax"/>
        </c:scaling>
        <c:delete val="1"/>
        <c:axPos val="l"/>
        <c:majorGridlines>
          <c:spPr>
            <a:ln w="9525" cap="flat" cmpd="sng" algn="ctr">
              <a:noFill/>
              <a:round/>
            </a:ln>
            <a:effectLst/>
          </c:spPr>
        </c:majorGridlines>
        <c:numFmt formatCode="0%" sourceLinked="1"/>
        <c:majorTickMark val="none"/>
        <c:minorTickMark val="none"/>
        <c:tickLblPos val="nextTo"/>
        <c:crossAx val="1553459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EPS!$C$2:$K$3</c:f>
              <c:strCache>
                <c:ptCount val="9"/>
                <c:pt idx="0">
                  <c:v>3/31/2022</c:v>
                </c:pt>
                <c:pt idx="1">
                  <c:v>6/30/2022</c:v>
                </c:pt>
                <c:pt idx="2">
                  <c:v>9/30/2022</c:v>
                </c:pt>
                <c:pt idx="3">
                  <c:v>12/31/2022</c:v>
                </c:pt>
                <c:pt idx="4">
                  <c:v>3/31/2023</c:v>
                </c:pt>
                <c:pt idx="5">
                  <c:v>6/30/2023</c:v>
                </c:pt>
                <c:pt idx="6">
                  <c:v>9/30/2023</c:v>
                </c:pt>
                <c:pt idx="7">
                  <c:v>12/31/2023</c:v>
                </c:pt>
                <c:pt idx="8">
                  <c:v>3/31/2024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F386-48BF-87C5-0C57B88887ED}"/>
            </c:ext>
          </c:extLst>
        </c:ser>
        <c:dLbls>
          <c:showLegendKey val="0"/>
          <c:showVal val="0"/>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30978</TotalTime>
  <Pages>21</Pages>
  <Words>3607</Words>
  <Characters>20560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71</cp:revision>
  <dcterms:created xsi:type="dcterms:W3CDTF">2024-05-31T14:20:00Z</dcterms:created>
  <dcterms:modified xsi:type="dcterms:W3CDTF">2024-06-26T15:24:00Z</dcterms:modified>
</cp:coreProperties>
</file>