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GutHub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r w:rsidRPr="004B6905">
        <w:t>nflx_vs_spy_sma</w:t>
      </w:r>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r w:rsidRPr="004B6905">
        <w:t>nflx_vs_spy_hv</w:t>
      </w:r>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nflx_vs_spy_annual_pct_return</w:t>
      </w:r>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5539BAC4" w14:textId="07FA0092" w:rsidR="00EA6D08" w:rsidRPr="00917845" w:rsidRDefault="00917845" w:rsidP="003C7695">
      <w:pPr>
        <w:rPr>
          <w:b/>
          <w:bCs/>
        </w:rPr>
      </w:pPr>
      <w:commentRangeStart w:id="9"/>
      <w:r>
        <w:rPr>
          <w:b/>
          <w:bCs/>
        </w:rPr>
        <w:t xml:space="preserve">### </w:t>
      </w:r>
      <w:r w:rsidR="00EA6D08" w:rsidRPr="00917845">
        <w:rPr>
          <w:b/>
          <w:bCs/>
        </w:rPr>
        <w:t>Note: All values are in thousands of dollars unless otherwise indicated.</w:t>
      </w:r>
      <w:commentRangeEnd w:id="9"/>
      <w:r w:rsidR="003D003A">
        <w:rPr>
          <w:rStyle w:val="CommentReference"/>
        </w:rPr>
        <w:commentReference w:id="9"/>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078804F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64F6CE"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xml:space="preserve">.  When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1"/>
      <w:r w:rsidR="00682D6F">
        <w:t>However, the dips in both margins for Q4 ’22 and Q4 ’23 can be explained in the context of one-time charges.</w:t>
      </w:r>
      <w:commentRangeEnd w:id="11"/>
      <w:r w:rsidR="00682D6F">
        <w:rPr>
          <w:rStyle w:val="CommentReference"/>
        </w:rPr>
        <w:commentReference w:id="11"/>
      </w:r>
    </w:p>
    <w:p w14:paraId="3C6BEE79" w14:textId="77777777" w:rsidR="00ED3C08" w:rsidRDefault="00ED3C08" w:rsidP="00ED3C08">
      <w:r>
        <w:lastRenderedPageBreak/>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48014A3F" w14:textId="7E663093" w:rsidR="00653173" w:rsidRPr="00D97C10" w:rsidRDefault="00682D6F" w:rsidP="00653173">
      <w:r>
        <w:t>T</w:t>
      </w:r>
      <w:r w:rsidR="00653173" w:rsidRPr="00D97C10">
        <w:t xml:space="preserve">he net profit margin and operating margin for Netflix are very similar across all quarters shown (Q1'22 - Q1'24). The lowest net profit margin was 1% </w:t>
      </w:r>
      <w:r>
        <w:t xml:space="preserve">in </w:t>
      </w:r>
      <w:r w:rsidR="00653173" w:rsidRPr="00D97C10">
        <w:t>Q4</w:t>
      </w:r>
      <w:r>
        <w:t xml:space="preserve"> </w:t>
      </w:r>
      <w:r w:rsidR="00653173" w:rsidRPr="00D97C10">
        <w:t>'22</w:t>
      </w:r>
      <w:r>
        <w:t>,</w:t>
      </w:r>
      <w:r w:rsidR="00653173" w:rsidRPr="00D97C10">
        <w:t xml:space="preserve"> and the highest was 25% </w:t>
      </w:r>
      <w:r>
        <w:t xml:space="preserve">in </w:t>
      </w:r>
      <w:r w:rsidR="00653173" w:rsidRPr="00D97C10">
        <w:t>Q1</w:t>
      </w:r>
      <w:r>
        <w:t xml:space="preserve"> </w:t>
      </w:r>
      <w:r w:rsidR="00653173" w:rsidRPr="00D97C10">
        <w:t xml:space="preserve">'24, while the operating margin ranged from 7% </w:t>
      </w:r>
      <w:r w:rsidR="00ED3C08">
        <w:t xml:space="preserve">in </w:t>
      </w:r>
      <w:r w:rsidR="00653173" w:rsidRPr="00D97C10">
        <w:t>Q4</w:t>
      </w:r>
      <w:r w:rsidR="00ED3C08">
        <w:t xml:space="preserve"> </w:t>
      </w:r>
      <w:r w:rsidR="00653173" w:rsidRPr="00D97C10">
        <w:t xml:space="preserve">'22 to 28% </w:t>
      </w:r>
      <w:r w:rsidR="00ED3C08">
        <w:t xml:space="preserve">in </w:t>
      </w:r>
      <w:r w:rsidR="00653173" w:rsidRPr="00D97C10">
        <w:t>Q1</w:t>
      </w:r>
      <w:r w:rsidR="00ED3C08">
        <w:t xml:space="preserve"> </w:t>
      </w:r>
      <w:r w:rsidR="00653173"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lastRenderedPageBreak/>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77777777" w:rsidR="00653173" w:rsidRPr="00B2236C" w:rsidRDefault="00653173" w:rsidP="00653173">
      <w:r>
        <w:t>The increasing values of the Asset Turnover Ratio shows that NFLX is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1A14B3E4">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552F262E" w:rsidR="007F0967" w:rsidRDefault="007F0967" w:rsidP="007F0967">
      <w:r>
        <w:t xml:space="preserve">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w:t>
      </w:r>
      <w:r>
        <w:lastRenderedPageBreak/>
        <w:t>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77777777" w:rsidR="00653173" w:rsidRDefault="00653173" w:rsidP="00653173">
      <w:r>
        <w:t>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0F0E88F" w14:textId="139B437B" w:rsidR="00653173" w:rsidRDefault="00653173" w:rsidP="00653173">
      <w:r>
        <w:rPr>
          <w:rFonts w:ascii="Calibri" w:hAnsi="Calibri" w:cs="Calibri"/>
        </w:rPr>
        <w:t>While Total Liabilities have stayed fairly constant, Total Stockholders’ Equity has been increasing, which could be an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2FF357E2" w:rsidR="00653173" w:rsidRDefault="007F0967" w:rsidP="00653173">
      <w:r>
        <w:rPr>
          <w:noProof/>
        </w:rPr>
        <w:lastRenderedPageBreak/>
        <w:drawing>
          <wp:inline distT="0" distB="0" distL="0" distR="0" wp14:anchorId="257F5018" wp14:editId="20307E24">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88B15F0" w14:textId="77777777"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1T16:40:00Z" w:initials="KB">
    <w:p w14:paraId="1A078482" w14:textId="77777777" w:rsidR="003D003A" w:rsidRDefault="003D003A" w:rsidP="003D003A">
      <w:pPr>
        <w:pStyle w:val="CommentText"/>
      </w:pPr>
      <w:r>
        <w:rPr>
          <w:rStyle w:val="CommentReference"/>
        </w:rPr>
        <w:annotationRef/>
      </w:r>
      <w:r>
        <w:t>Maybe I don’t need this.</w:t>
      </w:r>
    </w:p>
  </w:comment>
  <w:comment w:id="10"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1" w:author="Kevin Bray" w:date="2024-06-27T11:36:00Z" w:initials="KB">
    <w:p w14:paraId="5FBDA6E3" w14:textId="77777777" w:rsidR="00682D6F" w:rsidRDefault="00682D6F" w:rsidP="00682D6F">
      <w:pPr>
        <w:pStyle w:val="CommentText"/>
      </w:pPr>
      <w:r>
        <w:rPr>
          <w:rStyle w:val="CommentReference"/>
        </w:rPr>
        <w:annotationRef/>
      </w:r>
      <w:r>
        <w:t>?</w:t>
      </w:r>
    </w:p>
  </w:comment>
  <w:comment w:id="12"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3"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1A078482" w15:done="0"/>
  <w15:commentEx w15:paraId="3359AFB6" w15:done="0"/>
  <w15:commentEx w15:paraId="5FBDA6E3"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1FDEA417" w16cex:dateUtc="2024-07-01T20:40:00Z"/>
  <w16cex:commentExtensible w16cex:durableId="3F33DD2E" w16cex:dateUtc="2024-06-25T12:04:00Z"/>
  <w16cex:commentExtensible w16cex:durableId="2DD9B97F" w16cex:dateUtc="2024-06-27T15:36: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1A078482" w16cid:durableId="1FDEA417"/>
  <w16cid:commentId w16cid:paraId="3359AFB6" w16cid:durableId="3F33DD2E"/>
  <w16cid:commentId w16cid:paraId="5FBDA6E3" w16cid:durableId="2DD9B97F"/>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42034"/>
    <w:rsid w:val="000433B2"/>
    <w:rsid w:val="00060CBA"/>
    <w:rsid w:val="00090E1D"/>
    <w:rsid w:val="00097A24"/>
    <w:rsid w:val="00097F7B"/>
    <w:rsid w:val="000A261E"/>
    <w:rsid w:val="000B3738"/>
    <w:rsid w:val="000C1C4A"/>
    <w:rsid w:val="000F41AA"/>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33B9"/>
    <w:rsid w:val="00464697"/>
    <w:rsid w:val="00464A62"/>
    <w:rsid w:val="00467A4D"/>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D3C08"/>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D2D1-411F-9C2B-EED0A9ACFF30}"/>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32535</TotalTime>
  <Pages>19</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76</cp:revision>
  <dcterms:created xsi:type="dcterms:W3CDTF">2024-05-31T14:20:00Z</dcterms:created>
  <dcterms:modified xsi:type="dcterms:W3CDTF">2024-07-01T20:53:00Z</dcterms:modified>
</cp:coreProperties>
</file>