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&lt;p align="center"&gt;&lt;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r>
        <w:t>!</w:t>
      </w:r>
      <w:r w:rsidR="00BD14DC">
        <w:t>[</w:t>
      </w:r>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r>
        <w:t>!</w:t>
      </w:r>
      <w:r w:rsidR="00BD14DC">
        <w:t>[</w:t>
      </w:r>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r>
        <w:t>!</w:t>
      </w:r>
      <w:r w:rsidR="00BD14DC">
        <w:t>[</w:t>
      </w:r>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6DFAC685"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r>
        <w:t>![</w:t>
      </w:r>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r>
        <w:t>![</w:t>
      </w:r>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0E4B1C51" w:rsidR="00653173" w:rsidRDefault="00653173" w:rsidP="00653173">
      <w:r>
        <w:t>The</w:t>
      </w:r>
      <w:r w:rsidR="001E0FE3">
        <w:t xml:space="preserve"> </w:t>
      </w:r>
      <w:r>
        <w:t>consistency of revenue growth</w:t>
      </w:r>
      <w:r w:rsidR="003D5B19">
        <w:t xml:space="preserve"> seen in the chart above</w:t>
      </w:r>
      <w:r>
        <w:t xml:space="preserve">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r>
        <w:rPr>
          <w:rFonts w:ascii="Calibri" w:hAnsi="Calibri" w:cs="Calibri"/>
        </w:rPr>
        <w:t>![</w:t>
      </w:r>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00F8E9E1"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4764EF">
        <w:rPr>
          <w:rFonts w:ascii="Calibri" w:hAnsi="Calibri" w:cs="Calibri"/>
        </w:rPr>
        <w:t xml:space="preserve"> </w:t>
      </w:r>
      <w:r w:rsidR="00AD1365">
        <w:rPr>
          <w:rFonts w:ascii="Calibri" w:hAnsi="Calibri" w:cs="Calibri"/>
        </w:rPr>
        <w:t>[</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sidR="00FD64EE">
        <w:rPr>
          <w:rFonts w:ascii="Calibri" w:hAnsi="Calibri" w:cs="Calibri"/>
        </w:rPr>
        <w:t>, [</w:t>
      </w:r>
      <w:commentRangeStart w:id="13"/>
      <w:r w:rsidR="00FD64EE">
        <w:rPr>
          <w:rFonts w:ascii="Calibri" w:hAnsi="Calibri" w:cs="Calibri"/>
        </w:rPr>
        <w:fldChar w:fldCharType="begin"/>
      </w:r>
      <w:r w:rsidR="00FD64EE">
        <w:rPr>
          <w:rFonts w:ascii="Calibri" w:hAnsi="Calibri" w:cs="Calibri"/>
        </w:rPr>
        <w:instrText>HYPERLINK "https://www.statista.com/statistics/250934/quarterly-number-of-netflix-streaming-subscribers-worldwide/" \l ":~:text=How%20many%20paid%20subscribers%20does,compared%20with%20the%20previous%20quarter."</w:instrText>
      </w:r>
      <w:r w:rsidR="00FD64EE">
        <w:rPr>
          <w:rFonts w:ascii="Calibri" w:hAnsi="Calibri" w:cs="Calibri"/>
        </w:rPr>
      </w:r>
      <w:r w:rsidR="00FD64EE">
        <w:rPr>
          <w:rFonts w:ascii="Calibri" w:hAnsi="Calibri" w:cs="Calibri"/>
        </w:rPr>
        <w:fldChar w:fldCharType="separate"/>
      </w:r>
      <w:r w:rsidR="00FD64EE">
        <w:rPr>
          <w:rStyle w:val="Hyperlink"/>
          <w:rFonts w:ascii="Calibri" w:hAnsi="Calibri" w:cs="Calibri"/>
        </w:rPr>
        <w:t>statista.com</w:t>
      </w:r>
      <w:r w:rsidR="00FD64EE">
        <w:rPr>
          <w:rFonts w:ascii="Calibri" w:hAnsi="Calibri" w:cs="Calibri"/>
        </w:rPr>
        <w:fldChar w:fldCharType="end"/>
      </w:r>
      <w:commentRangeEnd w:id="13"/>
      <w:r w:rsidR="00FD64EE">
        <w:rPr>
          <w:rStyle w:val="CommentReference"/>
        </w:rPr>
        <w:commentReference w:id="13"/>
      </w:r>
      <w:r w:rsidR="00FD64EE">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w:t>
      </w:r>
      <w:r w:rsidR="004764EF">
        <w:rPr>
          <w:rFonts w:ascii="Calibri" w:hAnsi="Calibri" w:cs="Calibri"/>
        </w:rPr>
        <w:t xml:space="preserve">  The draw-down will be discussed in more detail in a later section covering subscriber growth rates.</w:t>
      </w:r>
      <w:r>
        <w:rPr>
          <w:rFonts w:ascii="Calibri" w:hAnsi="Calibri" w:cs="Calibri"/>
        </w:rPr>
        <w:t xml:space="preserve">  Q4 ’22 was when they launched their lower-priced ad-supported subscription service, which has since helped to bolster their overall subscriber base as well as revenues</w:t>
      </w:r>
      <w:r w:rsidR="004764EF">
        <w:rPr>
          <w:rFonts w:ascii="Calibri" w:hAnsi="Calibri" w:cs="Calibri"/>
        </w:rPr>
        <w:t xml:space="preserve"> [</w:t>
      </w:r>
      <w:commentRangeStart w:id="14"/>
      <w:r w:rsidR="004764EF">
        <w:rPr>
          <w:rFonts w:ascii="Calibri" w:hAnsi="Calibri" w:cs="Calibri"/>
        </w:rPr>
        <w:t>Citation</w:t>
      </w:r>
      <w:commentRangeEnd w:id="14"/>
      <w:r w:rsidR="004764EF">
        <w:rPr>
          <w:rStyle w:val="CommentReference"/>
        </w:rPr>
        <w:commentReference w:id="14"/>
      </w:r>
      <w:r w:rsidR="004764EF">
        <w:rPr>
          <w:rFonts w:ascii="Calibri" w:hAnsi="Calibri" w:cs="Calibri"/>
        </w:rPr>
        <w:t>]</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721BE25A" w:rsidR="00653173" w:rsidRDefault="00653173" w:rsidP="00653173">
      <w:pPr>
        <w:rPr>
          <w:rFonts w:ascii="Calibri" w:hAnsi="Calibri" w:cs="Calibri"/>
        </w:rPr>
      </w:pPr>
      <w:r>
        <w:rPr>
          <w:rFonts w:ascii="Calibri" w:hAnsi="Calibri" w:cs="Calibri"/>
        </w:rPr>
        <w:t>NFLX implemented price increases in certain regions during Q4 ’23 which led to some subscriber churn</w:t>
      </w:r>
      <w:r w:rsidR="00AD1365">
        <w:rPr>
          <w:rFonts w:ascii="Calibri" w:hAnsi="Calibri" w:cs="Calibri"/>
        </w:rPr>
        <w:t xml:space="preserve"> [</w:t>
      </w:r>
      <w:commentRangeStart w:id="15"/>
      <w:r w:rsidR="00AD1365">
        <w:rPr>
          <w:rFonts w:ascii="Calibri" w:hAnsi="Calibri" w:cs="Calibri"/>
        </w:rPr>
        <w:t>Citation</w:t>
      </w:r>
      <w:commentRangeEnd w:id="15"/>
      <w:r w:rsidR="00AD1365">
        <w:rPr>
          <w:rStyle w:val="CommentReference"/>
        </w:rPr>
        <w:commentReference w:id="15"/>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lastRenderedPageBreak/>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r>
        <w:t>![</w:t>
      </w:r>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1530CA05" w:rsidR="00653173" w:rsidRDefault="00653173" w:rsidP="00653173">
      <w:r>
        <w:t>Since Net Profit Margin is a metric that shows what percentage of each revenue dollar is being converted into profit, the chart above shows that NFLX has been a bit of a mixed bag in that ability</w:t>
      </w:r>
      <w:r w:rsidR="003D5B19">
        <w:t xml:space="preserve"> over the past 9 quarters</w:t>
      </w:r>
      <w:r>
        <w:t>.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benefit from overall low marginal costs.  This gives them the ability to maintain lower gross margins, relatively speaking, and still remain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147A11AC" w:rsidR="00653173" w:rsidRPr="00D97C10" w:rsidRDefault="003D5B19" w:rsidP="00ED3C08">
      <w:r>
        <w:t>Since t</w:t>
      </w:r>
      <w:r w:rsidR="00ED3C08">
        <w:t xml:space="preserve">he </w:t>
      </w:r>
      <w:r w:rsidR="00653173" w:rsidRPr="00D97C10">
        <w:t xml:space="preserve">operating margin is very similar to the net profit margin, </w:t>
      </w:r>
      <w:r>
        <w:t xml:space="preserve">this </w:t>
      </w:r>
      <w:r w:rsidR="00653173" w:rsidRPr="00D97C10">
        <w:t>sugges</w:t>
      </w:r>
      <w:r>
        <w:t>ts</w:t>
      </w:r>
      <w:r w:rsidR="00653173" w:rsidRPr="00D97C10">
        <w:t xml:space="preserve">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r>
        <w:t>![</w:t>
      </w:r>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r>
        <w:t>![</w:t>
      </w:r>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1F5C7B3E" w:rsidR="007F0967" w:rsidRDefault="00EB146B" w:rsidP="007F0967">
      <w:r>
        <w:t>![</w:t>
      </w:r>
      <w:r w:rsidR="00073022">
        <w:t>ROA vs 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2CB62391" w:rsidR="00EB146B" w:rsidRPr="008A0F4B" w:rsidRDefault="00EB146B" w:rsidP="00653173">
      <w:r>
        <w:t>![</w:t>
      </w:r>
      <w:r w:rsidR="00073022">
        <w:t>C</w:t>
      </w:r>
      <w:r w:rsidRPr="00EB146B">
        <w:t>urrent</w:t>
      </w:r>
      <w:r w:rsidR="00073022">
        <w:t xml:space="preserve"> R</w:t>
      </w:r>
      <w:r w:rsidRPr="00EB146B">
        <w:t>atio</w:t>
      </w:r>
      <w:r>
        <w:t>](</w:t>
      </w:r>
      <w:r w:rsidRPr="00EB146B">
        <w:t>https://github.com/k1bray/stock-price-analysis/blob/main/Visuals/08_current_ratio.png</w:t>
      </w:r>
      <w:r>
        <w:t>)</w:t>
      </w:r>
    </w:p>
    <w:p w14:paraId="1E927E65" w14:textId="77777777" w:rsidR="00EB146B" w:rsidRDefault="00EB146B" w:rsidP="00653173"/>
    <w:p w14:paraId="311625E6" w14:textId="490D6EA6"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w:t>
      </w:r>
      <w:r w:rsidR="009E3367">
        <w:t>As an example, t</w:t>
      </w:r>
      <w:r>
        <w:t xml:space="preserve">hey </w:t>
      </w:r>
      <w:r w:rsidR="00475892">
        <w:t xml:space="preserve">would potentially </w:t>
      </w:r>
      <w:r>
        <w:t>have much less variability in their cash flows than a company that operates in manufacturing that must maintain a level of current inventory.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lastRenderedPageBreak/>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06B01EDB" w:rsidR="00EB146B" w:rsidRDefault="00EB146B" w:rsidP="00653173">
      <w:r>
        <w:t>![</w:t>
      </w:r>
      <w:r w:rsidR="007E71E5">
        <w:t>D</w:t>
      </w:r>
      <w:r w:rsidRPr="00EB146B">
        <w:t>ebt</w:t>
      </w:r>
      <w:r w:rsidR="007E71E5">
        <w:t>-</w:t>
      </w:r>
      <w:r w:rsidRPr="00EB146B">
        <w:t>to</w:t>
      </w:r>
      <w:r w:rsidR="007E71E5">
        <w:t>-E</w:t>
      </w:r>
      <w:r w:rsidRPr="00EB146B">
        <w:t>quity</w:t>
      </w:r>
      <w:r w:rsidR="007E71E5">
        <w:t xml:space="preserve"> R</w:t>
      </w:r>
      <w:r w:rsidRPr="00EB146B">
        <w:t>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1A92BC64" w:rsidR="008C1238" w:rsidRDefault="00EB146B" w:rsidP="00653173">
      <w:r>
        <w:t>![</w:t>
      </w:r>
      <w:r w:rsidR="00304C8E">
        <w:t>C</w:t>
      </w:r>
      <w:r w:rsidRPr="00EB146B">
        <w:t>urrent</w:t>
      </w:r>
      <w:r w:rsidR="00304C8E">
        <w:t xml:space="preserve"> L</w:t>
      </w:r>
      <w:r w:rsidRPr="00EB146B">
        <w:t>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6251232D" w:rsidR="00653173" w:rsidRDefault="004B5F3E" w:rsidP="00653173">
      <w:r>
        <w:t>![</w:t>
      </w:r>
      <w:r w:rsidR="00304C8E">
        <w:t>L</w:t>
      </w:r>
      <w:r w:rsidRPr="004B5F3E">
        <w:t>ong</w:t>
      </w:r>
      <w:r w:rsidR="00304C8E">
        <w:t>-T</w:t>
      </w:r>
      <w:r w:rsidRPr="004B5F3E">
        <w:t>erm</w:t>
      </w:r>
      <w:r w:rsidR="00304C8E">
        <w:t xml:space="preserve"> D</w:t>
      </w:r>
      <w:r w:rsidRPr="004B5F3E">
        <w:t>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75F56DD9" w:rsidR="004B5F3E" w:rsidRDefault="004B5F3E" w:rsidP="00653173">
      <w:pPr>
        <w:rPr>
          <w:rFonts w:ascii="Calibri" w:hAnsi="Calibri" w:cs="Calibri"/>
        </w:rPr>
      </w:pPr>
      <w:r>
        <w:rPr>
          <w:rFonts w:ascii="Calibri" w:hAnsi="Calibri" w:cs="Calibri"/>
        </w:rPr>
        <w:t>![</w:t>
      </w:r>
      <w:r w:rsidR="00304C8E">
        <w:rPr>
          <w:rFonts w:ascii="Calibri" w:hAnsi="Calibri" w:cs="Calibri"/>
        </w:rPr>
        <w:t>T</w:t>
      </w:r>
      <w:r w:rsidRPr="004B5F3E">
        <w:rPr>
          <w:rFonts w:ascii="Calibri" w:hAnsi="Calibri" w:cs="Calibri"/>
        </w:rPr>
        <w:t>otal</w:t>
      </w:r>
      <w:r w:rsidR="00304C8E">
        <w:rPr>
          <w:rFonts w:ascii="Calibri" w:hAnsi="Calibri" w:cs="Calibri"/>
        </w:rPr>
        <w:t xml:space="preserve"> L</w:t>
      </w:r>
      <w:r w:rsidRPr="004B5F3E">
        <w:rPr>
          <w:rFonts w:ascii="Calibri" w:hAnsi="Calibri" w:cs="Calibri"/>
        </w:rPr>
        <w:t>iabilities</w:t>
      </w:r>
      <w:r w:rsidR="00304C8E">
        <w:rPr>
          <w:rFonts w:ascii="Calibri" w:hAnsi="Calibri" w:cs="Calibri"/>
        </w:rPr>
        <w:t xml:space="preserve"> </w:t>
      </w:r>
      <w:r w:rsidRPr="004B5F3E">
        <w:rPr>
          <w:rFonts w:ascii="Calibri" w:hAnsi="Calibri" w:cs="Calibri"/>
        </w:rPr>
        <w:t>vs</w:t>
      </w:r>
      <w:r w:rsidR="00304C8E">
        <w:rPr>
          <w:rFonts w:ascii="Calibri" w:hAnsi="Calibri" w:cs="Calibri"/>
        </w:rPr>
        <w:t xml:space="preserve"> T</w:t>
      </w:r>
      <w:r w:rsidRPr="004B5F3E">
        <w:rPr>
          <w:rFonts w:ascii="Calibri" w:hAnsi="Calibri" w:cs="Calibri"/>
        </w:rPr>
        <w:t>otal</w:t>
      </w:r>
      <w:r w:rsidR="00304C8E">
        <w:rPr>
          <w:rFonts w:ascii="Calibri" w:hAnsi="Calibri" w:cs="Calibri"/>
        </w:rPr>
        <w:t xml:space="preserve"> S</w:t>
      </w:r>
      <w:r w:rsidRPr="004B5F3E">
        <w:rPr>
          <w:rFonts w:ascii="Calibri" w:hAnsi="Calibri" w:cs="Calibri"/>
        </w:rPr>
        <w:t>tockholders</w:t>
      </w:r>
      <w:r w:rsidR="00304C8E">
        <w:rPr>
          <w:rFonts w:ascii="Calibri" w:hAnsi="Calibri" w:cs="Calibri"/>
        </w:rPr>
        <w:t xml:space="preserve"> E</w:t>
      </w:r>
      <w:r w:rsidRPr="004B5F3E">
        <w:rPr>
          <w:rFonts w:ascii="Calibri" w:hAnsi="Calibri" w:cs="Calibri"/>
        </w:rPr>
        <w:t>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560F3E90" w:rsidR="00653173" w:rsidRDefault="00653173" w:rsidP="00653173">
      <w:r>
        <w:rPr>
          <w:rFonts w:ascii="Calibri" w:hAnsi="Calibri" w:cs="Calibri"/>
        </w:rPr>
        <w:t xml:space="preserve">While Total Liabilities have stayed fairly </w:t>
      </w:r>
      <w:r w:rsidR="00692B86">
        <w:rPr>
          <w:rFonts w:ascii="Calibri" w:hAnsi="Calibri" w:cs="Calibri"/>
        </w:rPr>
        <w:t>consistent</w:t>
      </w:r>
      <w:r>
        <w:rPr>
          <w:rFonts w:ascii="Calibri" w:hAnsi="Calibri" w:cs="Calibri"/>
        </w:rPr>
        <w:t>, Total Stockholders’ Equity has</w:t>
      </w:r>
      <w:r w:rsidR="00304C8E">
        <w:rPr>
          <w:rFonts w:ascii="Calibri" w:hAnsi="Calibri" w:cs="Calibri"/>
        </w:rPr>
        <w:t xml:space="preserve"> generally</w:t>
      </w:r>
      <w:r>
        <w:rPr>
          <w:rFonts w:ascii="Calibri" w:hAnsi="Calibri" w:cs="Calibri"/>
        </w:rPr>
        <w:t xml:space="preserve">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1E8318EA" w:rsidR="00ED7461" w:rsidRPr="004B5F3E" w:rsidRDefault="004B5F3E" w:rsidP="00653173">
      <w:pPr>
        <w:rPr>
          <w:rFonts w:ascii="Calibri" w:hAnsi="Calibri" w:cs="Calibri"/>
        </w:rPr>
      </w:pPr>
      <w:r>
        <w:rPr>
          <w:rFonts w:ascii="Calibri" w:hAnsi="Calibri" w:cs="Calibri"/>
        </w:rPr>
        <w:lastRenderedPageBreak/>
        <w:t>![</w:t>
      </w:r>
      <w:r w:rsidR="00F95F9E">
        <w:rPr>
          <w:rFonts w:ascii="Calibri" w:hAnsi="Calibri" w:cs="Calibri"/>
        </w:rPr>
        <w:t>O</w:t>
      </w:r>
      <w:r w:rsidRPr="004B5F3E">
        <w:rPr>
          <w:rFonts w:ascii="Calibri" w:hAnsi="Calibri" w:cs="Calibri"/>
        </w:rPr>
        <w:t>perating</w:t>
      </w:r>
      <w:r w:rsidR="00F95F9E">
        <w:rPr>
          <w:rFonts w:ascii="Calibri" w:hAnsi="Calibri" w:cs="Calibri"/>
        </w:rPr>
        <w:t xml:space="preserve"> C</w:t>
      </w:r>
      <w:r w:rsidRPr="004B5F3E">
        <w:rPr>
          <w:rFonts w:ascii="Calibri" w:hAnsi="Calibri" w:cs="Calibri"/>
        </w:rPr>
        <w:t>ash</w:t>
      </w:r>
      <w:r w:rsidR="00F95F9E">
        <w:rPr>
          <w:rFonts w:ascii="Calibri" w:hAnsi="Calibri" w:cs="Calibri"/>
        </w:rPr>
        <w:t xml:space="preserve"> F</w:t>
      </w:r>
      <w:r w:rsidRPr="004B5F3E">
        <w:rPr>
          <w:rFonts w:ascii="Calibri" w:hAnsi="Calibri" w:cs="Calibri"/>
        </w:rPr>
        <w:t>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6"/>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26CC5B55" w14:textId="40FA183D" w:rsidR="009B552E" w:rsidRDefault="001B09C4" w:rsidP="00653173">
      <w:pPr>
        <w:rPr>
          <w:rFonts w:ascii="Calibri" w:hAnsi="Calibri" w:cs="Calibri"/>
        </w:rPr>
      </w:pPr>
      <w:r>
        <w:rPr>
          <w:rFonts w:ascii="Calibri" w:hAnsi="Calibri" w:cs="Calibri"/>
        </w:rPr>
        <w:t xml:space="preserve">NFLX subscriber base has been increasing since </w:t>
      </w:r>
      <w:r w:rsidR="00CF05AD">
        <w:rPr>
          <w:rFonts w:ascii="Calibri" w:hAnsi="Calibri" w:cs="Calibri"/>
        </w:rPr>
        <w:t>a</w:t>
      </w:r>
      <w:r>
        <w:rPr>
          <w:rFonts w:ascii="Calibri" w:hAnsi="Calibri" w:cs="Calibri"/>
        </w:rPr>
        <w:t xml:space="preserv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6"/>
      <w:r>
        <w:rPr>
          <w:rStyle w:val="CommentReference"/>
        </w:rPr>
        <w:commentReference w:id="16"/>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r>
        <w:rPr>
          <w:rFonts w:ascii="Calibri" w:hAnsi="Calibri" w:cs="Calibri"/>
        </w:rPr>
        <w:t>![</w:t>
      </w:r>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7"/>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7"/>
      <w:r>
        <w:rPr>
          <w:rStyle w:val="CommentReference"/>
        </w:rPr>
        <w:commentReference w:id="17"/>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r>
        <w:rPr>
          <w:rFonts w:ascii="Calibri" w:hAnsi="Calibri" w:cs="Calibri"/>
        </w:rPr>
        <w:t>![</w:t>
      </w:r>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79490977" w14:textId="77777777" w:rsidR="003F1836" w:rsidRDefault="003F1836" w:rsidP="003C7695">
      <w:pPr>
        <w:rPr>
          <w:rFonts w:ascii="Calibri" w:hAnsi="Calibri" w:cs="Calibri"/>
        </w:rPr>
      </w:pPr>
    </w:p>
    <w:p w14:paraId="7743F2DD" w14:textId="3FB13377" w:rsidR="00CF05AD" w:rsidRDefault="00F772EB" w:rsidP="00CF05AD">
      <w:pPr>
        <w:rPr>
          <w:rFonts w:ascii="Calibri" w:hAnsi="Calibri" w:cs="Calibri"/>
        </w:rPr>
      </w:pPr>
      <w:r>
        <w:rPr>
          <w:noProof/>
        </w:rPr>
        <w:drawing>
          <wp:inline distT="0" distB="0" distL="0" distR="0" wp14:anchorId="0C102A89" wp14:editId="633C7620">
            <wp:extent cx="4572000" cy="2809875"/>
            <wp:effectExtent l="0" t="0" r="0" b="9525"/>
            <wp:docPr id="320734508" name="Chart 1">
              <a:extLst xmlns:a="http://schemas.openxmlformats.org/drawingml/2006/main">
                <a:ext uri="{FF2B5EF4-FFF2-40B4-BE49-F238E27FC236}">
                  <a16:creationId xmlns:a16="http://schemas.microsoft.com/office/drawing/2014/main" id="{C566BBE3-B422-BD93-D70D-0724AB05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2CFD420" w14:textId="29B1355C" w:rsidR="00211752" w:rsidRDefault="00211752" w:rsidP="00211752">
      <w:pPr>
        <w:rPr>
          <w:rFonts w:ascii="Calibri" w:hAnsi="Calibri" w:cs="Calibri"/>
        </w:rPr>
      </w:pPr>
      <w:r>
        <w:rPr>
          <w:rFonts w:ascii="Calibri" w:hAnsi="Calibri" w:cs="Calibri"/>
        </w:rPr>
        <w:t>![</w:t>
      </w:r>
      <w:r w:rsidRPr="00211752">
        <w:rPr>
          <w:rFonts w:ascii="Calibri" w:hAnsi="Calibri" w:cs="Calibri"/>
        </w:rPr>
        <w:t>16_nflx_monthly_subcriptions</w:t>
      </w:r>
      <w:r>
        <w:rPr>
          <w:rFonts w:ascii="Calibri" w:hAnsi="Calibri" w:cs="Calibri"/>
        </w:rPr>
        <w:t>](</w:t>
      </w:r>
      <w:r w:rsidRPr="004B5F3E">
        <w:rPr>
          <w:rFonts w:ascii="Calibri" w:hAnsi="Calibri" w:cs="Calibri"/>
        </w:rPr>
        <w:t>https://github.com/k1bray/stock-price-analysis/blob/main/Visuals/</w:t>
      </w:r>
      <w:r w:rsidRPr="00211752">
        <w:rPr>
          <w:rFonts w:ascii="Calibri" w:hAnsi="Calibri" w:cs="Calibri"/>
        </w:rPr>
        <w:t>16_nflx_monthly_subcriptions</w:t>
      </w:r>
      <w:r w:rsidRPr="004B5F3E">
        <w:rPr>
          <w:rFonts w:ascii="Calibri" w:hAnsi="Calibri" w:cs="Calibri"/>
        </w:rPr>
        <w:t>.png</w:t>
      </w:r>
      <w:r>
        <w:rPr>
          <w:rFonts w:ascii="Calibri" w:hAnsi="Calibri" w:cs="Calibri"/>
        </w:rPr>
        <w:t>)</w:t>
      </w:r>
    </w:p>
    <w:p w14:paraId="65424DA0" w14:textId="77777777" w:rsidR="003F1836" w:rsidRDefault="003F1836" w:rsidP="00CF05AD">
      <w:pPr>
        <w:rPr>
          <w:rFonts w:ascii="Calibri" w:hAnsi="Calibri" w:cs="Calibri"/>
        </w:rPr>
      </w:pPr>
    </w:p>
    <w:p w14:paraId="4C369328" w14:textId="33DC02E3" w:rsidR="00CF05AD" w:rsidRDefault="00F772EB" w:rsidP="00CF05AD">
      <w:pPr>
        <w:rPr>
          <w:rFonts w:ascii="Calibri" w:hAnsi="Calibri" w:cs="Calibri"/>
        </w:rPr>
      </w:pPr>
      <w:r>
        <w:rPr>
          <w:rFonts w:ascii="Calibri" w:hAnsi="Calibri" w:cs="Calibri"/>
        </w:rPr>
        <w:t xml:space="preserve">The chart above shows the number of monthly NFLX subscribers by quarter going back to 2013.  </w:t>
      </w:r>
      <w:r w:rsidR="00CF05AD">
        <w:rPr>
          <w:rFonts w:ascii="Calibri" w:hAnsi="Calibri" w:cs="Calibri"/>
        </w:rPr>
        <w:t xml:space="preserve">Historically until Q1 ’22, NFLX had always seen a </w:t>
      </w:r>
      <w:r>
        <w:rPr>
          <w:rFonts w:ascii="Calibri" w:hAnsi="Calibri" w:cs="Calibri"/>
        </w:rPr>
        <w:t xml:space="preserve">positive </w:t>
      </w:r>
      <w:r w:rsidR="00CF05AD">
        <w:rPr>
          <w:rFonts w:ascii="Calibri" w:hAnsi="Calibri" w:cs="Calibri"/>
        </w:rPr>
        <w:t>quarterly expansion of their subscriber base with a quarter-over-quarter average subscription growth rate of 4.4%.</w:t>
      </w:r>
      <w:r w:rsidR="00CF05AD" w:rsidRPr="00CF05AD">
        <w:rPr>
          <w:rFonts w:ascii="Calibri" w:hAnsi="Calibri" w:cs="Calibri"/>
        </w:rPr>
        <w:t xml:space="preserve"> </w:t>
      </w:r>
      <w:r w:rsidR="00CF05AD">
        <w:rPr>
          <w:rFonts w:ascii="Calibri" w:hAnsi="Calibri" w:cs="Calibri"/>
        </w:rPr>
        <w:t xml:space="preserve"> Since 2013, NFLX has had only 2 quarters of negative growth in Q1 ’22 (-0.1%) and Q2 ’22 (-0.4%).</w:t>
      </w:r>
      <w:r>
        <w:rPr>
          <w:rFonts w:ascii="Calibri" w:hAnsi="Calibri" w:cs="Calibri"/>
        </w:rPr>
        <w:t xml:space="preserve">  These two quarters have been highlighted on the chart with a box.</w:t>
      </w:r>
      <w:r w:rsidR="00CF05AD">
        <w:rPr>
          <w:rFonts w:ascii="Calibri" w:hAnsi="Calibri" w:cs="Calibri"/>
        </w:rPr>
        <w:t xml:space="preserve">  Just before the beginning of the Covid-19 pandemic in Q4 ’19, NFLX </w:t>
      </w:r>
      <w:r w:rsidR="00CF05AD">
        <w:rPr>
          <w:rFonts w:ascii="Calibri" w:hAnsi="Calibri" w:cs="Calibri"/>
        </w:rPr>
        <w:lastRenderedPageBreak/>
        <w:t xml:space="preserve">had 167.09 million subscribers.  The mandated lockdowns caused a surge in subscribers which had ballooned to 221.84 million by Q4 ’21.  Since that time NFLX has gained </w:t>
      </w:r>
      <w:r>
        <w:rPr>
          <w:rFonts w:ascii="Calibri" w:hAnsi="Calibri" w:cs="Calibri"/>
        </w:rPr>
        <w:t xml:space="preserve">an additional </w:t>
      </w:r>
      <w:r w:rsidR="00CF05AD">
        <w:rPr>
          <w:rFonts w:ascii="Calibri" w:hAnsi="Calibri" w:cs="Calibri"/>
        </w:rPr>
        <w:t>47.76 million subscribers which represents an 18% increase during that time.</w:t>
      </w:r>
    </w:p>
    <w:p w14:paraId="64B85480" w14:textId="77777777" w:rsidR="00CF05AD" w:rsidRDefault="00CF05AD" w:rsidP="00CF05AD">
      <w:pPr>
        <w:rPr>
          <w:rFonts w:ascii="Calibri" w:hAnsi="Calibri" w:cs="Calibri"/>
        </w:rPr>
      </w:pPr>
      <w:r w:rsidRPr="009B552E">
        <w:rPr>
          <w:rFonts w:ascii="Calibri" w:hAnsi="Calibri" w:cs="Calibri"/>
        </w:rPr>
        <w:t>https://www.statista.com/statistics/250934/quarterly-number-of-netflix-streaming-subscribers-worldwide/#:~:text=How%20many%20paid%20subscribers%20does,compared%20with%20the%20previous%20quarter.</w:t>
      </w:r>
    </w:p>
    <w:p w14:paraId="6A294485" w14:textId="77777777" w:rsidR="00CF05AD" w:rsidRPr="00653173" w:rsidRDefault="00CF05AD" w:rsidP="003C7695">
      <w:pPr>
        <w:rPr>
          <w:rFonts w:ascii="Calibri" w:hAnsi="Calibri" w:cs="Calibri"/>
        </w:rPr>
      </w:pP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8"/>
      <w:r>
        <w:t>Is NFLX a “buy”?</w:t>
      </w:r>
      <w:commentRangeEnd w:id="18"/>
      <w:r>
        <w:rPr>
          <w:rStyle w:val="CommentReference"/>
        </w:rPr>
        <w:commentReference w:id="18"/>
      </w:r>
    </w:p>
    <w:p w14:paraId="4F8930F4" w14:textId="77777777" w:rsidR="000B3738" w:rsidRDefault="000B3738" w:rsidP="000B3738">
      <w:r w:rsidRPr="003C7695">
        <w:t>It's important to note that past performance is not indicative of future results.</w:t>
      </w:r>
      <w:r>
        <w:t xml:space="preserve">  </w:t>
      </w:r>
      <w:commentRangeStart w:id="19"/>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9"/>
      <w:r>
        <w:rPr>
          <w:rStyle w:val="CommentReference"/>
        </w:rPr>
        <w:commentReference w:id="19"/>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11T10:42:00Z" w:initials="KB">
    <w:p w14:paraId="0FA1669C" w14:textId="77777777" w:rsidR="00FD64EE" w:rsidRDefault="00FD64EE" w:rsidP="00FD64EE">
      <w:pPr>
        <w:pStyle w:val="CommentText"/>
      </w:pPr>
      <w:r>
        <w:rPr>
          <w:rStyle w:val="CommentReference"/>
        </w:rPr>
        <w:annotationRef/>
      </w:r>
      <w:r>
        <w:t>Link to citation</w:t>
      </w:r>
    </w:p>
  </w:comment>
  <w:comment w:id="14" w:author="Kevin Bray" w:date="2024-07-11T16:51:00Z" w:initials="KB">
    <w:p w14:paraId="683119A7" w14:textId="77777777" w:rsidR="004764EF" w:rsidRDefault="004764EF" w:rsidP="004764EF">
      <w:pPr>
        <w:pStyle w:val="CommentText"/>
      </w:pPr>
      <w:r>
        <w:rPr>
          <w:rStyle w:val="CommentReference"/>
        </w:rPr>
        <w:annotationRef/>
      </w:r>
      <w:r>
        <w:t>Link to citation</w:t>
      </w:r>
    </w:p>
  </w:comment>
  <w:comment w:id="15" w:author="Kevin Bray" w:date="2024-07-09T09:15:00Z" w:initials="KB">
    <w:p w14:paraId="32C79926" w14:textId="79538862" w:rsidR="00AD1365" w:rsidRDefault="00AD1365" w:rsidP="00AD1365">
      <w:pPr>
        <w:pStyle w:val="CommentText"/>
      </w:pPr>
      <w:r>
        <w:rPr>
          <w:rStyle w:val="CommentReference"/>
        </w:rPr>
        <w:annotationRef/>
      </w:r>
      <w:r>
        <w:t>Citation needed</w:t>
      </w:r>
    </w:p>
  </w:comment>
  <w:comment w:id="16" w:author="Kevin Bray" w:date="2024-07-02T10:18:00Z" w:initials="KB">
    <w:p w14:paraId="519AFE45" w14:textId="6F91F079"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7"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8"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9"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0FA1669C" w15:done="0"/>
  <w15:commentEx w15:paraId="683119A7" w15:done="0"/>
  <w15:commentEx w15:paraId="32C7992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71E830F3" w16cex:dateUtc="2024-07-11T14:42:00Z"/>
  <w16cex:commentExtensible w16cex:durableId="5F1C8D26" w16cex:dateUtc="2024-07-11T20:51:00Z"/>
  <w16cex:commentExtensible w16cex:durableId="6D9206E7" w16cex:dateUtc="2024-07-09T13:15: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0FA1669C" w16cid:durableId="71E830F3"/>
  <w16cid:commentId w16cid:paraId="683119A7" w16cid:durableId="5F1C8D26"/>
  <w16cid:commentId w16cid:paraId="32C79926" w16cid:durableId="6D9206E7"/>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3022"/>
    <w:rsid w:val="0007470A"/>
    <w:rsid w:val="00090E1D"/>
    <w:rsid w:val="00092B8E"/>
    <w:rsid w:val="00097A24"/>
    <w:rsid w:val="00097F7B"/>
    <w:rsid w:val="000A261E"/>
    <w:rsid w:val="000B3738"/>
    <w:rsid w:val="000C1C4A"/>
    <w:rsid w:val="000D1379"/>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0FE3"/>
    <w:rsid w:val="001E641E"/>
    <w:rsid w:val="00211752"/>
    <w:rsid w:val="00224025"/>
    <w:rsid w:val="002262E3"/>
    <w:rsid w:val="00245C0C"/>
    <w:rsid w:val="002466B5"/>
    <w:rsid w:val="00286ED0"/>
    <w:rsid w:val="002A088D"/>
    <w:rsid w:val="002A0A65"/>
    <w:rsid w:val="002C311B"/>
    <w:rsid w:val="002D1E46"/>
    <w:rsid w:val="002D3E5D"/>
    <w:rsid w:val="002D4985"/>
    <w:rsid w:val="00304C8E"/>
    <w:rsid w:val="0031136D"/>
    <w:rsid w:val="0031282E"/>
    <w:rsid w:val="00373693"/>
    <w:rsid w:val="003762CB"/>
    <w:rsid w:val="00382185"/>
    <w:rsid w:val="0039697A"/>
    <w:rsid w:val="003C7695"/>
    <w:rsid w:val="003D003A"/>
    <w:rsid w:val="003D5B19"/>
    <w:rsid w:val="003F007E"/>
    <w:rsid w:val="003F1836"/>
    <w:rsid w:val="003F61A7"/>
    <w:rsid w:val="003F6A83"/>
    <w:rsid w:val="00401A0D"/>
    <w:rsid w:val="004143E6"/>
    <w:rsid w:val="00426348"/>
    <w:rsid w:val="00437CF5"/>
    <w:rsid w:val="0044428D"/>
    <w:rsid w:val="004605B5"/>
    <w:rsid w:val="00462231"/>
    <w:rsid w:val="004633B9"/>
    <w:rsid w:val="00464697"/>
    <w:rsid w:val="00464A62"/>
    <w:rsid w:val="004672F8"/>
    <w:rsid w:val="00467A4D"/>
    <w:rsid w:val="004706C2"/>
    <w:rsid w:val="00475892"/>
    <w:rsid w:val="004764EF"/>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0510"/>
    <w:rsid w:val="00675F96"/>
    <w:rsid w:val="00682D6F"/>
    <w:rsid w:val="00692B86"/>
    <w:rsid w:val="006A2924"/>
    <w:rsid w:val="006A2ABF"/>
    <w:rsid w:val="006E14C7"/>
    <w:rsid w:val="006F1902"/>
    <w:rsid w:val="006F793F"/>
    <w:rsid w:val="00732C89"/>
    <w:rsid w:val="0073380A"/>
    <w:rsid w:val="0074241D"/>
    <w:rsid w:val="00750068"/>
    <w:rsid w:val="00762FF2"/>
    <w:rsid w:val="00780B27"/>
    <w:rsid w:val="00782079"/>
    <w:rsid w:val="00783CB1"/>
    <w:rsid w:val="007B5B1D"/>
    <w:rsid w:val="007C5E17"/>
    <w:rsid w:val="007D0634"/>
    <w:rsid w:val="007E0596"/>
    <w:rsid w:val="007E71E5"/>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552E"/>
    <w:rsid w:val="009B7448"/>
    <w:rsid w:val="009C0F1C"/>
    <w:rsid w:val="009C0F32"/>
    <w:rsid w:val="009C2CF0"/>
    <w:rsid w:val="009D74AB"/>
    <w:rsid w:val="009E3367"/>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6644D"/>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CF05AD"/>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772EB"/>
    <w:rsid w:val="00F83267"/>
    <w:rsid w:val="00F93E53"/>
    <w:rsid w:val="00F93EF1"/>
    <w:rsid w:val="00F95F9E"/>
    <w:rsid w:val="00FA6DE3"/>
    <w:rsid w:val="00FB3A0C"/>
    <w:rsid w:val="00FB58D2"/>
    <w:rsid w:val="00FC64E0"/>
    <w:rsid w:val="00FD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75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microsoft.com/office/2011/relationships/people" Target="people.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theme" Target="theme/theme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NFLX Monthly Subscriptions </a:t>
            </a:r>
            <a:r>
              <a:rPr lang="en-US" sz="1400" b="0">
                <a:solidFill>
                  <a:schemeClr val="tx1">
                    <a:lumMod val="65000"/>
                    <a:lumOff val="35000"/>
                  </a:schemeClr>
                </a:solidFill>
              </a:rPr>
              <a:t>(in millions)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7866666666666667"/>
          <c:w val="0.88541579177602803"/>
          <c:h val="0.66683251034298674"/>
        </c:manualLayout>
      </c:layout>
      <c:barChart>
        <c:barDir val="col"/>
        <c:grouping val="clustered"/>
        <c:varyColors val="0"/>
        <c:ser>
          <c:idx val="0"/>
          <c:order val="0"/>
          <c:tx>
            <c:strRef>
              <c:f>'Subscriber Growth'!$A$2</c:f>
              <c:strCache>
                <c:ptCount val="1"/>
                <c:pt idx="0">
                  <c:v>Subscribers</c:v>
                </c:pt>
              </c:strCache>
            </c:strRef>
          </c:tx>
          <c:spPr>
            <a:solidFill>
              <a:srgbClr val="E50914"/>
            </a:solidFill>
            <a:ln>
              <a:noFill/>
            </a:ln>
            <a:effectLst/>
          </c:spPr>
          <c:invertIfNegative val="0"/>
          <c:trendline>
            <c:spPr>
              <a:ln w="19050" cap="rnd">
                <a:solidFill>
                  <a:srgbClr val="1E90FF"/>
                </a:solidFill>
                <a:prstDash val="sysDot"/>
              </a:ln>
              <a:effectLst/>
            </c:spPr>
            <c:trendlineType val="linear"/>
            <c:dispRSqr val="0"/>
            <c:dispEq val="0"/>
          </c:trendline>
          <c:cat>
            <c:strRef>
              <c:f>'Subscriber Growth'!$B$1:$AT$1</c:f>
              <c:strCache>
                <c:ptCount val="45"/>
                <c:pt idx="0">
                  <c:v>Q1 '13</c:v>
                </c:pt>
                <c:pt idx="1">
                  <c:v>Q2 '13</c:v>
                </c:pt>
                <c:pt idx="2">
                  <c:v>Q3 '13</c:v>
                </c:pt>
                <c:pt idx="3">
                  <c:v>Q4 '13</c:v>
                </c:pt>
                <c:pt idx="4">
                  <c:v>Q1 '14</c:v>
                </c:pt>
                <c:pt idx="5">
                  <c:v>Q2 '14</c:v>
                </c:pt>
                <c:pt idx="6">
                  <c:v>Q3 '14</c:v>
                </c:pt>
                <c:pt idx="7">
                  <c:v>Q4 '14</c:v>
                </c:pt>
                <c:pt idx="8">
                  <c:v>Q1 '15</c:v>
                </c:pt>
                <c:pt idx="9">
                  <c:v>Q2 '15</c:v>
                </c:pt>
                <c:pt idx="10">
                  <c:v>Q3 '15</c:v>
                </c:pt>
                <c:pt idx="11">
                  <c:v>Q4 '15</c:v>
                </c:pt>
                <c:pt idx="12">
                  <c:v>Q1 '16</c:v>
                </c:pt>
                <c:pt idx="13">
                  <c:v>Q2 '16</c:v>
                </c:pt>
                <c:pt idx="14">
                  <c:v>Q3 '16</c:v>
                </c:pt>
                <c:pt idx="15">
                  <c:v>Q4 '16</c:v>
                </c:pt>
                <c:pt idx="16">
                  <c:v>Q1 '17</c:v>
                </c:pt>
                <c:pt idx="17">
                  <c:v>Q2 '17</c:v>
                </c:pt>
                <c:pt idx="18">
                  <c:v>Q3 '17</c:v>
                </c:pt>
                <c:pt idx="19">
                  <c:v>Q4 '17</c:v>
                </c:pt>
                <c:pt idx="20">
                  <c:v>Q1 '18</c:v>
                </c:pt>
                <c:pt idx="21">
                  <c:v>Q2 '18</c:v>
                </c:pt>
                <c:pt idx="22">
                  <c:v>Q3 '18</c:v>
                </c:pt>
                <c:pt idx="23">
                  <c:v>Q4 '18</c:v>
                </c:pt>
                <c:pt idx="24">
                  <c:v>Q1 '19</c:v>
                </c:pt>
                <c:pt idx="25">
                  <c:v>Q2 '19</c:v>
                </c:pt>
                <c:pt idx="26">
                  <c:v>Q3 '19</c:v>
                </c:pt>
                <c:pt idx="27">
                  <c:v>Q4 '19</c:v>
                </c:pt>
                <c:pt idx="28">
                  <c:v>Q1 '20</c:v>
                </c:pt>
                <c:pt idx="29">
                  <c:v>Q2 '20</c:v>
                </c:pt>
                <c:pt idx="30">
                  <c:v>Q3 '20</c:v>
                </c:pt>
                <c:pt idx="31">
                  <c:v>Q4 '20</c:v>
                </c:pt>
                <c:pt idx="32">
                  <c:v>Q1 '21</c:v>
                </c:pt>
                <c:pt idx="33">
                  <c:v>Q2 '21</c:v>
                </c:pt>
                <c:pt idx="34">
                  <c:v>Q3 '21</c:v>
                </c:pt>
                <c:pt idx="35">
                  <c:v>Q4 '21</c:v>
                </c:pt>
                <c:pt idx="36">
                  <c:v>Q1 '22</c:v>
                </c:pt>
                <c:pt idx="37">
                  <c:v>Q2 '22</c:v>
                </c:pt>
                <c:pt idx="38">
                  <c:v>Q3 '22</c:v>
                </c:pt>
                <c:pt idx="39">
                  <c:v>Q4 '22</c:v>
                </c:pt>
                <c:pt idx="40">
                  <c:v>Q1 '23</c:v>
                </c:pt>
                <c:pt idx="41">
                  <c:v>Q2 '23</c:v>
                </c:pt>
                <c:pt idx="42">
                  <c:v>Q3 '23</c:v>
                </c:pt>
                <c:pt idx="43">
                  <c:v>Q4 '23</c:v>
                </c:pt>
                <c:pt idx="44">
                  <c:v>Q1 '24</c:v>
                </c:pt>
              </c:strCache>
            </c:strRef>
          </c:cat>
          <c:val>
            <c:numRef>
              <c:f>'Subscriber Growth'!$B$2:$AT$2</c:f>
              <c:numCache>
                <c:formatCode>General</c:formatCode>
                <c:ptCount val="45"/>
                <c:pt idx="0">
                  <c:v>34.24</c:v>
                </c:pt>
                <c:pt idx="1">
                  <c:v>35.64</c:v>
                </c:pt>
                <c:pt idx="2">
                  <c:v>38.01</c:v>
                </c:pt>
                <c:pt idx="3">
                  <c:v>41.43</c:v>
                </c:pt>
                <c:pt idx="4">
                  <c:v>46.13</c:v>
                </c:pt>
                <c:pt idx="5">
                  <c:v>47.99</c:v>
                </c:pt>
                <c:pt idx="6">
                  <c:v>50.65</c:v>
                </c:pt>
                <c:pt idx="7">
                  <c:v>54.48</c:v>
                </c:pt>
                <c:pt idx="8">
                  <c:v>59.62</c:v>
                </c:pt>
                <c:pt idx="9">
                  <c:v>62.08</c:v>
                </c:pt>
                <c:pt idx="10">
                  <c:v>66.02</c:v>
                </c:pt>
                <c:pt idx="11">
                  <c:v>70.84</c:v>
                </c:pt>
                <c:pt idx="12">
                  <c:v>77.709999999999994</c:v>
                </c:pt>
                <c:pt idx="13">
                  <c:v>79.900000000000006</c:v>
                </c:pt>
                <c:pt idx="14">
                  <c:v>83.28</c:v>
                </c:pt>
                <c:pt idx="15">
                  <c:v>89.09</c:v>
                </c:pt>
                <c:pt idx="16">
                  <c:v>94.36</c:v>
                </c:pt>
                <c:pt idx="17">
                  <c:v>99.04</c:v>
                </c:pt>
                <c:pt idx="18">
                  <c:v>104.02</c:v>
                </c:pt>
                <c:pt idx="19">
                  <c:v>110.64</c:v>
                </c:pt>
                <c:pt idx="20">
                  <c:v>118.09</c:v>
                </c:pt>
                <c:pt idx="21">
                  <c:v>124.35</c:v>
                </c:pt>
                <c:pt idx="22">
                  <c:v>130.41999999999999</c:v>
                </c:pt>
                <c:pt idx="23">
                  <c:v>139.26</c:v>
                </c:pt>
                <c:pt idx="24">
                  <c:v>148.86000000000001</c:v>
                </c:pt>
                <c:pt idx="25">
                  <c:v>151.56</c:v>
                </c:pt>
                <c:pt idx="26">
                  <c:v>158.33000000000001</c:v>
                </c:pt>
                <c:pt idx="27">
                  <c:v>167.09</c:v>
                </c:pt>
                <c:pt idx="28">
                  <c:v>182.86</c:v>
                </c:pt>
                <c:pt idx="29">
                  <c:v>192.95</c:v>
                </c:pt>
                <c:pt idx="30">
                  <c:v>195.15</c:v>
                </c:pt>
                <c:pt idx="31">
                  <c:v>203.66</c:v>
                </c:pt>
                <c:pt idx="32">
                  <c:v>207.64</c:v>
                </c:pt>
                <c:pt idx="33">
                  <c:v>209.18</c:v>
                </c:pt>
                <c:pt idx="34">
                  <c:v>213.56</c:v>
                </c:pt>
                <c:pt idx="35">
                  <c:v>221.84</c:v>
                </c:pt>
                <c:pt idx="36">
                  <c:v>221.64</c:v>
                </c:pt>
                <c:pt idx="37">
                  <c:v>220.67</c:v>
                </c:pt>
                <c:pt idx="38">
                  <c:v>223.09</c:v>
                </c:pt>
                <c:pt idx="39">
                  <c:v>230.75</c:v>
                </c:pt>
                <c:pt idx="40">
                  <c:v>232.5</c:v>
                </c:pt>
                <c:pt idx="41">
                  <c:v>238.39</c:v>
                </c:pt>
                <c:pt idx="42">
                  <c:v>247.15</c:v>
                </c:pt>
                <c:pt idx="43">
                  <c:v>260.27999999999997</c:v>
                </c:pt>
                <c:pt idx="44">
                  <c:v>269.60000000000002</c:v>
                </c:pt>
              </c:numCache>
            </c:numRef>
          </c:val>
          <c:extLst>
            <c:ext xmlns:c16="http://schemas.microsoft.com/office/drawing/2014/chart" uri="{C3380CC4-5D6E-409C-BE32-E72D297353CC}">
              <c16:uniqueId val="{00000001-46AD-4C30-8392-BF09C159A738}"/>
            </c:ext>
          </c:extLst>
        </c:ser>
        <c:dLbls>
          <c:showLegendKey val="0"/>
          <c:showVal val="0"/>
          <c:showCatName val="0"/>
          <c:showSerName val="0"/>
          <c:showPercent val="0"/>
          <c:showBubbleSize val="0"/>
        </c:dLbls>
        <c:gapWidth val="125"/>
        <c:axId val="1765799871"/>
        <c:axId val="1765783071"/>
      </c:barChart>
      <c:catAx>
        <c:axId val="176579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83071"/>
        <c:crosses val="autoZero"/>
        <c:auto val="1"/>
        <c:lblAlgn val="ctr"/>
        <c:lblOffset val="100"/>
        <c:noMultiLvlLbl val="0"/>
      </c:catAx>
      <c:valAx>
        <c:axId val="176578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99871"/>
        <c:crosses val="autoZero"/>
        <c:crossBetween val="between"/>
      </c:valAx>
      <c:spPr>
        <a:noFill/>
        <a:ln w="127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0.7875</cdr:x>
      <cdr:y>0.29627</cdr:y>
    </cdr:from>
    <cdr:to>
      <cdr:x>0.82708</cdr:x>
      <cdr:y>0.41153</cdr:y>
    </cdr:to>
    <cdr:sp macro="" textlink="">
      <cdr:nvSpPr>
        <cdr:cNvPr id="2" name="Rectangle 1">
          <a:extLst xmlns:a="http://schemas.openxmlformats.org/drawingml/2006/main">
            <a:ext uri="{FF2B5EF4-FFF2-40B4-BE49-F238E27FC236}">
              <a16:creationId xmlns:a16="http://schemas.microsoft.com/office/drawing/2014/main" id="{A70000EE-9FFA-A2D8-206D-BA6253A0CE63}"/>
            </a:ext>
          </a:extLst>
        </cdr:cNvPr>
        <cdr:cNvSpPr/>
      </cdr:nvSpPr>
      <cdr:spPr>
        <a:xfrm xmlns:a="http://schemas.openxmlformats.org/drawingml/2006/main">
          <a:off x="3600449" y="832486"/>
          <a:ext cx="180976" cy="323850"/>
        </a:xfrm>
        <a:prstGeom xmlns:a="http://schemas.openxmlformats.org/drawingml/2006/main" prst="rect">
          <a:avLst/>
        </a:prstGeom>
        <a:noFill xmlns:a="http://schemas.openxmlformats.org/drawingml/2006/main"/>
        <a:ln xmlns:a="http://schemas.openxmlformats.org/drawingml/2006/main" w="19050">
          <a:solidFill>
            <a:srgbClr val="0D0D0D">
              <a:alpha val="60000"/>
            </a:srgbClr>
          </a:solid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45500</TotalTime>
  <Pages>23</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128</cp:revision>
  <dcterms:created xsi:type="dcterms:W3CDTF">2024-05-31T14:20:00Z</dcterms:created>
  <dcterms:modified xsi:type="dcterms:W3CDTF">2024-07-11T20:55:00Z</dcterms:modified>
</cp:coreProperties>
</file>