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5F0A8E8C" w:rsidR="00E3011A" w:rsidRDefault="005515D9" w:rsidP="005515D9">
      <w:pPr>
        <w:jc w:val="center"/>
      </w:pPr>
      <w:r>
        <w:rPr>
          <w:noProof/>
        </w:rPr>
        <w:drawing>
          <wp:inline distT="0" distB="0" distL="0" distR="0" wp14:anchorId="4F938DCD" wp14:editId="330B7C4F">
            <wp:extent cx="3977640" cy="2240280"/>
            <wp:effectExtent l="0" t="0" r="3810" b="7620"/>
            <wp:docPr id="853190846" name="Picture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90846" name="Picture 2"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5F7F4726" w14:textId="0BB30C3C" w:rsidR="003F61A7" w:rsidRDefault="003F61A7" w:rsidP="003C7695">
      <w:r>
        <w:t>Disclaimer:  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t>[</w:t>
      </w:r>
      <w:r w:rsidR="001B5DC9" w:rsidRPr="001B5DC9">
        <w:t>Summary of Project Intention</w:t>
      </w:r>
      <w:r>
        <w:t>]</w:t>
      </w:r>
    </w:p>
    <w:p w14:paraId="13BDB9FF" w14:textId="308A6223"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lastRenderedPageBreak/>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3538684C"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an ETF that tracks the S&amp;P500 (ticker symbol: SPY). </w:t>
      </w:r>
    </w:p>
    <w:p w14:paraId="7D8B8B42" w14:textId="77777777" w:rsidR="009D74AB" w:rsidRDefault="009D74AB" w:rsidP="003C7695"/>
    <w:p w14:paraId="22E4EAA2" w14:textId="3A210681" w:rsidR="009D74AB" w:rsidRDefault="009D74AB" w:rsidP="003C7695">
      <w:r>
        <w:rPr>
          <w:b/>
          <w:bCs/>
          <w:sz w:val="28"/>
          <w:szCs w:val="28"/>
        </w:rPr>
        <w:t>Tools Used for Analysis</w:t>
      </w:r>
    </w:p>
    <w:p w14:paraId="44E45732" w14:textId="052DD6F8"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Microsoft Excel was used to view financial statements from NFLX.  Microsoft Word was used as the main platform for writing the report of the analysis.  Tableau Public Desktop was used to create the visuals.</w:t>
      </w:r>
    </w:p>
    <w:p w14:paraId="768D1040" w14:textId="77777777" w:rsidR="00F7506D" w:rsidRDefault="00F7506D"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77777777" w:rsidR="005515D9" w:rsidRDefault="005515D9" w:rsidP="005515D9">
      <w:commentRangeStart w:id="0"/>
      <w:r>
        <w:t>The NFLX data can be seen [here</w:t>
      </w:r>
      <w:proofErr w:type="gramStart"/>
      <w:r>
        <w:t>]</w:t>
      </w:r>
      <w:proofErr w:type="gramEnd"/>
      <w:r>
        <w:t xml:space="preserve"> and the dataset license can be seen [here]</w:t>
      </w:r>
    </w:p>
    <w:p w14:paraId="106AFE95" w14:textId="77777777" w:rsidR="005515D9" w:rsidRDefault="005515D9" w:rsidP="005515D9">
      <w:r>
        <w:t>The SPY data can be seen [here</w:t>
      </w:r>
      <w:proofErr w:type="gramStart"/>
      <w:r>
        <w:t>]</w:t>
      </w:r>
      <w:proofErr w:type="gramEnd"/>
      <w:r>
        <w:t xml:space="preserve"> and the dataset license can be seen [here] </w:t>
      </w:r>
      <w:commentRangeEnd w:id="0"/>
      <w:r>
        <w:rPr>
          <w:rStyle w:val="CommentReference"/>
        </w:rPr>
        <w:commentReference w:id="0"/>
      </w:r>
    </w:p>
    <w:p w14:paraId="769F105B" w14:textId="77777777" w:rsidR="005515D9" w:rsidRDefault="005515D9" w:rsidP="003C7695"/>
    <w:p w14:paraId="4A589E53" w14:textId="178C9632" w:rsidR="00D900C1" w:rsidRDefault="000433B2" w:rsidP="003C7695">
      <w:r>
        <w:t>Both tables</w:t>
      </w:r>
      <w:r w:rsidR="00D900C1">
        <w:t xml:space="preserve"> used in this analysis had a similar format</w:t>
      </w:r>
      <w:r w:rsidR="006634B5">
        <w:t xml:space="preserve"> and consisted of </w:t>
      </w:r>
      <w:r w:rsidR="001B5DC9">
        <w:t xml:space="preserve">quantitative and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lastRenderedPageBreak/>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494CDE66"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practicing the </w:t>
      </w:r>
      <w:r w:rsidR="009C0F32">
        <w:t xml:space="preserve">analytical </w:t>
      </w:r>
      <w:r w:rsidR="00C04BB1">
        <w:t>theory that frames this report.</w:t>
      </w:r>
    </w:p>
    <w:p w14:paraId="187F1C0F" w14:textId="5003E7EC" w:rsidR="00166FBF" w:rsidRDefault="00166FBF" w:rsidP="006634B5"/>
    <w:p w14:paraId="1EC3FE9E" w14:textId="52B41851" w:rsidR="00166FBF" w:rsidRPr="00732C89" w:rsidRDefault="00166FBF" w:rsidP="006634B5">
      <w:pPr>
        <w:rPr>
          <w:b/>
          <w:bCs/>
          <w:sz w:val="28"/>
          <w:szCs w:val="28"/>
        </w:rPr>
      </w:pPr>
      <w:r w:rsidRPr="00732C89">
        <w:rPr>
          <w:b/>
          <w:bCs/>
          <w:sz w:val="28"/>
          <w:szCs w:val="28"/>
        </w:rPr>
        <w:t xml:space="preserve">The 30-, 50-, and 200-day </w:t>
      </w:r>
      <w:r w:rsidR="005069C4" w:rsidRPr="00732C89">
        <w:rPr>
          <w:b/>
          <w:bCs/>
          <w:sz w:val="28"/>
          <w:szCs w:val="28"/>
        </w:rPr>
        <w:t xml:space="preserve">simple </w:t>
      </w:r>
      <w:r w:rsidRPr="00732C89">
        <w:rPr>
          <w:b/>
          <w:bCs/>
          <w:sz w:val="28"/>
          <w:szCs w:val="28"/>
        </w:rPr>
        <w:t>moving averages were calculated.</w:t>
      </w:r>
    </w:p>
    <w:p w14:paraId="555644B4" w14:textId="0FA080FA" w:rsidR="00BD14DC" w:rsidRDefault="00BD14DC" w:rsidP="006634B5">
      <w:r>
        <w:t>[Insert Chart]</w:t>
      </w:r>
    </w:p>
    <w:p w14:paraId="6994655D" w14:textId="5CD7104D" w:rsidR="0044428D" w:rsidRDefault="0044428D" w:rsidP="006634B5">
      <w:r>
        <w:t>A simple moving average</w:t>
      </w:r>
      <w:r w:rsidR="001E641E">
        <w:t xml:space="preserve"> (SMH)</w:t>
      </w:r>
      <w:r>
        <w:t xml:space="preserve"> can be used to inform the user of various important information.  Moving averages can be used to determine or verify trends, or potential changes in trends.  </w:t>
      </w:r>
      <w:commentRangeStart w:id="2"/>
      <w:commentRangeStart w:id="3"/>
      <w:r>
        <w:t>In very general terms, the trend is bullish if the values of the moving average are increasing, and bearish if the values are decreasing.</w:t>
      </w:r>
      <w:commentRangeEnd w:id="2"/>
      <w:r>
        <w:rPr>
          <w:rStyle w:val="CommentReference"/>
        </w:rPr>
        <w:commentReference w:id="2"/>
      </w:r>
      <w:commentRangeEnd w:id="3"/>
      <w:r w:rsidR="001E641E">
        <w:rPr>
          <w:rStyle w:val="CommentReference"/>
        </w:rPr>
        <w:commentReference w:id="3"/>
      </w:r>
    </w:p>
    <w:p w14:paraId="4D9DB970" w14:textId="65FE9E96" w:rsidR="0044428D" w:rsidRDefault="0044428D" w:rsidP="006634B5">
      <w:r>
        <w:lastRenderedPageBreak/>
        <w:t xml:space="preserve">Simple moving averages can be used to determine levels of support and resistance for technical analysis of stock charts.  </w:t>
      </w:r>
      <w:r w:rsidR="00B520AA">
        <w:t>S</w:t>
      </w:r>
      <w:r>
        <w:t>tock</w:t>
      </w:r>
      <w:r w:rsidR="00B520AA">
        <w:t xml:space="preserve"> trading values</w:t>
      </w:r>
      <w:r>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70BEF3C2" w:rsidR="00B520AA" w:rsidRDefault="00B520AA" w:rsidP="006634B5">
      <w:r>
        <w:t>When multiple moving averages of different time frames are u</w:t>
      </w:r>
      <w:r w:rsidR="00C83E58">
        <w:t>tilized</w:t>
      </w:r>
      <w:r>
        <w:t xml:space="preserve">, they can be used as indicators for buy or sell signals.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6DAB8095" w14:textId="3F2C78BF" w:rsidR="00B520AA" w:rsidRDefault="00B520AA" w:rsidP="006634B5">
      <w:r>
        <w:t>Since no single indicator should be used in technical analysis as the sole basis for either a buy or sell signal, moving averages are often used as confirmation signals when used in conjunction with other technical indicators.</w:t>
      </w:r>
    </w:p>
    <w:p w14:paraId="08AF769A" w14:textId="48B3B41B" w:rsidR="00194CFF" w:rsidRDefault="00194CFF" w:rsidP="006634B5">
      <w:r>
        <w:t xml:space="preserve">Moving averages of different time periods can be useful in different types of trading.  For example, using a 20- and 30-day </w:t>
      </w:r>
      <w:r w:rsidR="001E641E">
        <w:t>SMA</w:t>
      </w:r>
      <w:r>
        <w:t xml:space="preserve"> together can be useful for short-term swing trading, while a 50- and 200-day </w:t>
      </w:r>
      <w:r w:rsidR="001E641E">
        <w:t>SMA</w:t>
      </w:r>
      <w:r>
        <w:t xml:space="preserve"> can be used together for more longer-term trading.</w:t>
      </w:r>
    </w:p>
    <w:p w14:paraId="222D16C4" w14:textId="77777777" w:rsidR="00166FBF" w:rsidRDefault="00166FBF" w:rsidP="006634B5"/>
    <w:p w14:paraId="4101D1E9" w14:textId="4E0B4C9F" w:rsidR="00166FBF" w:rsidRPr="00732C89" w:rsidRDefault="00166FBF" w:rsidP="006634B5">
      <w:pPr>
        <w:rPr>
          <w:b/>
          <w:bCs/>
          <w:sz w:val="28"/>
          <w:szCs w:val="28"/>
        </w:rPr>
      </w:pPr>
      <w:r w:rsidRPr="00732C89">
        <w:rPr>
          <w:b/>
          <w:bCs/>
          <w:sz w:val="28"/>
          <w:szCs w:val="28"/>
        </w:rPr>
        <w:t>The running historical volatility was calculated using a 30-day timeframe.</w:t>
      </w:r>
    </w:p>
    <w:p w14:paraId="3387A678" w14:textId="6344596A" w:rsidR="00BD14DC" w:rsidRDefault="00BD14DC" w:rsidP="00C83E58">
      <w:pPr>
        <w:tabs>
          <w:tab w:val="left" w:pos="1668"/>
        </w:tabs>
      </w:pPr>
      <w:r>
        <w:t>[Insert Chart]</w:t>
      </w:r>
    </w:p>
    <w:p w14:paraId="76B28D15" w14:textId="3BF0D0D1" w:rsidR="00C83E58" w:rsidRDefault="00C83E58" w:rsidP="00C83E58">
      <w:pPr>
        <w:tabs>
          <w:tab w:val="left" w:pos="1668"/>
        </w:tabs>
      </w:pPr>
      <w:commentRangeStart w:id="4"/>
      <w:r>
        <w:t xml:space="preserve">Historical volatility (HV) is a measure of the extent to which the price of an asset has fluctuated over a given </w:t>
      </w:r>
      <w:proofErr w:type="gramStart"/>
      <w:r>
        <w:t>time period</w:t>
      </w:r>
      <w:proofErr w:type="gramEnd"/>
      <w:r>
        <w:t>.</w:t>
      </w:r>
      <w:commentRangeEnd w:id="4"/>
      <w:r>
        <w:rPr>
          <w:rStyle w:val="CommentReference"/>
        </w:rPr>
        <w:commentReference w:id="4"/>
      </w:r>
    </w:p>
    <w:p w14:paraId="657C9324" w14:textId="2E22C387"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 such as leading up to a corporate announcement before releasing earnings reports, anticipated product launch, economic indicators, or FDA drug approval.</w:t>
      </w:r>
    </w:p>
    <w:p w14:paraId="72EAF221" w14:textId="32E4E72F" w:rsidR="006A2ABF" w:rsidRDefault="006A2ABF" w:rsidP="00C83E58">
      <w:pPr>
        <w:tabs>
          <w:tab w:val="left" w:pos="1668"/>
        </w:tabs>
      </w:pPr>
      <w:r>
        <w:t>HV, as a backward-looking metric of volatility, is different from Implied Volatility (IV) which is a forward-looking metric of volatility that is used in the pricing of option contracts on equities and indices.</w:t>
      </w:r>
      <w:r w:rsidR="00E570B5">
        <w:t xml:space="preserve">  However, the two can be compared to try and find instances of potential mispricing of options, which may be considered undervalued when HV is higher than IV and overvalued when the opposite is true.</w:t>
      </w:r>
    </w:p>
    <w:p w14:paraId="0616C5EE" w14:textId="7737EA35" w:rsidR="009D74AB" w:rsidRDefault="009D74AB" w:rsidP="00C83E58">
      <w:pPr>
        <w:tabs>
          <w:tab w:val="left" w:pos="1668"/>
        </w:tabs>
      </w:pPr>
      <w:r>
        <w:t xml:space="preserve">Stocks with higher HV can be attractive to short-term swing and day traders, while stocks with lower HV can be attractive to more conservative traders with a longer-term trade horizon.  In this way, HV </w:t>
      </w:r>
      <w:r>
        <w:lastRenderedPageBreak/>
        <w:t>values for a particular stock, or the overall market, can help traders/investors make informed decisions regarding strategy and outlook.</w:t>
      </w:r>
    </w:p>
    <w:p w14:paraId="31892110" w14:textId="77777777" w:rsidR="00E570B5" w:rsidRDefault="00E570B5" w:rsidP="00C83E58">
      <w:pPr>
        <w:tabs>
          <w:tab w:val="left" w:pos="1668"/>
        </w:tabs>
      </w:pPr>
    </w:p>
    <w:p w14:paraId="0663EE69" w14:textId="77777777" w:rsidR="00C83E58" w:rsidRDefault="00C83E58" w:rsidP="00C83E58">
      <w:pPr>
        <w:tabs>
          <w:tab w:val="left" w:pos="1668"/>
        </w:tabs>
      </w:pPr>
    </w:p>
    <w:p w14:paraId="62848E8B" w14:textId="47087625" w:rsidR="00C83E58" w:rsidRPr="00732C89" w:rsidRDefault="00C83E58" w:rsidP="00C83E58">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NFLX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5"/>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5"/>
      <w:r w:rsidR="00A702A3">
        <w:rPr>
          <w:rStyle w:val="CommentReference"/>
        </w:rPr>
        <w:commentReference w:id="5"/>
      </w:r>
    </w:p>
    <w:p w14:paraId="19D8BD37" w14:textId="77777777" w:rsidR="00D23742" w:rsidRDefault="00D23742" w:rsidP="00C83E58">
      <w:pPr>
        <w:tabs>
          <w:tab w:val="left" w:pos="1668"/>
        </w:tabs>
      </w:pPr>
    </w:p>
    <w:p w14:paraId="21F66CAD" w14:textId="1FF48CFD" w:rsidR="00D23742" w:rsidRPr="00732C89" w:rsidRDefault="00D23742" w:rsidP="00D23742">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w:t>
      </w:r>
      <w:r>
        <w:rPr>
          <w:b/>
          <w:bCs/>
          <w:sz w:val="28"/>
          <w:szCs w:val="28"/>
        </w:rPr>
        <w:t>SPY</w:t>
      </w:r>
      <w:r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40397792" w:rsidR="00D900C1" w:rsidRPr="00BD39BB" w:rsidRDefault="00BD39BB" w:rsidP="003C7695">
      <w:pPr>
        <w:rPr>
          <w:b/>
          <w:bCs/>
          <w:sz w:val="28"/>
          <w:szCs w:val="28"/>
        </w:rPr>
      </w:pPr>
      <w:r>
        <w:rPr>
          <w:b/>
          <w:bCs/>
          <w:sz w:val="28"/>
          <w:szCs w:val="28"/>
        </w:rPr>
        <w:lastRenderedPageBreak/>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21B51D1" w:rsidR="00C83E58" w:rsidRDefault="00BD14DC" w:rsidP="003C7695">
      <w:r>
        <w:t>[Insert Chart]</w:t>
      </w:r>
    </w:p>
    <w:p w14:paraId="3FB53DAE" w14:textId="77777777" w:rsidR="00BD39BB" w:rsidRDefault="00BD39BB" w:rsidP="003C7695"/>
    <w:p w14:paraId="15B102A8" w14:textId="77777777" w:rsidR="00BD39BB" w:rsidRDefault="00BD39BB" w:rsidP="003C7695"/>
    <w:p w14:paraId="335D8E53" w14:textId="78FA6C64" w:rsidR="00166FBF" w:rsidRPr="00BD39BB" w:rsidRDefault="00BD39BB" w:rsidP="003C7695">
      <w:pPr>
        <w:rPr>
          <w:b/>
          <w:bCs/>
          <w:sz w:val="28"/>
          <w:szCs w:val="28"/>
        </w:rPr>
      </w:pPr>
      <w:r>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6"/>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6"/>
      <w:r w:rsidR="008F7290">
        <w:rPr>
          <w:rStyle w:val="CommentReference"/>
        </w:rPr>
        <w:commentReference w:id="6"/>
      </w:r>
    </w:p>
    <w:p w14:paraId="17469DC5" w14:textId="6E1755FE" w:rsidR="00DC562A" w:rsidRDefault="00DC562A" w:rsidP="003C7695">
      <w:r>
        <w:t xml:space="preserve">NFLX Q1 2024 financial statements can be seen </w:t>
      </w:r>
      <w:commentRangeStart w:id="7"/>
      <w:r>
        <w:fldChar w:fldCharType="begin"/>
      </w:r>
      <w:r>
        <w:instrText>HYPERLINK "https://ir.netflix.net/financials/financial-statements/default.aspx"</w:instrText>
      </w:r>
      <w:r>
        <w:fldChar w:fldCharType="separate"/>
      </w:r>
      <w:r>
        <w:rPr>
          <w:rStyle w:val="Hyperlink"/>
        </w:rPr>
        <w:t>here</w:t>
      </w:r>
      <w:r>
        <w:fldChar w:fldCharType="end"/>
      </w:r>
      <w:commentRangeEnd w:id="7"/>
      <w:r>
        <w:rPr>
          <w:rStyle w:val="CommentReference"/>
        </w:rPr>
        <w:commentReference w:id="7"/>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040595E4"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4:50:00Z" w:initials="KB">
    <w:p w14:paraId="2093BE95" w14:textId="77777777" w:rsidR="0044428D" w:rsidRDefault="0044428D" w:rsidP="0044428D">
      <w:pPr>
        <w:pStyle w:val="CommentText"/>
      </w:pPr>
      <w:r>
        <w:rPr>
          <w:rStyle w:val="CommentReference"/>
        </w:rPr>
        <w:annotationRef/>
      </w:r>
      <w:r>
        <w:t>This is usually in conjunction with trading prices that are either above or below the MA values.</w:t>
      </w:r>
    </w:p>
  </w:comment>
  <w:comment w:id="3" w:author="Kevin Bray" w:date="2024-06-08T11:04:00Z" w:initials="KB">
    <w:p w14:paraId="0CAA9465" w14:textId="77777777" w:rsidR="001E641E" w:rsidRDefault="001E641E" w:rsidP="001E641E">
      <w:pPr>
        <w:pStyle w:val="CommentText"/>
      </w:pPr>
      <w:r>
        <w:rPr>
          <w:rStyle w:val="CommentReference"/>
        </w:rPr>
        <w:annotationRef/>
      </w:r>
      <w:r>
        <w:t>There’s also no specificity of SMA length.</w:t>
      </w:r>
    </w:p>
  </w:comment>
  <w:comment w:id="4"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5"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6" w:author="Kevin Bray" w:date="2024-05-31T20:02:00Z" w:initials="KB">
    <w:p w14:paraId="5F78CD38" w14:textId="6188608D" w:rsidR="008F7290" w:rsidRDefault="008F7290" w:rsidP="008F7290">
      <w:pPr>
        <w:pStyle w:val="CommentText"/>
      </w:pPr>
      <w:r>
        <w:rPr>
          <w:rStyle w:val="CommentReference"/>
        </w:rPr>
        <w:annotationRef/>
      </w:r>
      <w:r>
        <w:t>Look at NFLX revenue streams.  Where do they make their money?</w:t>
      </w:r>
    </w:p>
  </w:comment>
  <w:comment w:id="7"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2093BE95" w15:done="0"/>
  <w15:commentEx w15:paraId="0CAA9465" w15:paraIdParent="2093BE95" w15:done="0"/>
  <w15:commentEx w15:paraId="6D8510A7" w15:done="0"/>
  <w15:commentEx w15:paraId="0E179569"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6A694CAB" w16cex:dateUtc="2024-06-05T18:50:00Z"/>
  <w16cex:commentExtensible w16cex:durableId="5E01FA90" w16cex:dateUtc="2024-06-08T15:04:00Z"/>
  <w16cex:commentExtensible w16cex:durableId="056CCF1F" w16cex:dateUtc="2024-06-05T19:25:00Z"/>
  <w16cex:commentExtensible w16cex:durableId="3AAD5591" w16cex:dateUtc="2024-06-06T14:40: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2093BE95" w16cid:durableId="6A694CAB"/>
  <w16cid:commentId w16cid:paraId="0CAA9465" w16cid:durableId="5E01FA90"/>
  <w16cid:commentId w16cid:paraId="6D8510A7" w16cid:durableId="056CCF1F"/>
  <w16cid:commentId w16cid:paraId="0E179569" w16cid:durableId="3AAD5591"/>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3"/>
  </w:num>
  <w:num w:numId="2" w16cid:durableId="1374041164">
    <w:abstractNumId w:val="1"/>
  </w:num>
  <w:num w:numId="3" w16cid:durableId="242837665">
    <w:abstractNumId w:val="4"/>
  </w:num>
  <w:num w:numId="4" w16cid:durableId="381250401">
    <w:abstractNumId w:val="2"/>
  </w:num>
  <w:num w:numId="5" w16cid:durableId="14552456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F41AA"/>
    <w:rsid w:val="001043FD"/>
    <w:rsid w:val="00122091"/>
    <w:rsid w:val="00166FBF"/>
    <w:rsid w:val="00194CFF"/>
    <w:rsid w:val="001B5DC9"/>
    <w:rsid w:val="001E641E"/>
    <w:rsid w:val="002466B5"/>
    <w:rsid w:val="002D3E5D"/>
    <w:rsid w:val="003C7695"/>
    <w:rsid w:val="003F007E"/>
    <w:rsid w:val="003F61A7"/>
    <w:rsid w:val="003F6A83"/>
    <w:rsid w:val="00426348"/>
    <w:rsid w:val="0044428D"/>
    <w:rsid w:val="004633B9"/>
    <w:rsid w:val="00464A62"/>
    <w:rsid w:val="005069C4"/>
    <w:rsid w:val="00510B16"/>
    <w:rsid w:val="005515D9"/>
    <w:rsid w:val="00633A05"/>
    <w:rsid w:val="006570F6"/>
    <w:rsid w:val="006634B5"/>
    <w:rsid w:val="006A2ABF"/>
    <w:rsid w:val="00732C89"/>
    <w:rsid w:val="00782079"/>
    <w:rsid w:val="0080420B"/>
    <w:rsid w:val="0082625D"/>
    <w:rsid w:val="008D2352"/>
    <w:rsid w:val="008F7290"/>
    <w:rsid w:val="00910F7F"/>
    <w:rsid w:val="00913547"/>
    <w:rsid w:val="009C0F1C"/>
    <w:rsid w:val="009C0F32"/>
    <w:rsid w:val="009D74AB"/>
    <w:rsid w:val="009F34EF"/>
    <w:rsid w:val="00A702A3"/>
    <w:rsid w:val="00AA2BA7"/>
    <w:rsid w:val="00B159A9"/>
    <w:rsid w:val="00B520AA"/>
    <w:rsid w:val="00B75C30"/>
    <w:rsid w:val="00BD14DC"/>
    <w:rsid w:val="00BD39BB"/>
    <w:rsid w:val="00BE013A"/>
    <w:rsid w:val="00C04BB1"/>
    <w:rsid w:val="00C21619"/>
    <w:rsid w:val="00C83E58"/>
    <w:rsid w:val="00C902FC"/>
    <w:rsid w:val="00D23742"/>
    <w:rsid w:val="00D900C1"/>
    <w:rsid w:val="00DC562A"/>
    <w:rsid w:val="00DC702E"/>
    <w:rsid w:val="00E2237F"/>
    <w:rsid w:val="00E3011A"/>
    <w:rsid w:val="00E570B5"/>
    <w:rsid w:val="00EE7855"/>
    <w:rsid w:val="00F73CC5"/>
    <w:rsid w:val="00F7506D"/>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9889</TotalTime>
  <Pages>6</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25</cp:revision>
  <dcterms:created xsi:type="dcterms:W3CDTF">2024-05-31T14:20:00Z</dcterms:created>
  <dcterms:modified xsi:type="dcterms:W3CDTF">2024-06-09T19:45:00Z</dcterms:modified>
</cp:coreProperties>
</file>