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w:t>
      </w:r>
      <w:proofErr w:type="spellStart"/>
      <w:r w:rsidR="00804973">
        <w:t>GutHub</w:t>
      </w:r>
      <w:proofErr w:type="spellEnd"/>
      <w:r w:rsidR="00804973">
        <w:t xml:space="preserve"> was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r>
        <w:t>!</w:t>
      </w:r>
      <w:r w:rsidR="00BD14DC">
        <w:t>[</w:t>
      </w:r>
      <w:proofErr w:type="spellStart"/>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r>
        <w:t>!</w:t>
      </w:r>
      <w:r w:rsidR="00BD14DC">
        <w:t>[</w:t>
      </w:r>
      <w:proofErr w:type="spellStart"/>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r>
        <w:t>!</w:t>
      </w:r>
      <w:r w:rsidR="00BD14DC">
        <w:t>[</w:t>
      </w:r>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8"/>
      <w:r w:rsidR="00FB58D2">
        <w:rPr>
          <w:b/>
          <w:bCs/>
          <w:sz w:val="28"/>
          <w:szCs w:val="28"/>
        </w:rPr>
        <w:t>Analysis of NFLX Financials</w:t>
      </w:r>
      <w:commentRangeEnd w:id="8"/>
      <w:r w:rsidR="00FB58D2">
        <w:rPr>
          <w:rStyle w:val="CommentReference"/>
        </w:rPr>
        <w:commentReference w:id="8"/>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5539BAC4" w14:textId="07FA0092" w:rsidR="00EA6D08" w:rsidRPr="00917845" w:rsidRDefault="00917845" w:rsidP="003C7695">
      <w:pPr>
        <w:rPr>
          <w:b/>
          <w:bCs/>
        </w:rPr>
      </w:pPr>
      <w:r>
        <w:rPr>
          <w:b/>
          <w:bCs/>
        </w:rPr>
        <w:t xml:space="preserve">### </w:t>
      </w:r>
      <w:r w:rsidR="00EA6D08" w:rsidRPr="00917845">
        <w:rPr>
          <w:b/>
          <w:bCs/>
        </w:rPr>
        <w:t>Note: All values are in thousands of dollars unless otherwise indicated.</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10"/>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0"/>
      <w:r w:rsidR="000A261E">
        <w:rPr>
          <w:rStyle w:val="CommentReference"/>
        </w:rPr>
        <w:commentReference w:id="10"/>
      </w:r>
    </w:p>
    <w:p w14:paraId="6F5E3220" w14:textId="77777777" w:rsidR="004143E6" w:rsidRDefault="004143E6" w:rsidP="00653173"/>
    <w:p w14:paraId="4ABE4C8E" w14:textId="77777777" w:rsidR="00653173" w:rsidRDefault="00653173" w:rsidP="00653173">
      <w:r>
        <w:rPr>
          <w:noProof/>
        </w:rPr>
        <w:lastRenderedPageBreak/>
        <w:drawing>
          <wp:inline distT="0" distB="0" distL="0" distR="0" wp14:anchorId="193B5589" wp14:editId="5C0AF1E5">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77777777" w:rsidR="00653173" w:rsidRDefault="00653173" w:rsidP="00653173">
      <w:r>
        <w:t>The consistency of revenue growth demonstrates the strength of the NFLX business model, as well as their placement among their competitors with respect to capturing market share.</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3300FD1B" w:rsidR="000A261E" w:rsidRPr="008810AA" w:rsidRDefault="008810AA" w:rsidP="00653173">
      <w:r>
        <w:rPr>
          <w:noProof/>
        </w:rPr>
        <w:drawing>
          <wp:inline distT="0" distB="0" distL="0" distR="0" wp14:anchorId="7FFD1D26" wp14:editId="2C5443DA">
            <wp:extent cx="4573905" cy="2743200"/>
            <wp:effectExtent l="0" t="0" r="17145" b="0"/>
            <wp:docPr id="1649392869" name="Chart 1">
              <a:extLst xmlns:a="http://schemas.openxmlformats.org/drawingml/2006/main">
                <a:ext uri="{FF2B5EF4-FFF2-40B4-BE49-F238E27FC236}">
                  <a16:creationId xmlns:a16="http://schemas.microsoft.com/office/drawing/2014/main" id="{2A82A759-6631-C365-4BAF-811FFF4341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22B52C98"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  When they get wider apart from each other represents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lastRenderedPageBreak/>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A7FF4FB" w:rsidR="008810AA" w:rsidRPr="008810AA" w:rsidRDefault="008810AA" w:rsidP="008810AA">
      <w:pPr>
        <w:rPr>
          <w:rFonts w:ascii="Calibri" w:hAnsi="Calibri" w:cs="Calibri"/>
        </w:rPr>
      </w:pPr>
      <w:r>
        <w:rPr>
          <w:rFonts w:ascii="Calibri" w:hAnsi="Calibri" w:cs="Calibri"/>
        </w:rPr>
        <w:t xml:space="preserve">Q4 ’22 and Q4 ’23 saw one-time expenses that had a great affect on </w:t>
      </w:r>
      <w:r w:rsidR="00682D6F">
        <w:rPr>
          <w:rFonts w:ascii="Calibri" w:hAnsi="Calibri" w:cs="Calibri"/>
        </w:rPr>
        <w:t xml:space="preserve">the net income.  </w:t>
      </w:r>
    </w:p>
    <w:p w14:paraId="69C01649" w14:textId="7AAC9C25"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3C40FDFF">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56BB2F9"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w:t>
      </w:r>
      <w:commentRangeStart w:id="11"/>
      <w:r w:rsidR="00682D6F">
        <w:t>However, the dips in both margins for Q4 ’22 and Q4 ’23 can be explained in the context of one-time charges.</w:t>
      </w:r>
      <w:commentRangeEnd w:id="11"/>
      <w:r w:rsidR="00682D6F">
        <w:rPr>
          <w:rStyle w:val="CommentReference"/>
        </w:rPr>
        <w:commentReference w:id="11"/>
      </w:r>
    </w:p>
    <w:p w14:paraId="3C6BEE79" w14:textId="77777777" w:rsidR="00ED3C08" w:rsidRDefault="00ED3C08" w:rsidP="00ED3C08">
      <w:r>
        <w:lastRenderedPageBreak/>
        <w:t>Over the past two years NFLX has seen some variability in their gross margins.  However, the prevailing trend is positive with the lowest period (Q4 ’22) showing 31% of revenue retained as gross profit.  Generally speaking, after incurring the costs for content creation, streaming services such as NFLX could greatly benefit from overall low marginal costs.  This gives them the ability to maintain lower gross margins, relatively speaking, and still remain quite competitive in their market.</w:t>
      </w:r>
    </w:p>
    <w:p w14:paraId="48014A3F" w14:textId="7E663093" w:rsidR="00653173" w:rsidRPr="00D97C10" w:rsidRDefault="00682D6F" w:rsidP="00653173">
      <w:r>
        <w:t>T</w:t>
      </w:r>
      <w:r w:rsidR="00653173" w:rsidRPr="00D97C10">
        <w:t xml:space="preserve">he net profit margin and operating margin for Netflix are very similar across all quarters shown (Q1'22 - Q1'24). The lowest net profit margin was 1% </w:t>
      </w:r>
      <w:r>
        <w:t xml:space="preserve">in </w:t>
      </w:r>
      <w:r w:rsidR="00653173" w:rsidRPr="00D97C10">
        <w:t>Q4</w:t>
      </w:r>
      <w:r>
        <w:t xml:space="preserve"> </w:t>
      </w:r>
      <w:r w:rsidR="00653173" w:rsidRPr="00D97C10">
        <w:t>'22</w:t>
      </w:r>
      <w:r>
        <w:t>,</w:t>
      </w:r>
      <w:r w:rsidR="00653173" w:rsidRPr="00D97C10">
        <w:t xml:space="preserve"> and the highest was 25% </w:t>
      </w:r>
      <w:r>
        <w:t xml:space="preserve">in </w:t>
      </w:r>
      <w:r w:rsidR="00653173" w:rsidRPr="00D97C10">
        <w:t>Q1</w:t>
      </w:r>
      <w:r>
        <w:t xml:space="preserve"> </w:t>
      </w:r>
      <w:r w:rsidR="00653173" w:rsidRPr="00D97C10">
        <w:t xml:space="preserve">'24, while the operating margin ranged from 7% </w:t>
      </w:r>
      <w:r w:rsidR="00ED3C08">
        <w:t xml:space="preserve">in </w:t>
      </w:r>
      <w:r w:rsidR="00653173" w:rsidRPr="00D97C10">
        <w:t>Q4</w:t>
      </w:r>
      <w:r w:rsidR="00ED3C08">
        <w:t xml:space="preserve"> </w:t>
      </w:r>
      <w:r w:rsidR="00653173" w:rsidRPr="00D97C10">
        <w:t xml:space="preserve">'22 to 28% </w:t>
      </w:r>
      <w:r w:rsidR="00ED3C08">
        <w:t xml:space="preserve">in </w:t>
      </w:r>
      <w:r w:rsidR="00653173" w:rsidRPr="00D97C10">
        <w:t>Q1</w:t>
      </w:r>
      <w:r w:rsidR="00ED3C08">
        <w:t xml:space="preserve"> </w:t>
      </w:r>
      <w:r w:rsidR="00653173"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7777777" w:rsidR="00653173" w:rsidRDefault="00653173" w:rsidP="00653173">
      <w:r>
        <w:rPr>
          <w:noProof/>
        </w:rPr>
        <w:drawing>
          <wp:inline distT="0" distB="0" distL="0" distR="0" wp14:anchorId="25ADBCC0" wp14:editId="2E6516AE">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77777777" w:rsidR="00653173" w:rsidRDefault="00653173" w:rsidP="00653173">
      <w:r>
        <w:t>Looking at the EPS Basic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lastRenderedPageBreak/>
        <w:t>Asset Turnover Ratio</w:t>
      </w:r>
    </w:p>
    <w:p w14:paraId="32C439A0" w14:textId="77777777" w:rsidR="00653173" w:rsidRDefault="00653173" w:rsidP="00653173">
      <w:pPr>
        <w:rPr>
          <w:b/>
          <w:bCs/>
          <w:sz w:val="28"/>
          <w:szCs w:val="28"/>
        </w:rPr>
      </w:pPr>
      <w:r>
        <w:rPr>
          <w:noProof/>
        </w:rPr>
        <w:drawing>
          <wp:inline distT="0" distB="0" distL="0" distR="0" wp14:anchorId="42EE7E97" wp14:editId="251598D9">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77777777" w:rsidR="00653173" w:rsidRPr="00B2236C" w:rsidRDefault="00653173" w:rsidP="00653173">
      <w:r>
        <w:t>The increasing values of the Asset Turnover Ratio shows that NFLX is improving in their ability to use their assets to generate revenue.</w:t>
      </w:r>
    </w:p>
    <w:p w14:paraId="2E04D4AF" w14:textId="77777777" w:rsidR="00653173" w:rsidRDefault="00653173" w:rsidP="00653173"/>
    <w:p w14:paraId="0A5FFD7E" w14:textId="77777777" w:rsidR="00653173" w:rsidRDefault="00653173" w:rsidP="00653173">
      <w:r>
        <w:rPr>
          <w:b/>
          <w:bCs/>
        </w:rPr>
        <w:t>Efficiency Ratios</w:t>
      </w:r>
    </w:p>
    <w:p w14:paraId="1F8C7BEE" w14:textId="77777777" w:rsidR="00653173" w:rsidRPr="004C3A38" w:rsidRDefault="00653173" w:rsidP="00653173">
      <w:r>
        <w:t>As can been seen in the two following charts,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along with a reduction of expenses, there has been a substantial rebound in net income values, which in turn has bolstered the figures for ROA and ROE.</w:t>
      </w:r>
    </w:p>
    <w:p w14:paraId="6B7B12EE" w14:textId="77777777" w:rsidR="00653173" w:rsidRDefault="00653173" w:rsidP="00653173">
      <w:pPr>
        <w:pStyle w:val="ListParagraph"/>
        <w:numPr>
          <w:ilvl w:val="0"/>
          <w:numId w:val="6"/>
        </w:numPr>
      </w:pPr>
      <w:r w:rsidRPr="00401A0D">
        <w:rPr>
          <w:b/>
          <w:bCs/>
        </w:rPr>
        <w:t>Return on Assets</w:t>
      </w:r>
      <w:r>
        <w:t xml:space="preserve"> = net income/total assets</w:t>
      </w:r>
    </w:p>
    <w:p w14:paraId="6B921A83" w14:textId="77777777" w:rsidR="00653173" w:rsidRDefault="00653173" w:rsidP="00653173">
      <w:pPr>
        <w:rPr>
          <w:b/>
          <w:bCs/>
        </w:rPr>
      </w:pPr>
      <w:r>
        <w:rPr>
          <w:noProof/>
        </w:rPr>
        <w:lastRenderedPageBreak/>
        <w:drawing>
          <wp:inline distT="0" distB="0" distL="0" distR="0" wp14:anchorId="5C7F2912" wp14:editId="15576DB6">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0FFCB6" w14:textId="77777777" w:rsidR="00653173" w:rsidRDefault="00653173" w:rsidP="00653173"/>
    <w:p w14:paraId="035ECC54" w14:textId="77777777" w:rsidR="00653173" w:rsidRDefault="00653173" w:rsidP="00653173">
      <w:pPr>
        <w:pStyle w:val="ListParagraph"/>
        <w:numPr>
          <w:ilvl w:val="0"/>
          <w:numId w:val="6"/>
        </w:numPr>
      </w:pPr>
      <w:r w:rsidRPr="00401A0D">
        <w:rPr>
          <w:b/>
          <w:bCs/>
        </w:rPr>
        <w:t>Return on Equity</w:t>
      </w:r>
      <w:r>
        <w:t xml:space="preserve"> = net income/shareholders’ equity</w:t>
      </w:r>
    </w:p>
    <w:p w14:paraId="66D16FCE" w14:textId="77777777" w:rsidR="00653173" w:rsidRDefault="00653173" w:rsidP="00653173">
      <w:r>
        <w:rPr>
          <w:noProof/>
        </w:rPr>
        <w:drawing>
          <wp:inline distT="0" distB="0" distL="0" distR="0" wp14:anchorId="56188E3F" wp14:editId="0715EA65">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BB2202" w14:textId="77777777" w:rsidR="00653173" w:rsidRDefault="00653173" w:rsidP="00653173"/>
    <w:p w14:paraId="251456FB" w14:textId="77777777" w:rsidR="00653173" w:rsidRDefault="00653173" w:rsidP="00653173">
      <w:r>
        <w:rPr>
          <w:b/>
          <w:bCs/>
        </w:rPr>
        <w:t>Liquidity and Solvency Analysis</w:t>
      </w:r>
    </w:p>
    <w:p w14:paraId="1859B420" w14:textId="77777777" w:rsidR="00653173" w:rsidRPr="00EC5B3E" w:rsidRDefault="00653173" w:rsidP="00653173">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45FFA67" w14:textId="77777777" w:rsidR="00653173" w:rsidRPr="008A0F4B" w:rsidRDefault="00653173" w:rsidP="00653173">
      <w:r>
        <w:rPr>
          <w:noProof/>
        </w:rPr>
        <w:lastRenderedPageBreak/>
        <w:drawing>
          <wp:inline distT="0" distB="0" distL="0" distR="0" wp14:anchorId="6ECDE08E" wp14:editId="48957BEC">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11625E6" w14:textId="77777777" w:rsidR="00653173" w:rsidRDefault="00653173" w:rsidP="00653173">
      <w:r>
        <w:t>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7777777" w:rsidR="00653173" w:rsidRDefault="00653173" w:rsidP="00653173">
      <w:pPr>
        <w:pStyle w:val="ListParagraph"/>
        <w:numPr>
          <w:ilvl w:val="0"/>
          <w:numId w:val="6"/>
        </w:numPr>
      </w:pPr>
      <w:r w:rsidRPr="00401A0D">
        <w:rPr>
          <w:b/>
          <w:bCs/>
        </w:rPr>
        <w:t>Debt-to-Equity Ratio</w:t>
      </w:r>
      <w:r>
        <w:t xml:space="preserve"> = total liabilities/shareholders’ equity</w:t>
      </w:r>
    </w:p>
    <w:p w14:paraId="74A1D0AE" w14:textId="77777777" w:rsidR="00653173" w:rsidRDefault="00653173" w:rsidP="00653173">
      <w:r>
        <w:rPr>
          <w:noProof/>
        </w:rPr>
        <w:lastRenderedPageBreak/>
        <w:drawing>
          <wp:inline distT="0" distB="0" distL="0" distR="0" wp14:anchorId="2BEE598B" wp14:editId="4F895AB4">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CF9420" w14:textId="77777777" w:rsidR="00653173" w:rsidRDefault="00653173" w:rsidP="00653173">
      <w:r>
        <w:t>NFLX is showing a declining trend in their debt-to-equity ratio.  The general explanation I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63699CFB">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01D63B8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F0E88F" w14:textId="139B437B" w:rsidR="00653173" w:rsidRDefault="00653173" w:rsidP="00653173">
      <w:r>
        <w:rPr>
          <w:rFonts w:ascii="Calibri" w:hAnsi="Calibri" w:cs="Calibri"/>
        </w:rPr>
        <w:t>While Total Liabilities have stayed fairly constant, Total Stockholders’ Equity has been increasing, which could be an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77777777" w:rsidR="00653173" w:rsidRDefault="00653173" w:rsidP="00653173">
      <w:r>
        <w:rPr>
          <w:noProof/>
        </w:rPr>
        <w:lastRenderedPageBreak/>
        <w:drawing>
          <wp:inline distT="0" distB="0" distL="0" distR="0" wp14:anchorId="15A3EC73" wp14:editId="65B8311B">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6640D689">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88B15F0" w14:textId="77777777" w:rsidR="00653173" w:rsidRDefault="00653173" w:rsidP="00653173">
      <w:pPr>
        <w:rPr>
          <w:rFonts w:ascii="Calibri" w:hAnsi="Calibri" w:cs="Calibri"/>
        </w:rPr>
      </w:pPr>
      <w:commentRangeStart w:id="12"/>
      <w:r>
        <w:rPr>
          <w:rFonts w:ascii="Calibri" w:hAnsi="Calibri" w:cs="Calibri"/>
        </w:rPr>
        <w:t>Positive and growing operating cash flow indicates that the company’s core business operations are generating cash.</w:t>
      </w:r>
      <w:commentRangeEnd w:id="12"/>
      <w:r>
        <w:rPr>
          <w:rStyle w:val="CommentReference"/>
        </w:rPr>
        <w:commentReference w:id="12"/>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2778B107">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25753E6" w14:textId="7457110A" w:rsidR="00653173" w:rsidRDefault="00653173" w:rsidP="00653173">
      <w:pPr>
        <w:rPr>
          <w:rFonts w:ascii="Calibri" w:hAnsi="Calibri" w:cs="Calibri"/>
        </w:rPr>
      </w:pPr>
      <w:commentRangeStart w:id="13"/>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3"/>
      <w:r>
        <w:rPr>
          <w:rStyle w:val="CommentReference"/>
        </w:rPr>
        <w:commentReference w:id="13"/>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C2C28BE">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4"/>
      <w:r>
        <w:t>Is NFLX a “buy”?</w:t>
      </w:r>
      <w:commentRangeEnd w:id="14"/>
      <w:r>
        <w:rPr>
          <w:rStyle w:val="CommentReference"/>
        </w:rPr>
        <w:commentReference w:id="14"/>
      </w:r>
    </w:p>
    <w:p w14:paraId="4F8930F4" w14:textId="77777777" w:rsidR="000B3738" w:rsidRDefault="000B3738" w:rsidP="000B3738">
      <w:r w:rsidRPr="003C7695">
        <w:t>It's important to note that past performance is not indicative of future results.</w:t>
      </w:r>
      <w:r>
        <w:t xml:space="preserve">  </w:t>
      </w:r>
      <w:commentRangeStart w:id="15"/>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5"/>
      <w:r>
        <w:rPr>
          <w:rStyle w:val="CommentReference"/>
        </w:rPr>
        <w:commentReference w:id="15"/>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15T10:38:00Z" w:initials="KB">
    <w:p w14:paraId="74F00DA3" w14:textId="0F0CD65B" w:rsidR="00FB58D2" w:rsidRDefault="00FB58D2" w:rsidP="00FB58D2">
      <w:pPr>
        <w:pStyle w:val="CommentText"/>
      </w:pPr>
      <w:r>
        <w:rPr>
          <w:rStyle w:val="CommentReference"/>
        </w:rPr>
        <w:annotationRef/>
      </w:r>
      <w:r>
        <w:t>Give a rundown of company financials based on latest earnings report.</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6-25T08:04:00Z" w:initials="KB">
    <w:p w14:paraId="3359AFB6" w14:textId="77777777" w:rsidR="000A261E" w:rsidRDefault="000A261E" w:rsidP="000A261E">
      <w:pPr>
        <w:pStyle w:val="CommentText"/>
      </w:pPr>
      <w:r>
        <w:rPr>
          <w:rStyle w:val="CommentReference"/>
        </w:rPr>
        <w:annotationRef/>
      </w:r>
      <w:r>
        <w:t>Take another look at this</w:t>
      </w:r>
    </w:p>
  </w:comment>
  <w:comment w:id="11" w:author="Kevin Bray" w:date="2024-06-27T11:36:00Z" w:initials="KB">
    <w:p w14:paraId="5FBDA6E3" w14:textId="77777777" w:rsidR="00682D6F" w:rsidRDefault="00682D6F" w:rsidP="00682D6F">
      <w:pPr>
        <w:pStyle w:val="CommentText"/>
      </w:pPr>
      <w:r>
        <w:rPr>
          <w:rStyle w:val="CommentReference"/>
        </w:rPr>
        <w:annotationRef/>
      </w:r>
      <w:r>
        <w:t>?</w:t>
      </w:r>
    </w:p>
  </w:comment>
  <w:comment w:id="12" w:author="Kevin Bray" w:date="2024-06-24T11:51:00Z" w:initials="KB">
    <w:p w14:paraId="01686B11" w14:textId="25410DE4" w:rsidR="00653173" w:rsidRDefault="00653173" w:rsidP="00653173">
      <w:pPr>
        <w:pStyle w:val="CommentText"/>
      </w:pPr>
      <w:r>
        <w:rPr>
          <w:rStyle w:val="CommentReference"/>
        </w:rPr>
        <w:annotationRef/>
      </w:r>
      <w:r>
        <w:t>Reword</w:t>
      </w:r>
    </w:p>
  </w:comment>
  <w:comment w:id="13"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4"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5"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74F00DA3" w15:done="0"/>
  <w15:commentEx w15:paraId="104AF2D4" w15:done="0"/>
  <w15:commentEx w15:paraId="3359AFB6" w15:done="0"/>
  <w15:commentEx w15:paraId="5FBDA6E3"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1460B269" w16cex:dateUtc="2024-06-15T14:38:00Z"/>
  <w16cex:commentExtensible w16cex:durableId="37E9F8D4" w16cex:dateUtc="2024-06-01T09:30:00Z"/>
  <w16cex:commentExtensible w16cex:durableId="3F33DD2E" w16cex:dateUtc="2024-06-25T12:04:00Z"/>
  <w16cex:commentExtensible w16cex:durableId="2DD9B97F" w16cex:dateUtc="2024-06-27T15:36: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74F00DA3" w16cid:durableId="1460B269"/>
  <w16cid:commentId w16cid:paraId="104AF2D4" w16cid:durableId="37E9F8D4"/>
  <w16cid:commentId w16cid:paraId="3359AFB6" w16cid:durableId="3F33DD2E"/>
  <w16cid:commentId w16cid:paraId="5FBDA6E3" w16cid:durableId="2DD9B97F"/>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42034"/>
    <w:rsid w:val="000433B2"/>
    <w:rsid w:val="00060CBA"/>
    <w:rsid w:val="00090E1D"/>
    <w:rsid w:val="00097A24"/>
    <w:rsid w:val="00097F7B"/>
    <w:rsid w:val="000A261E"/>
    <w:rsid w:val="000B3738"/>
    <w:rsid w:val="000C1C4A"/>
    <w:rsid w:val="000F41AA"/>
    <w:rsid w:val="001043FD"/>
    <w:rsid w:val="00122091"/>
    <w:rsid w:val="00132899"/>
    <w:rsid w:val="00160667"/>
    <w:rsid w:val="00166FBF"/>
    <w:rsid w:val="0018406A"/>
    <w:rsid w:val="00194CFF"/>
    <w:rsid w:val="001A3D97"/>
    <w:rsid w:val="001B5DC9"/>
    <w:rsid w:val="001D6BF3"/>
    <w:rsid w:val="001E641E"/>
    <w:rsid w:val="00224025"/>
    <w:rsid w:val="002262E3"/>
    <w:rsid w:val="002466B5"/>
    <w:rsid w:val="002A088D"/>
    <w:rsid w:val="002A0A65"/>
    <w:rsid w:val="002C311B"/>
    <w:rsid w:val="002D1E46"/>
    <w:rsid w:val="002D3E5D"/>
    <w:rsid w:val="002D4985"/>
    <w:rsid w:val="0031136D"/>
    <w:rsid w:val="0031282E"/>
    <w:rsid w:val="0039697A"/>
    <w:rsid w:val="003C7695"/>
    <w:rsid w:val="003F007E"/>
    <w:rsid w:val="003F61A7"/>
    <w:rsid w:val="003F6A83"/>
    <w:rsid w:val="00401A0D"/>
    <w:rsid w:val="004143E6"/>
    <w:rsid w:val="00426348"/>
    <w:rsid w:val="00437CF5"/>
    <w:rsid w:val="0044428D"/>
    <w:rsid w:val="004633B9"/>
    <w:rsid w:val="00464697"/>
    <w:rsid w:val="00464A62"/>
    <w:rsid w:val="00467A4D"/>
    <w:rsid w:val="004845BD"/>
    <w:rsid w:val="004A584D"/>
    <w:rsid w:val="004B6905"/>
    <w:rsid w:val="004C3A38"/>
    <w:rsid w:val="005040FB"/>
    <w:rsid w:val="005069C4"/>
    <w:rsid w:val="00510B16"/>
    <w:rsid w:val="005515D9"/>
    <w:rsid w:val="00564384"/>
    <w:rsid w:val="00566BC5"/>
    <w:rsid w:val="005A451A"/>
    <w:rsid w:val="005D6C5D"/>
    <w:rsid w:val="005E176A"/>
    <w:rsid w:val="005E5F09"/>
    <w:rsid w:val="005E73AE"/>
    <w:rsid w:val="00615BD8"/>
    <w:rsid w:val="0061799D"/>
    <w:rsid w:val="00622F60"/>
    <w:rsid w:val="00633A05"/>
    <w:rsid w:val="00653173"/>
    <w:rsid w:val="006570F6"/>
    <w:rsid w:val="006634B5"/>
    <w:rsid w:val="00675F96"/>
    <w:rsid w:val="00682D6F"/>
    <w:rsid w:val="006A2924"/>
    <w:rsid w:val="006A2ABF"/>
    <w:rsid w:val="006E14C7"/>
    <w:rsid w:val="006F793F"/>
    <w:rsid w:val="00732C89"/>
    <w:rsid w:val="0074241D"/>
    <w:rsid w:val="00780B27"/>
    <w:rsid w:val="00782079"/>
    <w:rsid w:val="00783CB1"/>
    <w:rsid w:val="007C5E17"/>
    <w:rsid w:val="007D0634"/>
    <w:rsid w:val="007E0596"/>
    <w:rsid w:val="0080420B"/>
    <w:rsid w:val="00804973"/>
    <w:rsid w:val="0082196F"/>
    <w:rsid w:val="00824C55"/>
    <w:rsid w:val="0082625D"/>
    <w:rsid w:val="00831CCF"/>
    <w:rsid w:val="008540C0"/>
    <w:rsid w:val="0087402A"/>
    <w:rsid w:val="008810AA"/>
    <w:rsid w:val="008A0F4B"/>
    <w:rsid w:val="008C5287"/>
    <w:rsid w:val="008D2352"/>
    <w:rsid w:val="008F2FB9"/>
    <w:rsid w:val="008F7290"/>
    <w:rsid w:val="00910F7F"/>
    <w:rsid w:val="00913547"/>
    <w:rsid w:val="00917845"/>
    <w:rsid w:val="0096087C"/>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51CDE"/>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D3C08"/>
    <w:rsid w:val="00EE10C4"/>
    <w:rsid w:val="00EE7855"/>
    <w:rsid w:val="00F10D76"/>
    <w:rsid w:val="00F1183A"/>
    <w:rsid w:val="00F73CC5"/>
    <w:rsid w:val="00F7506D"/>
    <w:rsid w:val="00F76C46"/>
    <w:rsid w:val="00F83267"/>
    <w:rsid w:val="00F93E53"/>
    <w:rsid w:val="00F93EF1"/>
    <w:rsid w:val="00FA6DE3"/>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21" Type="http://schemas.openxmlformats.org/officeDocument/2006/relationships/chart" Target="charts/chart3.xml"/><Relationship Id="rId34" Type="http://schemas.openxmlformats.org/officeDocument/2006/relationships/chart" Target="charts/chart16.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microsoft.com/office/2011/relationships/people" Target="people.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fontTable" Target="fontTable.xml"/><Relationship Id="rId8" Type="http://schemas.microsoft.com/office/2016/09/relationships/commentsIds" Target="commentsIds.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A1FB-4193-9C7C-16A8B2688E02}"/>
            </c:ext>
          </c:extLst>
        </c:ser>
        <c:dLbls>
          <c:dLblPos val="t"/>
          <c:showLegendKey val="0"/>
          <c:showVal val="1"/>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934E-4E29-8468-7A0DFFE4DA4D}"/>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a:t>
            </a:r>
            <a:r>
              <a:rPr lang="en-US" sz="1600" b="1" baseline="0">
                <a:solidFill>
                  <a:schemeClr val="tx1">
                    <a:lumMod val="95000"/>
                    <a:lumOff val="5000"/>
                  </a:schemeClr>
                </a:solidFill>
              </a:rPr>
              <a:t> &amp; Operating </a:t>
            </a:r>
            <a:r>
              <a:rPr lang="en-US" b="1" baseline="0">
                <a:solidFill>
                  <a:schemeClr val="tx1">
                    <a:lumMod val="65000"/>
                    <a:lumOff val="35000"/>
                  </a:schemeClr>
                </a:solidFill>
              </a:rPr>
              <a:t>Income</a:t>
            </a:r>
            <a:endParaRPr lang="en-US" b="1">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Income vs Operating Income'!$A$4</c:f>
              <c:strCache>
                <c:ptCount val="1"/>
                <c:pt idx="0">
                  <c:v>Net income</c:v>
                </c:pt>
              </c:strCache>
            </c:strRef>
          </c:tx>
          <c:spPr>
            <a:ln w="28575" cap="rnd">
              <a:solidFill>
                <a:srgbClr val="1E90FF"/>
              </a:solidFill>
              <a:round/>
            </a:ln>
            <a:effectLst/>
          </c:spPr>
          <c:marker>
            <c:symbol val="none"/>
          </c:marker>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smooth val="0"/>
          <c:extLst>
            <c:ext xmlns:c16="http://schemas.microsoft.com/office/drawing/2014/chart" uri="{C3380CC4-5D6E-409C-BE32-E72D297353CC}">
              <c16:uniqueId val="{00000000-2DFB-4BC9-B553-C5CC6CB148BC}"/>
            </c:ext>
          </c:extLst>
        </c:ser>
        <c:ser>
          <c:idx val="1"/>
          <c:order val="1"/>
          <c:tx>
            <c:strRef>
              <c:f>'Net Income vs Operating Income'!$A$5</c:f>
              <c:strCache>
                <c:ptCount val="1"/>
                <c:pt idx="0">
                  <c:v>Operating income</c:v>
                </c:pt>
              </c:strCache>
            </c:strRef>
          </c:tx>
          <c:spPr>
            <a:ln w="28575" cap="rnd">
              <a:solidFill>
                <a:srgbClr val="E50914"/>
              </a:solidFill>
              <a:round/>
            </a:ln>
            <a:effectLst/>
          </c:spPr>
          <c:marker>
            <c:symbol val="none"/>
          </c:marker>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smooth val="0"/>
          <c:extLst>
            <c:ext xmlns:c16="http://schemas.microsoft.com/office/drawing/2014/chart" uri="{C3380CC4-5D6E-409C-BE32-E72D297353CC}">
              <c16:uniqueId val="{00000001-2DFB-4BC9-B553-C5CC6CB148BC}"/>
            </c:ext>
          </c:extLst>
        </c:ser>
        <c:dLbls>
          <c:showLegendKey val="0"/>
          <c:showVal val="0"/>
          <c:showCatName val="0"/>
          <c:showSerName val="0"/>
          <c:showPercent val="0"/>
          <c:showBubbleSize val="0"/>
        </c:dLbls>
        <c:smooth val="0"/>
        <c:axId val="510048352"/>
        <c:axId val="510027712"/>
      </c:lineChart>
      <c:catAx>
        <c:axId val="51004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10027712"/>
        <c:crosses val="autoZero"/>
        <c:auto val="1"/>
        <c:lblAlgn val="ctr"/>
        <c:lblOffset val="100"/>
        <c:noMultiLvlLbl val="0"/>
      </c:catAx>
      <c:valAx>
        <c:axId val="510027712"/>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10048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a:t>
            </a:r>
            <a:r>
              <a:rPr lang="en-US" baseline="0">
                <a:solidFill>
                  <a:schemeClr val="tx1">
                    <a:lumMod val="65000"/>
                    <a:lumOff val="35000"/>
                  </a:schemeClr>
                </a:solidFill>
              </a:rPr>
              <a:t>Margin vs </a:t>
            </a:r>
            <a:r>
              <a:rPr lang="en-US" sz="1600" b="1" baseline="0">
                <a:solidFill>
                  <a:schemeClr val="tx1">
                    <a:lumMod val="95000"/>
                    <a:lumOff val="5000"/>
                  </a:schemeClr>
                </a:solidFill>
              </a:rPr>
              <a:t>Gross</a:t>
            </a:r>
            <a:r>
              <a:rPr lang="en-US" baseline="0"/>
              <a:t> </a:t>
            </a:r>
            <a:r>
              <a:rPr lang="en-US" baseline="0">
                <a:solidFill>
                  <a:schemeClr val="tx1">
                    <a:lumMod val="65000"/>
                    <a:lumOff val="35000"/>
                  </a:schemeClr>
                </a:solidFill>
              </a:rPr>
              <a:t>Margin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F386-48BF-87C5-0C57B88887ED}"/>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5015-47F3-8B84-E3070C661EDF}"/>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8233-45CD-9667-42B65273D55B}"/>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32241</TotalTime>
  <Pages>20</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73</cp:revision>
  <dcterms:created xsi:type="dcterms:W3CDTF">2024-05-31T14:20:00Z</dcterms:created>
  <dcterms:modified xsi:type="dcterms:W3CDTF">2024-06-27T15:57:00Z</dcterms:modified>
</cp:coreProperties>
</file>