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created a Java program call ASM_Similarity.java that closely follows the bit shredding technique described in the Adkins and Upchurch paper. ASM_Similarity goes through 4 phases to complete the comparison of 2 executable files. Since this program was written up in a short amount of time, there is much further refinement to be done.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of objdump to output the file into a .asm file. The reason I currently chose objdump was because it uses AT&amp;T syntax, where IDA Pro uses NASM/Intel syntax. AT&amp;T syntax allows for me to more easily parse the asm file when normalizing, as registers are marked with %, constants marked with $, etc. The normalizing script could be modified to handle NASM/Intel syntax as well.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normalization of the file. These means making the code more generic through the following modifications: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comments added by ObjDump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specific registers with “REG”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labels, for example "00000000004008d0 &lt;fputs@plt&gt;:" to "LABEL:"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constants with “CONST”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specific locations with “LOC”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variables with “VAR’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following example is a piece of code before and after it has been normalized: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0000000000400860 &lt;_init&gt;: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sub    $0x8,%rsp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mov    0x20178d(%rip),%rax        # 601ff8 &lt;_DYNAMIC+0x1e0&gt;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test   %rax,%rax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     400875 &lt;_init+0x15&gt;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callq  4009a0 &lt;socket@plt+0x10&gt;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   $0x8,%rsp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retq 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LOCAL-LABEL: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sub    CONST,%REG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mov    VAR(%REG),%REG      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test   %REG,%REG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     LOC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callq  LOC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   CONST,%REG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retq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files have been normalized, we shred the file into n-grams. These n-grams are then hashed into a hash table.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compare the hash table. Using the Jaccard index, we return a percentage similarity between the two files.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Results are contained in the spreadsheets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