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spacing w:before="0" w:after="80"/>
            </w:pPr>
            <w:r>
              <w:rPr>
                <w:b/>
                <w:color w:val="93C5FD"/>
                <w:sz w:val="18"/>
              </w:rPr>
              <w:t>ТЕХНИЧЕСКИЙ ПАСПОРТ И ИНВЕСТИЦИОННЫЙ ОТЧЕТ</w:t>
            </w:r>
          </w:p>
          <w:p>
            <w:pPr>
              <w:spacing w:before="40" w:after="120"/>
            </w:pPr>
            <w:r>
              <w:rPr>
                <w:b/>
                <w:color w:val="FFFFFF"/>
                <w:sz w:val="40"/>
              </w:rPr>
              <w:t>CardHub — Платформа Цифровых NFC-визиток</w:t>
            </w:r>
          </w:p>
          <w:p>
            <w:pPr>
              <w:spacing w:before="0" w:after="0"/>
            </w:pPr>
            <w:r>
              <w:rPr>
                <w:color w:val="CBD5E1"/>
                <w:sz w:val="21"/>
              </w:rPr>
              <w:t>Архитектура системы, статус готовности (98%), юридическо-финансовая модель для самозанятого и пошаговый план коммерческого запуска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4748B"/>
                <w:sz w:val="17"/>
              </w:rPr>
              <w:t>Статус проекта</w:t>
            </w:r>
          </w:p>
        </w:tc>
        <w:tc>
          <w:tcPr>
            <w:tcW w:type="dxa" w:w="26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Код готов (98%), 58/58 тестов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4748B"/>
                <w:sz w:val="17"/>
              </w:rPr>
              <w:t>Роли участников</w:t>
            </w:r>
          </w:p>
        </w:tc>
        <w:tc>
          <w:tcPr>
            <w:tcW w:type="dxa" w:w="26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Разработчик (CTO) + Инвестор</w:t>
            </w:r>
          </w:p>
        </w:tc>
      </w:tr>
      <w:tr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4748B"/>
                <w:sz w:val="17"/>
              </w:rPr>
              <w:t>Форма деятельности</w:t>
            </w:r>
          </w:p>
        </w:tc>
        <w:tc>
          <w:tcPr>
            <w:tcW w:type="dxa" w:w="26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Самозанятость (НПД) без ККТ 54-ФЗ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4748B"/>
                <w:sz w:val="17"/>
              </w:rPr>
              <w:t>Срок до запуска</w:t>
            </w:r>
          </w:p>
        </w:tc>
        <w:tc>
          <w:tcPr>
            <w:tcW w:type="dxa" w:w="26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3–5 рабочих дней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b/>
          <w:color w:val="2563EB"/>
          <w:sz w:val="32"/>
        </w:rPr>
        <w:t>1. Резюме проекта (Executive Summary)</w:t>
      </w:r>
    </w:p>
    <w:p>
      <w:r>
        <w:t>«CardHub» — это готовый высокотехнологичный облачный сервис (SaaS) для создания, настройки, мгновенного шеринга и аналитики персональных и корпоративных цифровых визиток с использованием технологий NFC (бесконтактный чип) и динамических QR-кодов. Продукт разработан с прицелом на российский рынок с жестким соблюдением законов РФ (152-ФЗ, 149-ФЗ, 242-ФЗ) и стандартов безопасности OWASP.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b/>
                <w:color w:val="2563EB"/>
                <w:sz w:val="21"/>
              </w:rPr>
              <w:t>Ценностное предложение для клиента</w:t>
              <w:br/>
            </w:r>
            <w:r>
              <w:rPr>
                <w:color w:val="0F172A"/>
                <w:sz w:val="19"/>
              </w:rPr>
              <w:t>Сервис решает фундаментальную проблему классических бумажных визиток: 88% бумажных карточек выбрасываются в течение недели, контакты не сохраняются в телефон, а данные устаревают при первой смене должности или номера. С CardHub контакт передается в записную книжку смартфона за 1 секунду простым касанием карты к телефону.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0F172A"/>
          <w:sz w:val="25"/>
        </w:rPr>
        <w:t>Ключевые целевые аудитории и монетизация:</w:t>
      </w:r>
    </w:p>
    <w:p>
      <w:pPr>
        <w:pStyle w:val="ListBullet"/>
        <w:spacing w:before="20" w:after="40" w:line="269" w:lineRule="auto"/>
      </w:pPr>
      <w:r>
        <w:rPr>
          <w:b/>
          <w:color w:val="0F172A"/>
        </w:rPr>
        <w:t xml:space="preserve">B2C сегмент: </w:t>
      </w:r>
      <w:r>
        <w:rPr>
          <w:color w:val="0F172A"/>
        </w:rPr>
        <w:t>предприниматели, риелторы, юристы, консультанты, топ-менеджеры, врачи, блогеры. Покупают персональный тариф (290 ₽/мес или 2 900 ₽/год).</w:t>
      </w:r>
    </w:p>
    <w:p>
      <w:pPr>
        <w:pStyle w:val="ListBullet"/>
        <w:spacing w:before="20" w:after="40" w:line="269" w:lineRule="auto"/>
      </w:pPr>
      <w:r>
        <w:rPr>
          <w:b/>
          <w:color w:val="0F172A"/>
        </w:rPr>
        <w:t xml:space="preserve">B2B сегмент: </w:t>
      </w:r>
      <w:r>
        <w:rPr>
          <w:color w:val="0F172A"/>
        </w:rPr>
        <w:t>отделы продаж, IT-компании, агентства недвижимости, банки, корпорации. Покупают тариф Pro (1 490 ₽/мес или 14 900 ₽/год за 10 сотрудников + расширение), брендируют визитки в фирменном стиле компании и централизованно управляют контактами.</w:t>
      </w:r>
    </w:p>
    <w:p>
      <w:pPr>
        <w:pStyle w:val="ListBullet"/>
        <w:spacing w:before="20" w:after="40" w:line="269" w:lineRule="auto"/>
      </w:pPr>
      <w:r>
        <w:rPr>
          <w:b/>
          <w:color w:val="0F172A"/>
        </w:rPr>
        <w:t xml:space="preserve">Апсейл физических носителей: </w:t>
      </w:r>
      <w:r>
        <w:rPr>
          <w:color w:val="0F172A"/>
        </w:rPr>
        <w:t>потенциал дополнительной высокомаржинальной продажи брендированных пластиковых NFC-карт, металлических карт и стикеров с наценкой до 300–500%.</w:t>
      </w:r>
    </w:p>
    <w:p>
      <w:pPr>
        <w:keepNext/>
        <w:spacing w:before="320" w:after="120"/>
      </w:pPr>
      <w:r>
        <w:rPr>
          <w:b/>
          <w:color w:val="2563EB"/>
          <w:sz w:val="32"/>
        </w:rPr>
        <w:t>2. Оценка степени готовности проекта: 98% (код)</w:t>
      </w:r>
    </w:p>
    <w:p>
      <w:r>
        <w:t xml:space="preserve">В проекте полностью закрыты все технические этапы разработки (Этапы 1–6 ТЗ). Проведено полное автоматизированное тестирование: </w:t>
      </w:r>
      <w:r>
        <w:rPr>
          <w:b/>
        </w:rPr>
        <w:t>успешно проходят все 58 из 58 тестов (100% test pass rate).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Компонент / Модуль</w:t>
            </w:r>
          </w:p>
        </w:tc>
        <w:tc>
          <w:tcPr>
            <w:tcW w:type="dxa" w:w="4608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Реализованный стек / Функционал</w:t>
            </w:r>
          </w:p>
        </w:tc>
        <w:tc>
          <w:tcPr>
            <w:tcW w:type="dxa" w:w="1296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Тесты</w:t>
            </w:r>
          </w:p>
        </w:tc>
        <w:tc>
          <w:tcPr>
            <w:tcW w:type="dxa" w:w="144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Готовность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Ядро и Auth</w:t>
            </w:r>
          </w:p>
        </w:tc>
        <w:tc>
          <w:tcPr>
            <w:tcW w:type="dxa" w:w="46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Argon2id хэширование, HttpOnly Cookie сессии, защита от IDOR и брутфорса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12 тестов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6A34A"/>
                <w:sz w:val="17"/>
              </w:rPr>
              <w:t>100%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Конструктор визиток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vCard 3.0, QR-генератор, очистка метаданных EXIF (Sharp), slug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10 тестов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6A34A"/>
                <w:sz w:val="17"/>
              </w:rPr>
              <w:t>100%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NFC &amp; Аналитика</w:t>
            </w:r>
          </w:p>
        </w:tc>
        <w:tc>
          <w:tcPr>
            <w:tcW w:type="dxa" w:w="46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Web NFC API прямо в браузере (NTAG213/215/216), учет NFC/QR/Direct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6 тестов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6A34A"/>
                <w:sz w:val="17"/>
              </w:rPr>
              <w:t>100%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B2B Корпорации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Компании, приглашение сотрудников, аудит-лог, экспорт CSV для типографий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9 тестов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6A34A"/>
                <w:sz w:val="17"/>
              </w:rPr>
              <w:t>100%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Биллинг и подписки</w:t>
            </w:r>
          </w:p>
        </w:tc>
        <w:tc>
          <w:tcPr>
            <w:tcW w:type="dxa" w:w="46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Адаптер эквайринга, автопродление, grace-период 7 дней, mock-песочница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6 тестов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6A34A"/>
                <w:sz w:val="17"/>
              </w:rPr>
              <w:t>100%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Безопасность и 152-ФЗ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TOTP 2FA (AES-256-GCM), право на забвение (Cron), экспорт JSON, 149-ФЗ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15 тестов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6A34A"/>
                <w:sz w:val="17"/>
              </w:rPr>
              <w:t>100%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Mobile UX / DevOps</w:t>
            </w:r>
          </w:p>
        </w:tc>
        <w:tc>
          <w:tcPr>
            <w:tcW w:type="dxa" w:w="46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Mobile First адаптация, Docker Compose, Nginx, Certbot SSL, автобэкапы БД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Интегр.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6A34A"/>
                <w:sz w:val="17"/>
              </w:rPr>
              <w:t>95% (нужен VPS)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2563EB"/>
          <w:sz w:val="32"/>
        </w:rPr>
        <w:t>3. Архитектурный стек и технологические преимущества</w:t>
      </w:r>
    </w:p>
    <w:p>
      <w:r>
        <w:t>Проект спроектирован по модульной микросервисно-ориентированной архитектуре на базе современного промышленного стека технологий. Это обеспечивает колоссальную производительность при минимальных затратах на серверную инфраструктуру (один базовый VPS за 700 ₽/мес легко выдерживает до 100 000 визиток).</w:t>
      </w:r>
    </w:p>
    <w:p>
      <w:pPr>
        <w:pStyle w:val="ListBullet"/>
        <w:spacing w:before="20" w:after="40" w:line="269" w:lineRule="auto"/>
      </w:pPr>
      <w:r>
        <w:rPr>
          <w:b/>
          <w:color w:val="0F172A"/>
        </w:rPr>
        <w:t xml:space="preserve">Frontend &amp; Application Layer: </w:t>
      </w:r>
      <w:r>
        <w:rPr>
          <w:color w:val="0F172A"/>
        </w:rPr>
        <w:t>Next.js 16 (React 19, TypeScript, App Router) с режимом standalone-сборки. Максимальная скорость рендеринга страниц визиток (Server Components) и превосходный SEO.</w:t>
      </w:r>
    </w:p>
    <w:p>
      <w:pPr>
        <w:pStyle w:val="ListBullet"/>
        <w:spacing w:before="20" w:after="40" w:line="269" w:lineRule="auto"/>
      </w:pPr>
      <w:r>
        <w:rPr>
          <w:b/>
          <w:color w:val="0F172A"/>
        </w:rPr>
        <w:t xml:space="preserve">База данных: </w:t>
      </w:r>
      <w:r>
        <w:rPr>
          <w:color w:val="0F172A"/>
        </w:rPr>
        <w:t>PostgreSQL 16 с ORM Prisma. Реляционная надежность данных, строгие внешние ключи, транзакционность оплат и структурированное хранение согласий 152-ФЗ.</w:t>
      </w:r>
    </w:p>
    <w:p>
      <w:pPr>
        <w:pStyle w:val="ListBullet"/>
        <w:spacing w:before="20" w:after="40" w:line="269" w:lineRule="auto"/>
      </w:pPr>
      <w:r>
        <w:rPr>
          <w:b/>
          <w:color w:val="0F172A"/>
        </w:rPr>
        <w:t xml:space="preserve">Кэширование и защита: </w:t>
      </w:r>
      <w:r>
        <w:rPr>
          <w:color w:val="0F172A"/>
        </w:rPr>
        <w:t>Redis 7 (In-Memory). Кэширование популярных визиток, скользящее окно Rate Limiting (защита от DDoS и спам-запросов к API).</w:t>
      </w:r>
    </w:p>
    <w:p>
      <w:pPr>
        <w:pStyle w:val="ListBullet"/>
        <w:spacing w:before="20" w:after="40" w:line="269" w:lineRule="auto"/>
      </w:pPr>
      <w:r>
        <w:rPr>
          <w:b/>
          <w:color w:val="0F172A"/>
        </w:rPr>
        <w:t xml:space="preserve">Аппаратный NFC-модуль: </w:t>
      </w:r>
      <w:r>
        <w:rPr>
          <w:color w:val="0F172A"/>
        </w:rPr>
        <w:t>Web NFC API (нативный стандарт W3C). Запись чипа происходит напрямую со страницы браузера без требования устанавливать сторонние мобильные приложения.</w:t>
      </w:r>
    </w:p>
    <w:p>
      <w:pPr>
        <w:pStyle w:val="ListBullet"/>
        <w:spacing w:before="20" w:after="40" w:line="269" w:lineRule="auto"/>
      </w:pPr>
      <w:r>
        <w:rPr>
          <w:b/>
          <w:color w:val="0F172A"/>
        </w:rPr>
        <w:t xml:space="preserve">Медиа-процессинг: </w:t>
      </w:r>
      <w:r>
        <w:rPr>
          <w:color w:val="0F172A"/>
        </w:rPr>
        <w:t>Sharp (высокопроизводительный C++ движок обработки медиа). Мгновенно конвертирует аватарки и обложки в WebP со сжатием 85% и вырезает геолокационные метки.</w:t>
      </w:r>
    </w:p>
    <w:p>
      <w:pPr>
        <w:pStyle w:val="ListBullet"/>
        <w:spacing w:before="20" w:after="40" w:line="269" w:lineRule="auto"/>
      </w:pPr>
      <w:r>
        <w:rPr>
          <w:b/>
          <w:color w:val="0F172A"/>
        </w:rPr>
        <w:t xml:space="preserve">DevOps и инфраструктура: </w:t>
      </w:r>
      <w:r>
        <w:rPr>
          <w:color w:val="0F172A"/>
        </w:rPr>
        <w:t>Полная контейнеризация через Docker Compose (PostgreSQL, Redis, Next.js, Nginx, Certbot). Развертывание и перенос сервиса на любой сервер выполняется за 5 минут.</w:t>
      </w:r>
    </w:p>
    <w:p>
      <w:pPr>
        <w:keepNext/>
        <w:spacing w:before="320" w:after="120"/>
      </w:pPr>
      <w:r>
        <w:rPr>
          <w:b/>
          <w:color w:val="2563EB"/>
          <w:sz w:val="32"/>
        </w:rPr>
        <w:t>4. Финансово-правовая модель: Самозанятость (НПД)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b/>
                <w:color w:val="2563EB"/>
                <w:sz w:val="21"/>
              </w:rPr>
              <w:t>Финансовая оптимизация старта</w:t>
              <w:br/>
            </w:r>
            <w:r>
              <w:rPr>
                <w:color w:val="0F172A"/>
                <w:sz w:val="19"/>
              </w:rPr>
              <w:t>КЛЮЧЕВОЙ СТРАТЕГИЧЕСКИЙ ВЫВОД ДЛЯ ИНВЕСТОРА:</w:t>
              <w:br/>
              <w:t>Статус разработчика как «Самозанятого» (плательщика налога на профессиональный доход) — это мощнейшее финансовое преимущество на этапе запуска. Мы законно экономим до 50 000 рублей на старте на покупке кассы и фискального накопителя, освобождены от фиксированных взносов ИП и отчетов в налоговую, сохраняя при этом 100% легальный прием платежей картами и СБП.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0F172A"/>
          <w:sz w:val="25"/>
        </w:rPr>
        <w:t>1. Законное освобождение от онлайн-касс (54-ФЗ):</w:t>
      </w:r>
    </w:p>
    <w:p>
      <w:r>
        <w:t>Согласно пункту 2.2 статьи 2 Федерального закона № 54-ФЗ, плательщики НПД освобождены от применения контрольно-кассовой техники (ККТ). Это означает, что проекту НЕ ТРЕБУЕТСЯ покупка онлайн-кассы (Атол, Orange Data и т.д.), оплата фискального накопителя и услуг ОФД.</w:t>
      </w:r>
    </w:p>
    <w:p>
      <w:pPr>
        <w:keepNext/>
        <w:spacing w:before="240" w:after="80"/>
      </w:pPr>
      <w:r>
        <w:rPr>
          <w:b/>
          <w:color w:val="0F172A"/>
          <w:sz w:val="25"/>
        </w:rPr>
        <w:t>2. Как устроен прием онлайн-платежей:</w:t>
      </w:r>
    </w:p>
    <w:p>
      <w:pPr>
        <w:pStyle w:val="ListBullet"/>
        <w:spacing w:before="20" w:after="40" w:line="269" w:lineRule="auto"/>
      </w:pPr>
      <w:r>
        <w:rPr>
          <w:b/>
          <w:color w:val="0F172A"/>
        </w:rPr>
        <w:t xml:space="preserve">Эквайринг через ЮKassa: </w:t>
      </w:r>
      <w:r>
        <w:rPr>
          <w:color w:val="0F172A"/>
        </w:rPr>
        <w:t>ЮKassa предоставляет официальный режим работы с самозанятыми гражданами РФ. Доступен прием карт МИР, Visa, Mastercard, SberPay, СБП и T-Pay.</w:t>
      </w:r>
    </w:p>
    <w:p>
      <w:pPr>
        <w:pStyle w:val="ListBullet"/>
        <w:spacing w:before="20" w:after="40" w:line="269" w:lineRule="auto"/>
      </w:pPr>
      <w:r>
        <w:rPr>
          <w:b/>
          <w:color w:val="0F172A"/>
        </w:rPr>
        <w:t xml:space="preserve">Автоматическая фискализация: </w:t>
      </w:r>
      <w:r>
        <w:rPr>
          <w:color w:val="0F172A"/>
        </w:rPr>
        <w:t>При регистрации в личном кабинете ЮKassa привязывается аккаунт приложения «Мой налог». При каждой успешной оплате подписки ЮKassa сама автоматически отправляет данные о доходе в ФНС и формирует электронный чек для покупателя.</w:t>
      </w:r>
    </w:p>
    <w:p>
      <w:pPr>
        <w:pStyle w:val="ListBullet"/>
        <w:spacing w:before="20" w:after="40" w:line="269" w:lineRule="auto"/>
      </w:pPr>
      <w:r>
        <w:rPr>
          <w:b/>
          <w:color w:val="0F172A"/>
        </w:rPr>
        <w:t xml:space="preserve">Резервные провайдеры: </w:t>
      </w:r>
      <w:r>
        <w:rPr>
          <w:color w:val="0F172A"/>
        </w:rPr>
        <w:t>В случае необходимости альтернативы (например, прием зарубежных карт или рассрочки) проект за 1 день интегрируется с Prodamus или Robokassa, которые также работают с самозанятыми.</w:t>
      </w:r>
    </w:p>
    <w:p>
      <w:pPr>
        <w:keepNext/>
        <w:spacing w:before="240" w:after="80"/>
      </w:pPr>
      <w:r>
        <w:rPr>
          <w:b/>
          <w:color w:val="0F172A"/>
          <w:sz w:val="25"/>
        </w:rPr>
        <w:t>3. Налоговая нагрузка и лимиты:</w:t>
      </w:r>
    </w:p>
    <w:p>
      <w:pPr>
        <w:pStyle w:val="ListBullet"/>
        <w:spacing w:before="20" w:after="40" w:line="269" w:lineRule="auto"/>
      </w:pPr>
      <w:r>
        <w:rPr>
          <w:b/>
          <w:color w:val="0F172A"/>
        </w:rPr>
        <w:t xml:space="preserve">Ставка налога B2C: </w:t>
      </w:r>
      <w:r>
        <w:rPr>
          <w:color w:val="0F172A"/>
        </w:rPr>
        <w:t>4% с доходов от физических лиц (пользователи тарифа «Обычный»).</w:t>
      </w:r>
    </w:p>
    <w:p>
      <w:pPr>
        <w:pStyle w:val="ListBullet"/>
        <w:spacing w:before="20" w:after="40" w:line="269" w:lineRule="auto"/>
      </w:pPr>
      <w:r>
        <w:rPr>
          <w:b/>
          <w:color w:val="0F172A"/>
        </w:rPr>
        <w:t xml:space="preserve">Ставка налога B2B: </w:t>
      </w:r>
      <w:r>
        <w:rPr>
          <w:color w:val="0F172A"/>
        </w:rPr>
        <w:t>6% с доходов от юридических лиц и ИП (корпоративные клиенты тарифа «Pro»).</w:t>
      </w:r>
    </w:p>
    <w:p>
      <w:pPr>
        <w:pStyle w:val="ListBullet"/>
        <w:spacing w:before="20" w:after="40" w:line="269" w:lineRule="auto"/>
      </w:pPr>
      <w:r>
        <w:rPr>
          <w:b/>
          <w:color w:val="0F172A"/>
        </w:rPr>
        <w:t xml:space="preserve">Порог масштабирования: </w:t>
      </w:r>
      <w:r>
        <w:rPr>
          <w:color w:val="0F172A"/>
        </w:rPr>
        <w:t>предельный доход самозанятого составляет 2 400 000 рублей в год. При приближении к этой отметке проект плавно переоформляется на ИП (УСН Доходы 6%), архитектура и код уже полностью готовы к переключению на онлайн-кассу за 1 час.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024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3456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Модель: Самозанятость (наш выбор)</w:t>
            </w:r>
          </w:p>
        </w:tc>
        <w:tc>
          <w:tcPr>
            <w:tcW w:type="dxa" w:w="3456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Модель: Классическое ИП / ООО</w:t>
            </w:r>
          </w:p>
        </w:tc>
      </w:tr>
      <w:tr>
        <w:tc>
          <w:tcPr>
            <w:tcW w:type="dxa" w:w="302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Онлайн-касса (54-ФЗ)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0 ₽ (освобождены по п.2.2 ст.2 54-ФЗ)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35 000 – 50 000 ₽/год (касса + ФН + ОФД)</w:t>
            </w:r>
          </w:p>
        </w:tc>
      </w:tr>
      <w:tr>
        <w:tc>
          <w:tcPr>
            <w:tcW w:type="dxa" w:w="302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Бухгалтерия и отчетность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0 ₽ (чеки и налог в приложении «Мой налог»)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20 000 – 40 000 ₽/год (бухгалтер/сервис)</w:t>
            </w:r>
          </w:p>
        </w:tc>
      </w:tr>
      <w:tr>
        <w:tc>
          <w:tcPr>
            <w:tcW w:type="dxa" w:w="302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Обязательные взносы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0 ₽ (платятся только налоги с реального дохода)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53 658 ₽/год (даже при 0 выручки)</w:t>
            </w:r>
          </w:p>
        </w:tc>
      </w:tr>
      <w:tr>
        <w:tc>
          <w:tcPr>
            <w:tcW w:type="dxa" w:w="302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Скорость запуска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1–2 рабочих дня (онлайн)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1–2 недели (открытие счетов, ЭЦП, касса)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2563EB"/>
          <w:sz w:val="32"/>
        </w:rPr>
        <w:t>5. Инвестиционная смета и операционные расходы</w:t>
      </w:r>
    </w:p>
    <w:p>
      <w:r>
        <w:t>Благодаря завершенной разработке и использованию модели самозанятости, проект CardHub требует минимальных инвестиций для вывода в боевую эксплуатацию. Фактически инвестиции требуются только на оплату хостинга, домена и маркетинг.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Статья расходов</w:t>
            </w:r>
          </w:p>
        </w:tc>
        <w:tc>
          <w:tcPr>
            <w:tcW w:type="dxa" w:w="3888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Назначение</w:t>
            </w:r>
          </w:p>
        </w:tc>
        <w:tc>
          <w:tcPr>
            <w:tcW w:type="dxa" w:w="1584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Сумма</w:t>
            </w:r>
          </w:p>
        </w:tc>
        <w:tc>
          <w:tcPr>
            <w:tcW w:type="dxa" w:w="1872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Периодичность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Доменное имя (.ru)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Покупка премиального или рабочего домена (Reg.ru / Beget)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300 ₽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 раз в год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Сервер VPS в РФ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2–4 ядра CPU, 4–8 GB RAM, NVMe SSD (Timeweb Cloud / Selectel)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700 – 1 200 ₽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Ежемесячно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SSL-сертификат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Let's Encrypt Wildcard SSL с автопродлением в Certbot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0 ₽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Бесплатно навсегда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Корпоративная почта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Почта для домена (Яндекс 360 / VK WorkMail для noreply@)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0 ₽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Бесплатный тариф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Тестовая партия чипов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Заказ 20–30 тестовых NFC-стикеров NTAG213 для проверок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1 500 ₽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Разово (CAPEX)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b/>
                <w:color w:val="2563EB"/>
                <w:sz w:val="21"/>
              </w:rPr>
              <w:t>Финансовый вывод по смете</w:t>
              <w:br/>
            </w:r>
            <w:r>
              <w:rPr>
                <w:color w:val="0F172A"/>
                <w:sz w:val="19"/>
              </w:rPr>
              <w:t>ИТОГО СТАРТОВЫЙ БЮДЖЕТ ДО ПЕРВЫХ ПРОДАЖ: ~2 500 – 3 000 ₽.</w:t>
              <w:br/>
              <w:t>Ежемесячные постоянные расходы (OPEX): ~800 – 1 200 ₽.</w:t>
              <w:br/>
              <w:t>Маржинальность цифрового продукта превышает 92% (остаток после налога 4-6% и комиссии эквайринга ~3%).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b/>
          <w:color w:val="2563EB"/>
          <w:sz w:val="32"/>
        </w:rPr>
        <w:t>6. Юнит-экономика и потенциал доходности</w:t>
      </w:r>
    </w:p>
    <w:p>
      <w:r>
        <w:t>В системе запрограммированы два базовых тарифных плана с высокой конверсией в повторные продления благодаря встроенному автоплатежу (рекуррентные списания):</w:t>
      </w:r>
    </w:p>
    <w:p>
      <w:pPr>
        <w:pStyle w:val="ListBullet"/>
        <w:spacing w:before="20" w:after="40" w:line="269" w:lineRule="auto"/>
      </w:pPr>
      <w:r>
        <w:rPr>
          <w:b/>
          <w:color w:val="0F172A"/>
        </w:rPr>
        <w:t xml:space="preserve">Тариф «Обычный» (B2C): </w:t>
      </w:r>
      <w:r>
        <w:rPr>
          <w:color w:val="0F172A"/>
        </w:rPr>
        <w:t>290 ₽ в месяц либо 2 900 ₽ в год. Привлечение 100 активных пользователей дает 29 000 ₽/мес пассивной выручки при расходах на сервер всего 1 000 ₽.</w:t>
      </w:r>
    </w:p>
    <w:p>
      <w:pPr>
        <w:pStyle w:val="ListBullet"/>
        <w:spacing w:before="20" w:after="40" w:line="269" w:lineRule="auto"/>
      </w:pPr>
      <w:r>
        <w:rPr>
          <w:b/>
          <w:color w:val="0F172A"/>
        </w:rPr>
        <w:t xml:space="preserve">Тариф «Pro» (B2B): </w:t>
      </w:r>
      <w:r>
        <w:rPr>
          <w:color w:val="0F172A"/>
        </w:rPr>
        <w:t>1 490 ₽ в месяц либо 14 900 ₽ в год (до 10 сотрудников). Привлечение всего 30 корпоративных клиентов (агентства недвижимости, клиники, юрбюро) дает 44 700 ₽/мес.</w:t>
      </w:r>
    </w:p>
    <w:p>
      <w:pPr>
        <w:pStyle w:val="ListBullet"/>
        <w:spacing w:before="20" w:after="40" w:line="269" w:lineRule="auto"/>
      </w:pPr>
      <w:r>
        <w:rPr>
          <w:b/>
          <w:color w:val="0F172A"/>
        </w:rPr>
        <w:t xml:space="preserve">Продажа физических носителей: </w:t>
      </w:r>
      <w:r>
        <w:rPr>
          <w:color w:val="0F172A"/>
        </w:rPr>
        <w:t>продажа физических пластиковых карт с NFC (себестоимость заготовки ~40–70 ₽, цена продажи клиенту 990–1 990 ₽ с индивидуальной гравировкой или печатью).</w:t>
      </w:r>
    </w:p>
    <w:p>
      <w:pPr>
        <w:keepNext/>
        <w:spacing w:before="320" w:after="120"/>
      </w:pPr>
      <w:r>
        <w:rPr>
          <w:b/>
          <w:color w:val="2563EB"/>
          <w:sz w:val="32"/>
        </w:rPr>
        <w:t>7. Дорожная карта вывода в продакшен (3–5 рабочих дней)</w:t>
      </w:r>
    </w:p>
    <w:p>
      <w:pPr>
        <w:pStyle w:val="ListBullet"/>
        <w:spacing w:before="20" w:after="40" w:line="269" w:lineRule="auto"/>
      </w:pPr>
      <w:r>
        <w:rPr>
          <w:b/>
          <w:color w:val="0F172A"/>
        </w:rPr>
        <w:t xml:space="preserve">День 1: Регистрация и эквайринг: </w:t>
      </w:r>
      <w:r>
        <w:rPr>
          <w:color w:val="0F172A"/>
        </w:rPr>
        <w:t>Разработчик подает онлайн-заявку в ЮKassa как самозанятый, подключает авто-фискализацию «Мой налог». Покупка домена (.ru) и заказ VPS сервера в РФ.</w:t>
      </w:r>
    </w:p>
    <w:p>
      <w:pPr>
        <w:pStyle w:val="ListBullet"/>
        <w:spacing w:before="20" w:after="40" w:line="269" w:lineRule="auto"/>
      </w:pPr>
      <w:r>
        <w:rPr>
          <w:b/>
          <w:color w:val="0F172A"/>
        </w:rPr>
        <w:t xml:space="preserve">День 2: Развертывание инфраструктуры: </w:t>
      </w:r>
      <w:r>
        <w:rPr>
          <w:color w:val="0F172A"/>
        </w:rPr>
        <w:t>Клонирование репозитория на боевой сервер, запуск скрипта выпуска SSL-сертификата Let's Encrypt, подъем контейнеров в Docker Compose (App + Postgres + Redis + Nginx).</w:t>
      </w:r>
    </w:p>
    <w:p>
      <w:pPr>
        <w:pStyle w:val="ListBullet"/>
        <w:spacing w:before="20" w:after="40" w:line="269" w:lineRule="auto"/>
      </w:pPr>
      <w:r>
        <w:rPr>
          <w:b/>
          <w:color w:val="0F172A"/>
        </w:rPr>
        <w:t xml:space="preserve">День 3: Юридическая настройка и почта: </w:t>
      </w:r>
      <w:r>
        <w:rPr>
          <w:color w:val="0F172A"/>
        </w:rPr>
        <w:t>Заполнение ФИО и ИНН разработчика в текстах Публичной оферты и Политике 152-ФЗ. Подключение корпоративной почты домена, отправка онлайн-уведомления в Роскомнадзор.</w:t>
      </w:r>
    </w:p>
    <w:p>
      <w:pPr>
        <w:pStyle w:val="ListBullet"/>
        <w:spacing w:before="20" w:after="40" w:line="269" w:lineRule="auto"/>
      </w:pPr>
      <w:r>
        <w:rPr>
          <w:b/>
          <w:color w:val="0F172A"/>
        </w:rPr>
        <w:t xml:space="preserve">День 4: Сквозное тестирование платежей: </w:t>
      </w:r>
      <w:r>
        <w:rPr>
          <w:color w:val="0F172A"/>
        </w:rPr>
        <w:t>Перевод ЮKassa из песочницы в боевой режим. Тестовая оплата подписки реальной картой, проверка прихода чека в приложение «Мой налог» и активации тарифа Pro.</w:t>
      </w:r>
    </w:p>
    <w:p>
      <w:pPr>
        <w:pStyle w:val="ListBullet"/>
        <w:spacing w:before="20" w:after="40" w:line="269" w:lineRule="auto"/>
      </w:pPr>
      <w:r>
        <w:rPr>
          <w:b/>
          <w:color w:val="0F172A"/>
        </w:rPr>
        <w:t xml:space="preserve">День 5: Официальный релиз и маркетинг: </w:t>
      </w:r>
      <w:r>
        <w:rPr>
          <w:color w:val="0F172A"/>
        </w:rPr>
        <w:t>Открытие регистрации для первых пользователей, запуск рекламных каналов и прямых продаж в B2B.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2563EB"/>
                <w:sz w:val="20"/>
              </w:rPr>
              <w:t>ЗАКЛЮЧЕНИЕ ДЛЯ ПАРТНЕРОВ:</w:t>
              <w:br/>
            </w:r>
            <w:r>
              <w:rPr>
                <w:sz w:val="19"/>
              </w:rPr>
              <w:t>Проект CardHub находится в точке максимальной инвестиционной привлекательности: фаза длительной и дорогостоящей программной разработки завершена на 98%, риски технической нереализуемости устранены, сервис юридически адаптирован под минимальную налоговую нагрузку (самозанятость без касс). Продукт готов к монетизации и генерации выручки в течение 3–5 дней с момента принятия решения.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