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Data Requirements for a Real-World Media Mix Application</w:t>
      </w:r>
    </w:p>
    <w:p>
      <w:pPr>
        <w:jc w:val="center"/>
      </w:pPr>
      <w:r>
        <w:rPr>
          <w:i/>
          <w:color w:val="5A5A5A"/>
          <w:sz w:val="22"/>
        </w:rPr>
        <w:t>What you need to move from proof of concept to production use</w:t>
      </w:r>
    </w:p>
    <w:tbl>
      <w:tblPr>
        <w:tblW w:type="auto" w:w="0"/>
        <w:jc w:val="center"/>
        <w:tblLayout w:type="fixed"/>
        <w:tblLook w:firstColumn="1" w:firstRow="1" w:lastColumn="0" w:lastRow="0" w:noHBand="0" w:noVBand="1" w:val="04A0"/>
      </w:tblPr>
      <w:tblGrid>
        <w:gridCol w:w="9648"/>
      </w:tblGrid>
      <w:tr>
        <w:tc>
          <w:tcPr>
            <w:tcW w:type="dxa" w:w="9936"/>
            <w:shd w:fill="EEF4FF"/>
            <w:tcMar>
              <w:top w:w="120" w:type="dxa"/>
              <w:start w:w="140" w:type="dxa"/>
              <w:bottom w:w="120" w:type="dxa"/>
              <w:end w:w="140" w:type="dxa"/>
            </w:tcMar>
            <w:vAlign w:val="center"/>
          </w:tcPr>
          <w:p>
            <w:pPr>
              <w:jc w:val="left"/>
            </w:pPr>
            <w:r>
              <w:rPr>
                <w:b/>
                <w:sz w:val="21"/>
              </w:rPr>
              <w:t>Bottom line: a real application needs your own historical business, media, and context data. Category averages are fine for demos, but not for real budget decisions.</w:t>
            </w:r>
          </w:p>
        </w:tc>
      </w:tr>
    </w:tbl>
    <w:p>
      <w:pPr>
        <w:pStyle w:val="Heading1"/>
      </w:pPr>
      <w:r>
        <w:t>1. Minimum viable real-world dataset</w:t>
      </w:r>
    </w:p>
    <w:p>
      <w:pPr>
        <w:pStyle w:val="Heading2"/>
      </w:pPr>
      <w:r>
        <w:t>Business outcomes</w:t>
      </w:r>
    </w:p>
    <w:p>
      <w:pPr>
        <w:pStyle w:val="ListBullet"/>
      </w:pPr>
      <w:r>
        <w:t>Revenue by week or day</w:t>
      </w:r>
    </w:p>
    <w:p>
      <w:pPr>
        <w:pStyle w:val="ListBullet"/>
      </w:pPr>
      <w:r>
        <w:t>Orders / leads / conversions</w:t>
      </w:r>
    </w:p>
    <w:p>
      <w:pPr>
        <w:pStyle w:val="ListBullet"/>
      </w:pPr>
      <w:r>
        <w:t>Units sold, if relevant</w:t>
      </w:r>
    </w:p>
    <w:p>
      <w:pPr>
        <w:pStyle w:val="ListBullet"/>
      </w:pPr>
      <w:r>
        <w:t>Gross margin or contribution margin</w:t>
      </w:r>
    </w:p>
    <w:p>
      <w:pPr>
        <w:pStyle w:val="ListBullet"/>
      </w:pPr>
      <w:r>
        <w:t>Any KPI the business actually optimizes for</w:t>
      </w:r>
    </w:p>
    <w:p>
      <w:pPr>
        <w:pStyle w:val="Heading2"/>
      </w:pPr>
      <w:r>
        <w:t>Media spend</w:t>
      </w:r>
    </w:p>
    <w:p>
      <w:pPr>
        <w:pStyle w:val="ListBullet"/>
      </w:pPr>
      <w:r>
        <w:t>Spend by date, channel, and ideally subchannel</w:t>
      </w:r>
    </w:p>
    <w:p>
      <w:pPr>
        <w:pStyle w:val="ListBullet"/>
      </w:pPr>
      <w:r>
        <w:t>Campaign-level data if available</w:t>
      </w:r>
    </w:p>
    <w:p>
      <w:pPr>
        <w:pStyle w:val="ListBullet"/>
      </w:pPr>
      <w:r>
        <w:t>Offline media spend: TV, OOH, radio, print</w:t>
      </w:r>
    </w:p>
    <w:p>
      <w:pPr>
        <w:pStyle w:val="ListBullet"/>
      </w:pPr>
      <w:r>
        <w:t>Digital media spend: search, social, video, display, email, affiliate, CRM</w:t>
      </w:r>
    </w:p>
    <w:p>
      <w:pPr>
        <w:pStyle w:val="Heading2"/>
      </w:pPr>
      <w:r>
        <w:t>Calendar and business context</w:t>
      </w:r>
    </w:p>
    <w:p>
      <w:pPr>
        <w:pStyle w:val="ListBullet"/>
      </w:pPr>
      <w:r>
        <w:t>Promotions and discount periods</w:t>
      </w:r>
    </w:p>
    <w:p>
      <w:pPr>
        <w:pStyle w:val="ListBullet"/>
      </w:pPr>
      <w:r>
        <w:t>Price changes</w:t>
      </w:r>
    </w:p>
    <w:p>
      <w:pPr>
        <w:pStyle w:val="ListBullet"/>
      </w:pPr>
      <w:r>
        <w:t>Product launches</w:t>
      </w:r>
    </w:p>
    <w:p>
      <w:pPr>
        <w:pStyle w:val="ListBullet"/>
      </w:pPr>
      <w:r>
        <w:t>Major stockouts / outages</w:t>
      </w:r>
    </w:p>
    <w:p>
      <w:pPr>
        <w:pStyle w:val="ListBullet"/>
      </w:pPr>
      <w:r>
        <w:t>Store openings / closures</w:t>
      </w:r>
    </w:p>
    <w:p>
      <w:pPr>
        <w:pStyle w:val="Heading1"/>
      </w:pPr>
      <w:r>
        <w:t>2. Ideal production dataset</w:t>
      </w:r>
    </w:p>
    <w:p>
      <w:pPr>
        <w:pStyle w:val="Heading2"/>
      </w:pPr>
      <w:r>
        <w:t>Granularity</w:t>
      </w:r>
    </w:p>
    <w:p>
      <w:pPr>
        <w:pStyle w:val="ListBullet"/>
      </w:pPr>
      <w:r>
        <w:t>Weekly is the most common starting point for MMM</w:t>
      </w:r>
    </w:p>
    <w:p>
      <w:pPr>
        <w:pStyle w:val="ListBullet"/>
      </w:pPr>
      <w:r>
        <w:t>Daily can work if the data quality is strong and the business moves fast</w:t>
      </w:r>
    </w:p>
    <w:p>
      <w:pPr>
        <w:pStyle w:val="ListBullet"/>
      </w:pPr>
      <w:r>
        <w:t>Use the same time grain across revenue, spend, and context data</w:t>
      </w:r>
    </w:p>
    <w:p>
      <w:pPr>
        <w:pStyle w:val="Heading2"/>
      </w:pPr>
      <w:r>
        <w:t>Channel detail</w:t>
      </w:r>
    </w:p>
    <w:p>
      <w:pPr>
        <w:pStyle w:val="ListBullet"/>
      </w:pPr>
      <w:r>
        <w:t>Channel group: Offline / Digital</w:t>
      </w:r>
    </w:p>
    <w:p>
      <w:pPr>
        <w:pStyle w:val="ListBullet"/>
      </w:pPr>
      <w:r>
        <w:t>Channel: TV, Search, Social Media, OOH, etc.</w:t>
      </w:r>
    </w:p>
    <w:p>
      <w:pPr>
        <w:pStyle w:val="ListBullet"/>
      </w:pPr>
      <w:r>
        <w:t>Subchannel: YouTube, Meta, TikTok, CTV, Programmatic, CRM, etc.</w:t>
      </w:r>
    </w:p>
    <w:p>
      <w:pPr>
        <w:pStyle w:val="ListBullet"/>
      </w:pPr>
      <w:r>
        <w:t>Market / country / region split if budgets differ by market</w:t>
      </w:r>
    </w:p>
    <w:p>
      <w:pPr>
        <w:pStyle w:val="Heading2"/>
      </w:pPr>
      <w:r>
        <w:t>Quality fields</w:t>
      </w:r>
    </w:p>
    <w:p>
      <w:pPr>
        <w:pStyle w:val="ListBullet"/>
      </w:pPr>
      <w:r>
        <w:t>Unique IDs for campaigns and placements where possible</w:t>
      </w:r>
    </w:p>
    <w:p>
      <w:pPr>
        <w:pStyle w:val="ListBullet"/>
      </w:pPr>
      <w:r>
        <w:t>Consistent naming conventions</w:t>
      </w:r>
    </w:p>
    <w:p>
      <w:pPr>
        <w:pStyle w:val="ListBullet"/>
      </w:pPr>
      <w:r>
        <w:t>Currency and tax consistency</w:t>
      </w:r>
    </w:p>
    <w:p>
      <w:pPr>
        <w:pStyle w:val="ListBullet"/>
      </w:pPr>
      <w:r>
        <w:t>Documented definitions for every KPI</w:t>
      </w:r>
    </w:p>
    <w:p>
      <w:pPr>
        <w:pStyle w:val="Heading1"/>
      </w:pPr>
      <w:r>
        <w:t>3. Data you should collect by source</w:t>
      </w:r>
    </w:p>
    <w:p>
      <w:pPr>
        <w:pStyle w:val="Heading2"/>
      </w:pPr>
      <w:r>
        <w:t>From finance / BI</w:t>
      </w:r>
    </w:p>
    <w:p>
      <w:pPr>
        <w:pStyle w:val="ListBullet"/>
      </w:pPr>
      <w:r>
        <w:t>Revenue</w:t>
      </w:r>
    </w:p>
    <w:p>
      <w:pPr>
        <w:pStyle w:val="ListBullet"/>
      </w:pPr>
      <w:r>
        <w:t>Margin</w:t>
      </w:r>
    </w:p>
    <w:p>
      <w:pPr>
        <w:pStyle w:val="ListBullet"/>
      </w:pPr>
      <w:r>
        <w:t>Returns / cancellations</w:t>
      </w:r>
    </w:p>
    <w:p>
      <w:pPr>
        <w:pStyle w:val="ListBullet"/>
      </w:pPr>
      <w:r>
        <w:t>Units</w:t>
      </w:r>
    </w:p>
    <w:p>
      <w:pPr>
        <w:pStyle w:val="ListBullet"/>
      </w:pPr>
      <w:r>
        <w:t>Customer counts</w:t>
      </w:r>
    </w:p>
    <w:p>
      <w:pPr>
        <w:pStyle w:val="Heading2"/>
      </w:pPr>
      <w:r>
        <w:t>From ad platforms or agency reports</w:t>
      </w:r>
    </w:p>
    <w:p>
      <w:pPr>
        <w:pStyle w:val="ListBullet"/>
      </w:pPr>
      <w:r>
        <w:t>Spend</w:t>
      </w:r>
    </w:p>
    <w:p>
      <w:pPr>
        <w:pStyle w:val="ListBullet"/>
      </w:pPr>
      <w:r>
        <w:t>Impressions</w:t>
      </w:r>
    </w:p>
    <w:p>
      <w:pPr>
        <w:pStyle w:val="ListBullet"/>
      </w:pPr>
      <w:r>
        <w:t>Clicks</w:t>
      </w:r>
    </w:p>
    <w:p>
      <w:pPr>
        <w:pStyle w:val="ListBullet"/>
      </w:pPr>
      <w:r>
        <w:t>Video views</w:t>
      </w:r>
    </w:p>
    <w:p>
      <w:pPr>
        <w:pStyle w:val="ListBullet"/>
      </w:pPr>
      <w:r>
        <w:t>Reach / frequency where possible</w:t>
      </w:r>
    </w:p>
    <w:p>
      <w:pPr>
        <w:pStyle w:val="Heading2"/>
      </w:pPr>
      <w:r>
        <w:t>From CRM / lifecycle tools</w:t>
      </w:r>
    </w:p>
    <w:p>
      <w:pPr>
        <w:pStyle w:val="ListBullet"/>
      </w:pPr>
      <w:r>
        <w:t>Email sends</w:t>
      </w:r>
    </w:p>
    <w:p>
      <w:pPr>
        <w:pStyle w:val="ListBullet"/>
      </w:pPr>
      <w:r>
        <w:t>Open / click data</w:t>
      </w:r>
    </w:p>
    <w:p>
      <w:pPr>
        <w:pStyle w:val="ListBullet"/>
      </w:pPr>
      <w:r>
        <w:t>Audience sizes</w:t>
      </w:r>
    </w:p>
    <w:p>
      <w:pPr>
        <w:pStyle w:val="ListBullet"/>
      </w:pPr>
      <w:r>
        <w:t>Retention / reactivation events</w:t>
      </w:r>
    </w:p>
    <w:p>
      <w:pPr>
        <w:pStyle w:val="Heading2"/>
      </w:pPr>
      <w:r>
        <w:t>From business teams</w:t>
      </w:r>
    </w:p>
    <w:p>
      <w:pPr>
        <w:pStyle w:val="ListBullet"/>
      </w:pPr>
      <w:r>
        <w:t>Promo calendar</w:t>
      </w:r>
    </w:p>
    <w:p>
      <w:pPr>
        <w:pStyle w:val="ListBullet"/>
      </w:pPr>
      <w:r>
        <w:t>Pricing calendar</w:t>
      </w:r>
    </w:p>
    <w:p>
      <w:pPr>
        <w:pStyle w:val="ListBullet"/>
      </w:pPr>
      <w:r>
        <w:t>Launch calendar</w:t>
      </w:r>
    </w:p>
    <w:p>
      <w:pPr>
        <w:pStyle w:val="ListBullet"/>
      </w:pPr>
      <w:r>
        <w:t>Operational disruptions</w:t>
      </w:r>
    </w:p>
    <w:p>
      <w:pPr>
        <w:pStyle w:val="Heading1"/>
      </w:pPr>
      <w:r>
        <w:t>4. Historical depth needed</w:t>
      </w:r>
    </w:p>
    <w:p>
      <w:pPr>
        <w:pStyle w:val="Heading2"/>
      </w:pPr>
      <w:r>
        <w:t>Recommended history</w:t>
      </w:r>
    </w:p>
    <w:p>
      <w:pPr>
        <w:pStyle w:val="ListBullet"/>
      </w:pPr>
      <w:r>
        <w:t>Absolute minimum: 12 months</w:t>
      </w:r>
    </w:p>
    <w:p>
      <w:pPr>
        <w:pStyle w:val="ListBullet"/>
      </w:pPr>
      <w:r>
        <w:t>Better: 24 months</w:t>
      </w:r>
    </w:p>
    <w:p>
      <w:pPr>
        <w:pStyle w:val="ListBullet"/>
      </w:pPr>
      <w:r>
        <w:t>Strong: 36 months or more, especially with seasonality and offline media</w:t>
      </w:r>
    </w:p>
    <w:p>
      <w:pPr>
        <w:pStyle w:val="Heading1"/>
      </w:pPr>
      <w:r>
        <w:t>5. Data model you should have in BigQuery</w:t>
      </w:r>
    </w:p>
    <w:p>
      <w:pPr>
        <w:pStyle w:val="Heading2"/>
      </w:pPr>
      <w:r>
        <w:t>Core tables</w:t>
      </w:r>
    </w:p>
    <w:p>
      <w:pPr>
        <w:pStyle w:val="ListBullet"/>
      </w:pPr>
      <w:r>
        <w:t>fact_business_kpis</w:t>
      </w:r>
    </w:p>
    <w:p>
      <w:pPr>
        <w:pStyle w:val="ListBullet"/>
      </w:pPr>
      <w:r>
        <w:t>fact_media_spend</w:t>
      </w:r>
    </w:p>
    <w:p>
      <w:pPr>
        <w:pStyle w:val="ListBullet"/>
      </w:pPr>
      <w:r>
        <w:t>dim_channel</w:t>
      </w:r>
    </w:p>
    <w:p>
      <w:pPr>
        <w:pStyle w:val="ListBullet"/>
      </w:pPr>
      <w:r>
        <w:t>dim_market</w:t>
      </w:r>
    </w:p>
    <w:p>
      <w:pPr>
        <w:pStyle w:val="ListBullet"/>
      </w:pPr>
      <w:r>
        <w:t>fact_business_events</w:t>
      </w:r>
    </w:p>
    <w:p>
      <w:pPr>
        <w:pStyle w:val="Heading2"/>
      </w:pPr>
      <w:r>
        <w:t>Useful optional tables</w:t>
      </w:r>
    </w:p>
    <w:p>
      <w:pPr>
        <w:pStyle w:val="ListBullet"/>
      </w:pPr>
      <w:r>
        <w:t>fact_pricing</w:t>
      </w:r>
    </w:p>
    <w:p>
      <w:pPr>
        <w:pStyle w:val="ListBullet"/>
      </w:pPr>
      <w:r>
        <w:t>fact_promotions</w:t>
      </w:r>
    </w:p>
    <w:p>
      <w:pPr>
        <w:pStyle w:val="ListBullet"/>
      </w:pPr>
      <w:r>
        <w:t>fact_inventory_or_stockouts</w:t>
      </w:r>
    </w:p>
    <w:p>
      <w:pPr>
        <w:pStyle w:val="ListBullet"/>
      </w:pPr>
      <w:r>
        <w:t>fact_web_traffic</w:t>
      </w:r>
    </w:p>
    <w:p>
      <w:pPr>
        <w:pStyle w:val="ListBullet"/>
      </w:pPr>
      <w:r>
        <w:t>fact_leads_or_pipeline</w:t>
      </w:r>
    </w:p>
    <w:p>
      <w:pPr>
        <w:pStyle w:val="Heading1"/>
      </w:pPr>
      <w:r>
        <w:t>6. Data quality rules before modeling</w:t>
      </w:r>
    </w:p>
    <w:p>
      <w:pPr>
        <w:pStyle w:val="Heading2"/>
      </w:pPr>
      <w:r>
        <w:t>Must-have QA checks</w:t>
      </w:r>
    </w:p>
    <w:p>
      <w:pPr>
        <w:pStyle w:val="ListBullet"/>
      </w:pPr>
      <w:r>
        <w:t>No missing dates in the time series</w:t>
      </w:r>
    </w:p>
    <w:p>
      <w:pPr>
        <w:pStyle w:val="ListBullet"/>
      </w:pPr>
      <w:r>
        <w:t>No duplicated spend rows</w:t>
      </w:r>
    </w:p>
    <w:p>
      <w:pPr>
        <w:pStyle w:val="ListBullet"/>
      </w:pPr>
      <w:r>
        <w:t>Channel names standardized</w:t>
      </w:r>
    </w:p>
    <w:p>
      <w:pPr>
        <w:pStyle w:val="ListBullet"/>
      </w:pPr>
      <w:r>
        <w:t>Revenue and spend aligned to the same time zone and time grain</w:t>
      </w:r>
    </w:p>
    <w:p>
      <w:pPr>
        <w:pStyle w:val="ListBullet"/>
      </w:pPr>
      <w:r>
        <w:t>Large anomalies explained, not ignored</w:t>
      </w:r>
    </w:p>
    <w:p>
      <w:pPr>
        <w:pStyle w:val="Heading1"/>
      </w:pPr>
      <w:r>
        <w:t>7. Production inputs for the app UI</w:t>
      </w:r>
    </w:p>
    <w:p>
      <w:pPr>
        <w:pStyle w:val="Heading2"/>
      </w:pPr>
      <w:r>
        <w:t>Inputs users should be able to set</w:t>
      </w:r>
    </w:p>
    <w:p>
      <w:pPr>
        <w:pStyle w:val="ListBullet"/>
      </w:pPr>
      <w:r>
        <w:t>Base revenue</w:t>
      </w:r>
    </w:p>
    <w:p>
      <w:pPr>
        <w:pStyle w:val="ListBullet"/>
      </w:pPr>
      <w:r>
        <w:t>Margin %</w:t>
      </w:r>
    </w:p>
    <w:p>
      <w:pPr>
        <w:pStyle w:val="ListBullet"/>
      </w:pPr>
      <w:r>
        <w:t>Planned spend by channel</w:t>
      </w:r>
    </w:p>
    <w:p>
      <w:pPr>
        <w:pStyle w:val="ListBullet"/>
      </w:pPr>
      <w:r>
        <w:t>Scenario label</w:t>
      </w:r>
    </w:p>
    <w:p>
      <w:pPr>
        <w:pStyle w:val="ListBullet"/>
      </w:pPr>
      <w:r>
        <w:t>Scenario note</w:t>
      </w:r>
    </w:p>
    <w:p>
      <w:pPr>
        <w:pStyle w:val="ListBullet"/>
      </w:pPr>
      <w:r>
        <w:t>Market</w:t>
      </w:r>
    </w:p>
    <w:p>
      <w:pPr>
        <w:pStyle w:val="ListBullet"/>
      </w:pPr>
      <w:r>
        <w:t>Time horizon</w:t>
      </w:r>
    </w:p>
    <w:p>
      <w:pPr>
        <w:pStyle w:val="Heading2"/>
      </w:pPr>
      <w:r>
        <w:t>Inputs power users may override later</w:t>
      </w:r>
    </w:p>
    <w:p>
      <w:pPr>
        <w:pStyle w:val="ListBullet"/>
      </w:pPr>
      <w:r>
        <w:t>Channel assumptions</w:t>
      </w:r>
    </w:p>
    <w:p>
      <w:pPr>
        <w:pStyle w:val="ListBullet"/>
      </w:pPr>
      <w:r>
        <w:t>Price / promo assumptions</w:t>
      </w:r>
    </w:p>
    <w:p>
      <w:pPr>
        <w:pStyle w:val="ListBullet"/>
      </w:pPr>
      <w:r>
        <w:t>Confidence mode</w:t>
      </w:r>
    </w:p>
    <w:p>
      <w:pPr>
        <w:pStyle w:val="ListBullet"/>
      </w:pPr>
      <w:r>
        <w:t>Baseline scenario selection</w:t>
      </w:r>
    </w:p>
    <w:p>
      <w:pPr>
        <w:pStyle w:val="Heading1"/>
      </w:pPr>
      <w:r>
        <w:t>8. What makes the app “real” instead of demo-only</w:t>
      </w:r>
    </w:p>
    <w:p>
      <w:pPr>
        <w:pStyle w:val="Heading2"/>
      </w:pPr>
      <w:r>
        <w:t>Production characteristics</w:t>
      </w:r>
    </w:p>
    <w:p>
      <w:pPr>
        <w:pStyle w:val="ListBullet"/>
      </w:pPr>
      <w:r>
        <w:t>Uses the company’s own historical data</w:t>
      </w:r>
    </w:p>
    <w:p>
      <w:pPr>
        <w:pStyle w:val="ListBullet"/>
      </w:pPr>
      <w:r>
        <w:t>Stores scenario versions cleanly</w:t>
      </w:r>
    </w:p>
    <w:p>
      <w:pPr>
        <w:pStyle w:val="ListBullet"/>
      </w:pPr>
      <w:r>
        <w:t>Tracks who changed what and when</w:t>
      </w:r>
    </w:p>
    <w:p>
      <w:pPr>
        <w:pStyle w:val="ListBullet"/>
      </w:pPr>
      <w:r>
        <w:t>Includes QA monitoring for incoming data</w:t>
      </w:r>
    </w:p>
    <w:p>
      <w:pPr>
        <w:pStyle w:val="ListBullet"/>
      </w:pPr>
      <w:r>
        <w:t>Separates benchmark defaults from user overrides</w:t>
      </w:r>
    </w:p>
    <w:p>
      <w:pPr>
        <w:pStyle w:val="Heading1"/>
      </w:pPr>
      <w:r>
        <w:t>9. Recommended implementation path</w:t>
      </w:r>
    </w:p>
    <w:p>
      <w:pPr>
        <w:pStyle w:val="Heading2"/>
      </w:pPr>
      <w:r>
        <w:t>Phase 1</w:t>
      </w:r>
    </w:p>
    <w:p>
      <w:pPr>
        <w:pStyle w:val="ListBullet"/>
      </w:pPr>
      <w:r>
        <w:t>Connect real revenue and margin data</w:t>
      </w:r>
    </w:p>
    <w:p>
      <w:pPr>
        <w:pStyle w:val="ListBullet"/>
      </w:pPr>
      <w:r>
        <w:t>Connect real media spend by channel</w:t>
      </w:r>
    </w:p>
    <w:p>
      <w:pPr>
        <w:pStyle w:val="ListBullet"/>
      </w:pPr>
      <w:r>
        <w:t>Keep current app UI mostly unchanged</w:t>
      </w:r>
    </w:p>
    <w:p>
      <w:pPr>
        <w:pStyle w:val="Heading2"/>
      </w:pPr>
      <w:r>
        <w:t>Phase 2</w:t>
      </w:r>
    </w:p>
    <w:p>
      <w:pPr>
        <w:pStyle w:val="ListBullet"/>
      </w:pPr>
      <w:r>
        <w:t>Add real promo / pricing context</w:t>
      </w:r>
    </w:p>
    <w:p>
      <w:pPr>
        <w:pStyle w:val="ListBullet"/>
      </w:pPr>
      <w:r>
        <w:t>Improve profit logic</w:t>
      </w:r>
    </w:p>
    <w:p>
      <w:pPr>
        <w:pStyle w:val="ListBullet"/>
      </w:pPr>
      <w:r>
        <w:t>Export and governance features</w:t>
      </w:r>
    </w:p>
    <w:p>
      <w:pPr>
        <w:pStyle w:val="Heading2"/>
      </w:pPr>
      <w:r>
        <w:t>Phase 3</w:t>
      </w:r>
    </w:p>
    <w:p>
      <w:pPr>
        <w:pStyle w:val="ListBullet"/>
      </w:pPr>
      <w:r>
        <w:t>Fit a real MMM or response model</w:t>
      </w:r>
    </w:p>
    <w:p>
      <w:pPr>
        <w:pStyle w:val="ListBullet"/>
      </w:pPr>
      <w:r>
        <w:t>Replace fixed benchmark curves with calibrated brand-specific curves</w:t>
      </w:r>
    </w:p>
    <w:p>
      <w:pPr>
        <w:pStyle w:val="Heading1"/>
      </w:pPr>
      <w:r>
        <w:t>10. Production readiness checklist</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880"/>
            <w:shd w:fill="D9E8FB"/>
            <w:tcMar>
              <w:top w:w="120" w:type="dxa"/>
              <w:start w:w="120" w:type="dxa"/>
              <w:bottom w:w="120" w:type="dxa"/>
              <w:end w:w="120" w:type="dxa"/>
            </w:tcMar>
            <w:vAlign w:val="center"/>
          </w:tcPr>
          <w:p>
            <w:pPr>
              <w:jc w:val="center"/>
            </w:pPr>
            <w:r>
              <w:rPr>
                <w:b/>
              </w:rPr>
              <w:t>Area</w:t>
            </w:r>
          </w:p>
        </w:tc>
        <w:tc>
          <w:tcPr>
            <w:tcW w:type="dxa" w:w="5184"/>
            <w:shd w:fill="D9E8FB"/>
            <w:tcMar>
              <w:top w:w="120" w:type="dxa"/>
              <w:start w:w="120" w:type="dxa"/>
              <w:bottom w:w="120" w:type="dxa"/>
              <w:end w:w="120" w:type="dxa"/>
            </w:tcMar>
            <w:vAlign w:val="center"/>
          </w:tcPr>
          <w:p>
            <w:pPr>
              <w:jc w:val="center"/>
            </w:pPr>
            <w:r>
              <w:rPr>
                <w:b/>
              </w:rPr>
              <w:t>Needed for production</w:t>
            </w:r>
          </w:p>
        </w:tc>
        <w:tc>
          <w:tcPr>
            <w:tcW w:type="dxa" w:w="1152"/>
            <w:shd w:fill="D9E8FB"/>
            <w:tcMar>
              <w:top w:w="120" w:type="dxa"/>
              <w:start w:w="120" w:type="dxa"/>
              <w:bottom w:w="120" w:type="dxa"/>
              <w:end w:w="120" w:type="dxa"/>
            </w:tcMar>
            <w:vAlign w:val="center"/>
          </w:tcPr>
          <w:p>
            <w:pPr>
              <w:jc w:val="center"/>
            </w:pPr>
            <w:r>
              <w:rPr>
                <w:b/>
              </w:rPr>
              <w:t>Priority</w:t>
            </w:r>
          </w:p>
        </w:tc>
        <w:tc>
          <w:tcPr>
            <w:tcW w:type="dxa" w:w="1152"/>
            <w:shd w:fill="D9E8FB"/>
            <w:tcMar>
              <w:top w:w="120" w:type="dxa"/>
              <w:start w:w="120" w:type="dxa"/>
              <w:bottom w:w="120" w:type="dxa"/>
              <w:end w:w="120" w:type="dxa"/>
            </w:tcMar>
            <w:vAlign w:val="center"/>
          </w:tcPr>
          <w:p>
            <w:pPr>
              <w:jc w:val="center"/>
            </w:pPr>
            <w:r>
              <w:rPr>
                <w:b/>
              </w:rPr>
              <w:t>Status</w:t>
            </w:r>
          </w:p>
        </w:tc>
      </w:tr>
      <w:tr>
        <w:tc>
          <w:tcPr>
            <w:tcW w:type="dxa" w:w="2484"/>
            <w:tcMar>
              <w:top w:w="120" w:type="dxa"/>
              <w:start w:w="120" w:type="dxa"/>
              <w:bottom w:w="120" w:type="dxa"/>
              <w:end w:w="120" w:type="dxa"/>
            </w:tcMar>
            <w:vAlign w:val="center"/>
          </w:tcPr>
          <w:p>
            <w:pPr>
              <w:jc w:val="left"/>
            </w:pPr>
            <w:r>
              <w:t>Revenue history</w:t>
            </w:r>
          </w:p>
        </w:tc>
        <w:tc>
          <w:tcPr>
            <w:tcW w:type="dxa" w:w="2484"/>
            <w:tcMar>
              <w:top w:w="120" w:type="dxa"/>
              <w:start w:w="120" w:type="dxa"/>
              <w:bottom w:w="120" w:type="dxa"/>
              <w:end w:w="120" w:type="dxa"/>
            </w:tcMar>
            <w:vAlign w:val="center"/>
          </w:tcPr>
          <w:p>
            <w:pPr>
              <w:jc w:val="left"/>
            </w:pPr>
            <w:r>
              <w:t>At least 12–24 months of real revenue data at consistent time grain</w:t>
            </w:r>
          </w:p>
        </w:tc>
        <w:tc>
          <w:tcPr>
            <w:tcW w:type="dxa" w:w="2484"/>
            <w:tcMar>
              <w:top w:w="120" w:type="dxa"/>
              <w:start w:w="120" w:type="dxa"/>
              <w:bottom w:w="120" w:type="dxa"/>
              <w:end w:w="120" w:type="dxa"/>
            </w:tcMar>
            <w:vAlign w:val="center"/>
          </w:tcPr>
          <w:p>
            <w:pPr>
              <w:jc w:val="center"/>
            </w:pPr>
            <w:r>
              <w:t>High</w:t>
            </w:r>
          </w:p>
        </w:tc>
        <w:tc>
          <w:tcPr>
            <w:tcW w:type="dxa" w:w="2484"/>
            <w:tcMar>
              <w:top w:w="120" w:type="dxa"/>
              <w:start w:w="120" w:type="dxa"/>
              <w:bottom w:w="120" w:type="dxa"/>
              <w:end w:w="120" w:type="dxa"/>
            </w:tcMar>
            <w:vAlign w:val="center"/>
          </w:tcPr>
          <w:p>
            <w:pPr>
              <w:jc w:val="center"/>
            </w:pPr>
            <w:r>
              <w:t>☐</w:t>
            </w:r>
          </w:p>
        </w:tc>
      </w:tr>
      <w:tr>
        <w:tc>
          <w:tcPr>
            <w:tcW w:type="dxa" w:w="2484"/>
            <w:tcMar>
              <w:top w:w="120" w:type="dxa"/>
              <w:start w:w="120" w:type="dxa"/>
              <w:bottom w:w="120" w:type="dxa"/>
              <w:end w:w="120" w:type="dxa"/>
            </w:tcMar>
            <w:vAlign w:val="center"/>
          </w:tcPr>
          <w:p>
            <w:pPr>
              <w:jc w:val="left"/>
            </w:pPr>
            <w:r>
              <w:t>Margin data</w:t>
            </w:r>
          </w:p>
        </w:tc>
        <w:tc>
          <w:tcPr>
            <w:tcW w:type="dxa" w:w="2484"/>
            <w:tcMar>
              <w:top w:w="120" w:type="dxa"/>
              <w:start w:w="120" w:type="dxa"/>
              <w:bottom w:w="120" w:type="dxa"/>
              <w:end w:w="120" w:type="dxa"/>
            </w:tcMar>
            <w:vAlign w:val="center"/>
          </w:tcPr>
          <w:p>
            <w:pPr>
              <w:jc w:val="left"/>
            </w:pPr>
            <w:r>
              <w:t>Gross margin or contribution margin to estimate profit correctly</w:t>
            </w:r>
          </w:p>
        </w:tc>
        <w:tc>
          <w:tcPr>
            <w:tcW w:type="dxa" w:w="2484"/>
            <w:tcMar>
              <w:top w:w="120" w:type="dxa"/>
              <w:start w:w="120" w:type="dxa"/>
              <w:bottom w:w="120" w:type="dxa"/>
              <w:end w:w="120" w:type="dxa"/>
            </w:tcMar>
            <w:vAlign w:val="center"/>
          </w:tcPr>
          <w:p>
            <w:pPr>
              <w:jc w:val="center"/>
            </w:pPr>
            <w:r>
              <w:t>High</w:t>
            </w:r>
          </w:p>
        </w:tc>
        <w:tc>
          <w:tcPr>
            <w:tcW w:type="dxa" w:w="2484"/>
            <w:tcMar>
              <w:top w:w="120" w:type="dxa"/>
              <w:start w:w="120" w:type="dxa"/>
              <w:bottom w:w="120" w:type="dxa"/>
              <w:end w:w="120" w:type="dxa"/>
            </w:tcMar>
            <w:vAlign w:val="center"/>
          </w:tcPr>
          <w:p>
            <w:pPr>
              <w:jc w:val="center"/>
            </w:pPr>
            <w:r>
              <w:t>☐</w:t>
            </w:r>
          </w:p>
        </w:tc>
      </w:tr>
      <w:tr>
        <w:tc>
          <w:tcPr>
            <w:tcW w:type="dxa" w:w="2484"/>
            <w:tcMar>
              <w:top w:w="120" w:type="dxa"/>
              <w:start w:w="120" w:type="dxa"/>
              <w:bottom w:w="120" w:type="dxa"/>
              <w:end w:w="120" w:type="dxa"/>
            </w:tcMar>
            <w:vAlign w:val="center"/>
          </w:tcPr>
          <w:p>
            <w:pPr>
              <w:jc w:val="left"/>
            </w:pPr>
            <w:r>
              <w:t>Media spend</w:t>
            </w:r>
          </w:p>
        </w:tc>
        <w:tc>
          <w:tcPr>
            <w:tcW w:type="dxa" w:w="2484"/>
            <w:tcMar>
              <w:top w:w="120" w:type="dxa"/>
              <w:start w:w="120" w:type="dxa"/>
              <w:bottom w:w="120" w:type="dxa"/>
              <w:end w:w="120" w:type="dxa"/>
            </w:tcMar>
            <w:vAlign w:val="center"/>
          </w:tcPr>
          <w:p>
            <w:pPr>
              <w:jc w:val="left"/>
            </w:pPr>
            <w:r>
              <w:t>Real spend by channel and market</w:t>
            </w:r>
          </w:p>
        </w:tc>
        <w:tc>
          <w:tcPr>
            <w:tcW w:type="dxa" w:w="2484"/>
            <w:tcMar>
              <w:top w:w="120" w:type="dxa"/>
              <w:start w:w="120" w:type="dxa"/>
              <w:bottom w:w="120" w:type="dxa"/>
              <w:end w:w="120" w:type="dxa"/>
            </w:tcMar>
            <w:vAlign w:val="center"/>
          </w:tcPr>
          <w:p>
            <w:pPr>
              <w:jc w:val="center"/>
            </w:pPr>
            <w:r>
              <w:t>High</w:t>
            </w:r>
          </w:p>
        </w:tc>
        <w:tc>
          <w:tcPr>
            <w:tcW w:type="dxa" w:w="2484"/>
            <w:tcMar>
              <w:top w:w="120" w:type="dxa"/>
              <w:start w:w="120" w:type="dxa"/>
              <w:bottom w:w="120" w:type="dxa"/>
              <w:end w:w="120" w:type="dxa"/>
            </w:tcMar>
            <w:vAlign w:val="center"/>
          </w:tcPr>
          <w:p>
            <w:pPr>
              <w:jc w:val="center"/>
            </w:pPr>
            <w:r>
              <w:t>☐</w:t>
            </w:r>
          </w:p>
        </w:tc>
      </w:tr>
      <w:tr>
        <w:tc>
          <w:tcPr>
            <w:tcW w:type="dxa" w:w="2484"/>
            <w:tcMar>
              <w:top w:w="120" w:type="dxa"/>
              <w:start w:w="120" w:type="dxa"/>
              <w:bottom w:w="120" w:type="dxa"/>
              <w:end w:w="120" w:type="dxa"/>
            </w:tcMar>
            <w:vAlign w:val="center"/>
          </w:tcPr>
          <w:p>
            <w:pPr>
              <w:jc w:val="left"/>
            </w:pPr>
            <w:r>
              <w:t>Business context</w:t>
            </w:r>
          </w:p>
        </w:tc>
        <w:tc>
          <w:tcPr>
            <w:tcW w:type="dxa" w:w="2484"/>
            <w:tcMar>
              <w:top w:w="120" w:type="dxa"/>
              <w:start w:w="120" w:type="dxa"/>
              <w:bottom w:w="120" w:type="dxa"/>
              <w:end w:w="120" w:type="dxa"/>
            </w:tcMar>
            <w:vAlign w:val="center"/>
          </w:tcPr>
          <w:p>
            <w:pPr>
              <w:jc w:val="left"/>
            </w:pPr>
            <w:r>
              <w:t>Promotions, pricing, launches, disruptions</w:t>
            </w:r>
          </w:p>
        </w:tc>
        <w:tc>
          <w:tcPr>
            <w:tcW w:type="dxa" w:w="2484"/>
            <w:tcMar>
              <w:top w:w="120" w:type="dxa"/>
              <w:start w:w="120" w:type="dxa"/>
              <w:bottom w:w="120" w:type="dxa"/>
              <w:end w:w="120" w:type="dxa"/>
            </w:tcMar>
            <w:vAlign w:val="center"/>
          </w:tcPr>
          <w:p>
            <w:pPr>
              <w:jc w:val="center"/>
            </w:pPr>
            <w:r>
              <w:t>High</w:t>
            </w:r>
          </w:p>
        </w:tc>
        <w:tc>
          <w:tcPr>
            <w:tcW w:type="dxa" w:w="2484"/>
            <w:tcMar>
              <w:top w:w="120" w:type="dxa"/>
              <w:start w:w="120" w:type="dxa"/>
              <w:bottom w:w="120" w:type="dxa"/>
              <w:end w:w="120" w:type="dxa"/>
            </w:tcMar>
            <w:vAlign w:val="center"/>
          </w:tcPr>
          <w:p>
            <w:pPr>
              <w:jc w:val="center"/>
            </w:pPr>
            <w:r>
              <w:t>☐</w:t>
            </w:r>
          </w:p>
        </w:tc>
      </w:tr>
      <w:tr>
        <w:tc>
          <w:tcPr>
            <w:tcW w:type="dxa" w:w="2484"/>
            <w:tcMar>
              <w:top w:w="120" w:type="dxa"/>
              <w:start w:w="120" w:type="dxa"/>
              <w:bottom w:w="120" w:type="dxa"/>
              <w:end w:w="120" w:type="dxa"/>
            </w:tcMar>
            <w:vAlign w:val="center"/>
          </w:tcPr>
          <w:p>
            <w:pPr>
              <w:jc w:val="left"/>
            </w:pPr>
            <w:r>
              <w:t>Naming governance</w:t>
            </w:r>
          </w:p>
        </w:tc>
        <w:tc>
          <w:tcPr>
            <w:tcW w:type="dxa" w:w="2484"/>
            <w:tcMar>
              <w:top w:w="120" w:type="dxa"/>
              <w:start w:w="120" w:type="dxa"/>
              <w:bottom w:w="120" w:type="dxa"/>
              <w:end w:w="120" w:type="dxa"/>
            </w:tcMar>
            <w:vAlign w:val="center"/>
          </w:tcPr>
          <w:p>
            <w:pPr>
              <w:jc w:val="left"/>
            </w:pPr>
            <w:r>
              <w:t>Clean channel taxonomy and documented definitions</w:t>
            </w:r>
          </w:p>
        </w:tc>
        <w:tc>
          <w:tcPr>
            <w:tcW w:type="dxa" w:w="2484"/>
            <w:tcMar>
              <w:top w:w="120" w:type="dxa"/>
              <w:start w:w="120" w:type="dxa"/>
              <w:bottom w:w="120" w:type="dxa"/>
              <w:end w:w="120" w:type="dxa"/>
            </w:tcMar>
            <w:vAlign w:val="center"/>
          </w:tcPr>
          <w:p>
            <w:pPr>
              <w:jc w:val="center"/>
            </w:pPr>
            <w:r>
              <w:t>High</w:t>
            </w:r>
          </w:p>
        </w:tc>
        <w:tc>
          <w:tcPr>
            <w:tcW w:type="dxa" w:w="2484"/>
            <w:tcMar>
              <w:top w:w="120" w:type="dxa"/>
              <w:start w:w="120" w:type="dxa"/>
              <w:bottom w:w="120" w:type="dxa"/>
              <w:end w:w="120" w:type="dxa"/>
            </w:tcMar>
            <w:vAlign w:val="center"/>
          </w:tcPr>
          <w:p>
            <w:pPr>
              <w:jc w:val="center"/>
            </w:pPr>
            <w:r>
              <w:t>☐</w:t>
            </w:r>
          </w:p>
        </w:tc>
      </w:tr>
      <w:tr>
        <w:tc>
          <w:tcPr>
            <w:tcW w:type="dxa" w:w="2484"/>
            <w:tcMar>
              <w:top w:w="120" w:type="dxa"/>
              <w:start w:w="120" w:type="dxa"/>
              <w:bottom w:w="120" w:type="dxa"/>
              <w:end w:w="120" w:type="dxa"/>
            </w:tcMar>
            <w:vAlign w:val="center"/>
          </w:tcPr>
          <w:p>
            <w:pPr>
              <w:jc w:val="left"/>
            </w:pPr>
            <w:r>
              <w:t>Scenario persistence</w:t>
            </w:r>
          </w:p>
        </w:tc>
        <w:tc>
          <w:tcPr>
            <w:tcW w:type="dxa" w:w="2484"/>
            <w:tcMar>
              <w:top w:w="120" w:type="dxa"/>
              <w:start w:w="120" w:type="dxa"/>
              <w:bottom w:w="120" w:type="dxa"/>
              <w:end w:w="120" w:type="dxa"/>
            </w:tcMar>
            <w:vAlign w:val="center"/>
          </w:tcPr>
          <w:p>
            <w:pPr>
              <w:jc w:val="left"/>
            </w:pPr>
            <w:r>
              <w:t>Save labels, notes, versions, and timestamps</w:t>
            </w:r>
          </w:p>
        </w:tc>
        <w:tc>
          <w:tcPr>
            <w:tcW w:type="dxa" w:w="2484"/>
            <w:tcMar>
              <w:top w:w="120" w:type="dxa"/>
              <w:start w:w="120" w:type="dxa"/>
              <w:bottom w:w="120" w:type="dxa"/>
              <w:end w:w="120" w:type="dxa"/>
            </w:tcMar>
            <w:vAlign w:val="center"/>
          </w:tcPr>
          <w:p>
            <w:pPr>
              <w:jc w:val="center"/>
            </w:pPr>
            <w:r>
              <w:t>Medium</w:t>
            </w:r>
          </w:p>
        </w:tc>
        <w:tc>
          <w:tcPr>
            <w:tcW w:type="dxa" w:w="2484"/>
            <w:tcMar>
              <w:top w:w="120" w:type="dxa"/>
              <w:start w:w="120" w:type="dxa"/>
              <w:bottom w:w="120" w:type="dxa"/>
              <w:end w:w="120" w:type="dxa"/>
            </w:tcMar>
            <w:vAlign w:val="center"/>
          </w:tcPr>
          <w:p>
            <w:pPr>
              <w:jc w:val="center"/>
            </w:pPr>
            <w:r>
              <w:t>☐</w:t>
            </w:r>
          </w:p>
        </w:tc>
      </w:tr>
      <w:tr>
        <w:tc>
          <w:tcPr>
            <w:tcW w:type="dxa" w:w="2484"/>
            <w:tcMar>
              <w:top w:w="120" w:type="dxa"/>
              <w:start w:w="120" w:type="dxa"/>
              <w:bottom w:w="120" w:type="dxa"/>
              <w:end w:w="120" w:type="dxa"/>
            </w:tcMar>
            <w:vAlign w:val="center"/>
          </w:tcPr>
          <w:p>
            <w:pPr>
              <w:jc w:val="left"/>
            </w:pPr>
            <w:r>
              <w:t>Exports &amp; auditability</w:t>
            </w:r>
          </w:p>
        </w:tc>
        <w:tc>
          <w:tcPr>
            <w:tcW w:type="dxa" w:w="2484"/>
            <w:tcMar>
              <w:top w:w="120" w:type="dxa"/>
              <w:start w:w="120" w:type="dxa"/>
              <w:bottom w:w="120" w:type="dxa"/>
              <w:end w:w="120" w:type="dxa"/>
            </w:tcMar>
            <w:vAlign w:val="center"/>
          </w:tcPr>
          <w:p>
            <w:pPr>
              <w:jc w:val="left"/>
            </w:pPr>
            <w:r>
              <w:t>CSV export, logs, and reproducible assumptions</w:t>
            </w:r>
          </w:p>
        </w:tc>
        <w:tc>
          <w:tcPr>
            <w:tcW w:type="dxa" w:w="2484"/>
            <w:tcMar>
              <w:top w:w="120" w:type="dxa"/>
              <w:start w:w="120" w:type="dxa"/>
              <w:bottom w:w="120" w:type="dxa"/>
              <w:end w:w="120" w:type="dxa"/>
            </w:tcMar>
            <w:vAlign w:val="center"/>
          </w:tcPr>
          <w:p>
            <w:pPr>
              <w:jc w:val="center"/>
            </w:pPr>
            <w:r>
              <w:t>Medium</w:t>
            </w:r>
          </w:p>
        </w:tc>
        <w:tc>
          <w:tcPr>
            <w:tcW w:type="dxa" w:w="2484"/>
            <w:tcMar>
              <w:top w:w="120" w:type="dxa"/>
              <w:start w:w="120" w:type="dxa"/>
              <w:bottom w:w="120" w:type="dxa"/>
              <w:end w:w="120" w:type="dxa"/>
            </w:tcMar>
            <w:vAlign w:val="center"/>
          </w:tcPr>
          <w:p>
            <w:pPr>
              <w:jc w:val="center"/>
            </w:pPr>
            <w:r>
              <w:t>☐</w:t>
            </w:r>
          </w:p>
        </w:tc>
      </w:tr>
      <w:tr>
        <w:tc>
          <w:tcPr>
            <w:tcW w:type="dxa" w:w="2484"/>
            <w:tcMar>
              <w:top w:w="120" w:type="dxa"/>
              <w:start w:w="120" w:type="dxa"/>
              <w:bottom w:w="120" w:type="dxa"/>
              <w:end w:w="120" w:type="dxa"/>
            </w:tcMar>
            <w:vAlign w:val="center"/>
          </w:tcPr>
          <w:p>
            <w:pPr>
              <w:jc w:val="left"/>
            </w:pPr>
            <w:r>
              <w:t>Model calibration</w:t>
            </w:r>
          </w:p>
        </w:tc>
        <w:tc>
          <w:tcPr>
            <w:tcW w:type="dxa" w:w="2484"/>
            <w:tcMar>
              <w:top w:w="120" w:type="dxa"/>
              <w:start w:w="120" w:type="dxa"/>
              <w:bottom w:w="120" w:type="dxa"/>
              <w:end w:w="120" w:type="dxa"/>
            </w:tcMar>
            <w:vAlign w:val="center"/>
          </w:tcPr>
          <w:p>
            <w:pPr>
              <w:jc w:val="left"/>
            </w:pPr>
            <w:r>
              <w:t>Replace benchmarks with calibrated brand-specific response curves</w:t>
            </w:r>
          </w:p>
        </w:tc>
        <w:tc>
          <w:tcPr>
            <w:tcW w:type="dxa" w:w="2484"/>
            <w:tcMar>
              <w:top w:w="120" w:type="dxa"/>
              <w:start w:w="120" w:type="dxa"/>
              <w:bottom w:w="120" w:type="dxa"/>
              <w:end w:w="120" w:type="dxa"/>
            </w:tcMar>
            <w:vAlign w:val="center"/>
          </w:tcPr>
          <w:p>
            <w:pPr>
              <w:jc w:val="center"/>
            </w:pPr>
            <w:r>
              <w:t>High</w:t>
            </w:r>
          </w:p>
        </w:tc>
        <w:tc>
          <w:tcPr>
            <w:tcW w:type="dxa" w:w="2484"/>
            <w:tcMar>
              <w:top w:w="120" w:type="dxa"/>
              <w:start w:w="120" w:type="dxa"/>
              <w:bottom w:w="120" w:type="dxa"/>
              <w:end w:w="120" w:type="dxa"/>
            </w:tcMar>
            <w:vAlign w:val="center"/>
          </w:tcPr>
          <w:p>
            <w:pPr>
              <w:jc w:val="center"/>
            </w:pPr>
            <w:r>
              <w:t>☐</w:t>
            </w:r>
          </w:p>
        </w:tc>
      </w:tr>
    </w:tbl>
    <w:p>
      <w:pPr>
        <w:pStyle w:val="Heading1"/>
      </w:pPr>
      <w:r>
        <w:t>11. Best next step</w:t>
      </w:r>
    </w:p>
    <w:tbl>
      <w:tblPr>
        <w:tblW w:type="auto" w:w="0"/>
        <w:jc w:val="center"/>
        <w:tblLayout w:type="fixed"/>
        <w:tblLook w:firstColumn="1" w:firstRow="1" w:lastColumn="0" w:lastRow="0" w:noHBand="0" w:noVBand="1" w:val="04A0"/>
      </w:tblPr>
      <w:tblGrid>
        <w:gridCol w:w="9648"/>
      </w:tblGrid>
      <w:tr>
        <w:tc>
          <w:tcPr>
            <w:tcW w:type="dxa" w:w="9936"/>
            <w:shd w:fill="F6F8FA"/>
            <w:tcMar>
              <w:top w:w="130" w:type="dxa"/>
              <w:start w:w="140" w:type="dxa"/>
              <w:bottom w:w="130" w:type="dxa"/>
              <w:end w:w="140" w:type="dxa"/>
            </w:tcMar>
          </w:tcPr>
          <w:p>
            <w:r>
              <w:rPr>
                <w:b/>
              </w:rPr>
              <w:t>Start by replacing synthetic base revenue and margin with real values, then connect real media spend by channel. That gives you the fastest path from demo to something useful in live planning.</w:t>
            </w:r>
          </w:p>
        </w:tc>
      </w:tr>
    </w:tbl>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2037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A5F9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20376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