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abel"/>
        <w:jc w:val="center"/>
      </w:pPr>
      <w:r>
        <w:t>FAUZET · PRODUCTOS DIGITALES</w:t>
      </w:r>
    </w:p>
    <w:p>
      <w:pPr>
        <w:pStyle w:val="Title"/>
        <w:jc w:val="center"/>
      </w:pPr>
      <w:r>
        <w:t>Tabla de boosts, mineros y política de reembolso</w:t>
      </w:r>
    </w:p>
    <w:p>
      <w:pPr>
        <w:jc w:val="center"/>
      </w:pPr>
      <w:r>
        <w:rPr>
          <w:i/>
          <w:color w:val="65758B"/>
        </w:rPr>
        <w:t>Versión 0.1 · Documento operativo inicial</w:t>
      </w:r>
    </w:p>
    <w:p>
      <w:pPr>
        <w:spacing w:before="20" w:after="200"/>
        <w:pBdr>
          <w:bottom w:val="single" w:sz="8" w:space="1" w:color="39FF88"/>
        </w:pBdr>
      </w:pPr>
    </w:p>
    <w:p>
      <w:r>
        <w:rPr>
          <w:b/>
        </w:rPr>
        <w:t xml:space="preserve">Objetivo. </w:t>
      </w:r>
      <w:r>
        <w:t>Definir una oferta inicial, clara y configurable de boosts y mineros virtuales, junto con una política sencilla de reembolso para compras dentro de Fauzet.</w:t>
      </w:r>
    </w:p>
    <w:p>
      <w:pPr>
        <w:pStyle w:val="Heading1"/>
      </w:pPr>
      <w:r>
        <w:t>1. Tabla inicial de boosts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80B12"/>
            <w:vAlign w:val="center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592"/>
            <w:shd w:fill="080B12"/>
            <w:vAlign w:val="center"/>
          </w:tcPr>
          <w:p>
            <w:r>
              <w:rPr>
                <w:b/>
                <w:color w:val="FFFFFF"/>
                <w:sz w:val="18"/>
              </w:rPr>
              <w:t>Precio COP</w:t>
            </w:r>
          </w:p>
        </w:tc>
        <w:tc>
          <w:tcPr>
            <w:tcW w:type="dxa" w:w="2592"/>
            <w:shd w:fill="080B12"/>
            <w:vAlign w:val="center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592"/>
            <w:shd w:fill="080B12"/>
            <w:vAlign w:val="center"/>
          </w:tcPr>
          <w:p>
            <w:r>
              <w:rPr>
                <w:b/>
                <w:color w:val="FFFFFF"/>
                <w:sz w:val="18"/>
              </w:rPr>
              <w:t>Unidades / efecto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Energy Drop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$3.900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Uso inmediato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+100 unidades de energía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Repair Kit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$4.900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Uso inmediato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+25 puntos de durabilidad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Quick Claim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$5.900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24 horas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-20% en cooldown del faucet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Game Pulse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$6.900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24 horas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+15% en recompensas válidas de juegos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Hash Spark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$7.900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24 horas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+20% de hashpower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Hash Surge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$14.900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24 horas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+50% de hashpower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Mining Week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$29.900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 días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+25% de hashpower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Full Accelerator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$39.900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7 días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  <w:vAlign w:val="center"/>
          </w:tcPr>
          <w:p>
            <w:r>
              <w:t>+20% hashpower, -15% cooldown y +100 energía diaria</w:t>
            </w:r>
          </w:p>
        </w:tc>
      </w:tr>
    </w:tbl>
    <w:p>
      <w:pPr>
        <w:pStyle w:val="Heading2"/>
      </w:pPr>
      <w:r>
        <w:t>Reglas operativas recomendadas</w:t>
      </w:r>
    </w:p>
    <w:p>
      <w:pPr>
        <w:pStyle w:val="ListBullet"/>
      </w:pPr>
      <w:r>
        <w:t>Cada compra entrega una unidad del boost.</w:t>
      </w:r>
    </w:p>
    <w:p>
      <w:pPr>
        <w:pStyle w:val="ListBullet"/>
      </w:pPr>
      <w:r>
        <w:t>La duración inicia cuando el usuario activa el producto, no cuando lo compra.</w:t>
      </w:r>
    </w:p>
    <w:p>
      <w:pPr>
        <w:pStyle w:val="ListBullet"/>
      </w:pPr>
      <w:r>
        <w:t>Los boosts iguales no se acumulan: extienden su duración.</w:t>
      </w:r>
    </w:p>
    <w:p>
      <w:pPr>
        <w:pStyle w:val="ListBullet"/>
      </w:pPr>
      <w:r>
        <w:t>Los boosts diferentes pueden combinarse con un límite máximo inicial de +75% de hashpower.</w:t>
      </w:r>
    </w:p>
    <w:p>
      <w:pPr>
        <w:pStyle w:val="ListBullet"/>
      </w:pPr>
      <w:r>
        <w:t>Los porcentajes se aplican únicamente sobre actividad y recompensas válidas.</w:t>
      </w:r>
    </w:p>
    <w:p>
      <w:pPr>
        <w:pStyle w:val="ListBullet"/>
      </w:pPr>
      <w:r>
        <w:t>Cada compra debe registrar fecha de compra, activación, vencimiento, precio y versión de la regla económica.</w:t>
      </w:r>
    </w:p>
    <w:p>
      <w:r>
        <w:br w:type="page"/>
      </w:r>
    </w:p>
    <w:p>
      <w:pPr>
        <w:pStyle w:val="Heading1"/>
      </w:pPr>
      <w:r>
        <w:t>2. Tabla inicial de mineros virtuales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7C3AED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592"/>
            <w:shd w:fill="7C3AED"/>
          </w:tcPr>
          <w:p>
            <w:r>
              <w:rPr>
                <w:b/>
                <w:color w:val="FFFFFF"/>
                <w:sz w:val="18"/>
              </w:rPr>
              <w:t>Precio COP</w:t>
            </w:r>
          </w:p>
        </w:tc>
        <w:tc>
          <w:tcPr>
            <w:tcW w:type="dxa" w:w="2592"/>
            <w:shd w:fill="7C3AED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592"/>
            <w:shd w:fill="7C3AED"/>
          </w:tcPr>
          <w:p>
            <w:r>
              <w:rPr>
                <w:b/>
                <w:color w:val="FFFFFF"/>
                <w:sz w:val="18"/>
              </w:rPr>
              <w:t>Unidades / efecto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Dripper Mini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$19.900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30 días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0,25 MH/s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7F4FF"/>
          </w:tcPr>
          <w:p>
            <w:r>
              <w:t>Flow One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7F4FF"/>
          </w:tcPr>
          <w:p>
            <w:r>
              <w:t>$49.900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7F4FF"/>
          </w:tcPr>
          <w:p>
            <w:r>
              <w:t>30 días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7F4FF"/>
          </w:tcPr>
          <w:p>
            <w:r>
              <w:t>0,75 MH/s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Aqua Rig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$119.900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60 días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 MH/s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7F4FF"/>
          </w:tcPr>
          <w:p>
            <w:r>
              <w:t>Zyxe Core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7F4FF"/>
          </w:tcPr>
          <w:p>
            <w:r>
              <w:t>$249.900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7F4FF"/>
          </w:tcPr>
          <w:p>
            <w:r>
              <w:t>90 días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7F4FF"/>
          </w:tcPr>
          <w:p>
            <w:r>
              <w:t>5 MH/s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Neon Forge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$549.900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180 días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12 MH/s</w:t>
            </w:r>
          </w:p>
        </w:tc>
      </w:tr>
    </w:tbl>
    <w:p>
      <w:r>
        <w:rPr>
          <w:b/>
          <w:color w:val="7C3AED"/>
        </w:rPr>
        <w:t xml:space="preserve">Nota de lanzamiento: </w:t>
      </w:r>
      <w:r>
        <w:t>durante la beta conviene activar solo Dripper Mini, Flow One y Aqua Rig. Zyxe Core y Neon Forge pueden mostrarse como “Coming soon” hasta validar demanda, rentabilidad y comportamiento de la economía.</w:t>
      </w:r>
    </w:p>
    <w:p>
      <w:pPr>
        <w:pStyle w:val="Heading2"/>
      </w:pPr>
      <w:r>
        <w:t>Reglas operativas recomendadas</w:t>
      </w:r>
    </w:p>
    <w:p>
      <w:pPr>
        <w:pStyle w:val="ListBullet"/>
      </w:pPr>
      <w:r>
        <w:t>Cada compra entrega un minero virtual; no representa hardware ni minería blockchain real.</w:t>
      </w:r>
    </w:p>
    <w:p>
      <w:pPr>
        <w:pStyle w:val="ListBullet"/>
      </w:pPr>
      <w:r>
        <w:t>La duración comienza al activarse.</w:t>
      </w:r>
    </w:p>
    <w:p>
      <w:pPr>
        <w:pStyle w:val="ListBullet"/>
      </w:pPr>
      <w:r>
        <w:t>Cada minero consume energía y puede requerir mantenimiento.</w:t>
      </w:r>
    </w:p>
    <w:p>
      <w:pPr>
        <w:pStyle w:val="ListBullet"/>
      </w:pPr>
      <w:r>
        <w:t>La potencia anunciada es interna y no equivale a una rentabilidad garantizada en pesos o criptomonedas.</w:t>
      </w:r>
    </w:p>
    <w:p>
      <w:pPr>
        <w:pStyle w:val="ListBullet"/>
      </w:pPr>
      <w:r>
        <w:t>La recompensa depende del pool, hashpower total válido, energía, mantenimiento, límites y reglas económicas.</w:t>
      </w:r>
    </w:p>
    <w:p>
      <w:pPr>
        <w:pStyle w:val="ListBullet"/>
      </w:pPr>
      <w:r>
        <w:t>Los usuarios pueden tener varios mineros, sujetos a límites de potencia y control antifraude.</w:t>
      </w:r>
    </w:p>
    <w:p>
      <w:pPr>
        <w:pStyle w:val="ListBullet"/>
      </w:pPr>
      <w:r>
        <w:t>Los precios, potencia y duración deben ser configurables desde el panel administrativo.</w:t>
      </w:r>
    </w:p>
    <w:p>
      <w:pPr>
        <w:pStyle w:val="Heading1"/>
      </w:pPr>
      <w:r>
        <w:t>3. Política sencilla de reembolso</w:t>
      </w:r>
    </w:p>
    <w:p>
      <w:r>
        <w:rPr>
          <w:b/>
        </w:rPr>
        <w:t xml:space="preserve">Alcance. </w:t>
      </w:r>
      <w:r>
        <w:t>Esta política aplica a boosts, aceleradores, energía, reparaciones y mineros virtuales adquiridos dentro de Fauzet.</w:t>
      </w:r>
    </w:p>
    <w:p>
      <w:pPr>
        <w:pStyle w:val="Heading2"/>
      </w:pPr>
      <w:r>
        <w:t>Plazo y condición general</w:t>
      </w:r>
    </w:p>
    <w:p>
      <w:r>
        <w:t>El usuario puede solicitar un reembolso dentro de los cinco (5) días hábiles siguientes a la compra, siempre que el producto no haya sido activado, utilizado, consumido, transferido ni haya generado recompensas o beneficios dentro de la plataforma.</w:t>
      </w:r>
    </w:p>
    <w:p>
      <w:pPr>
        <w:pStyle w:val="Heading2"/>
      </w:pPr>
      <w:r>
        <w:t>Casos en los que procede</w:t>
      </w:r>
    </w:p>
    <w:p>
      <w:pPr>
        <w:pStyle w:val="ListBullet"/>
      </w:pPr>
      <w:r>
        <w:t>Se realizó un cobro duplicado.</w:t>
      </w:r>
    </w:p>
    <w:p>
      <w:pPr>
        <w:pStyle w:val="ListBullet"/>
      </w:pPr>
      <w:r>
        <w:t>El producto comprado no fue entregado.</w:t>
      </w:r>
    </w:p>
    <w:p>
      <w:pPr>
        <w:pStyle w:val="ListBullet"/>
      </w:pPr>
      <w:r>
        <w:t>El producto fue activado incorrectamente por un fallo técnico atribuible a Fauzet.</w:t>
      </w:r>
    </w:p>
    <w:p>
      <w:pPr>
        <w:pStyle w:val="ListBullet"/>
      </w:pPr>
      <w:r>
        <w:t>La duración, potencia o efecto entregado no coincide con la compra.</w:t>
      </w:r>
    </w:p>
    <w:p>
      <w:pPr>
        <w:pStyle w:val="ListBullet"/>
      </w:pPr>
      <w:r>
        <w:t>Fauzet canceló el producto antes de su activación.</w:t>
      </w:r>
    </w:p>
    <w:p>
      <w:pPr>
        <w:pStyle w:val="Heading2"/>
      </w:pPr>
      <w:r>
        <w:t>Casos en los que no procede</w:t>
      </w:r>
    </w:p>
    <w:p>
      <w:pPr>
        <w:pStyle w:val="ListBullet"/>
      </w:pPr>
      <w:r>
        <w:t>El usuario cambió de opinión después de activar el producto.</w:t>
      </w:r>
    </w:p>
    <w:p>
      <w:pPr>
        <w:pStyle w:val="ListBullet"/>
      </w:pPr>
      <w:r>
        <w:t>El producto ya generó ZYXEs, hashpower, energía, recompensas, reducción de cooldown u otro beneficio.</w:t>
      </w:r>
    </w:p>
    <w:p>
      <w:pPr>
        <w:pStyle w:val="ListBullet"/>
      </w:pPr>
      <w:r>
        <w:t>La cuenta fue suspendida por fraude, abuso, multicuentas o incumplimiento de las reglas.</w:t>
      </w:r>
    </w:p>
    <w:p>
      <w:pPr>
        <w:pStyle w:val="ListBullet"/>
      </w:pPr>
      <w:r>
        <w:t>La solicitud se relaciona con variaciones del pool, dificultad, rendimiento o valor de referencia.</w:t>
      </w:r>
    </w:p>
    <w:p>
      <w:pPr>
        <w:pStyle w:val="ListBullet"/>
      </w:pPr>
      <w:r>
        <w:t>El usuario utilizó el producto en una cuenta equivocada bajo su propio control.</w:t>
      </w:r>
    </w:p>
    <w:p>
      <w:pPr>
        <w:pStyle w:val="Heading2"/>
      </w:pPr>
      <w:r>
        <w:t>Procedimiento</w:t>
      </w:r>
    </w:p>
    <w:p>
      <w:pPr>
        <w:pStyle w:val="ListNumber"/>
      </w:pPr>
      <w:r>
        <w:t>Enviar la solicitud desde el canal oficial de soporte.</w:t>
      </w:r>
    </w:p>
    <w:p>
      <w:pPr>
        <w:pStyle w:val="ListNumber"/>
      </w:pPr>
      <w:r>
        <w:t>Indicar correo de la cuenta, número de compra, fecha, producto y motivo.</w:t>
      </w:r>
    </w:p>
    <w:p>
      <w:pPr>
        <w:pStyle w:val="ListNumber"/>
      </w:pPr>
      <w:r>
        <w:t>Fauzet responderá dentro de un plazo máximo de quince (15) días hábiles.</w:t>
      </w:r>
    </w:p>
    <w:p>
      <w:pPr>
        <w:pStyle w:val="ListNumber"/>
      </w:pPr>
      <w:r>
        <w:t>Cuando proceda, el dinero se devolverá al mismo medio de pago utilizado.</w:t>
      </w:r>
    </w:p>
    <w:p>
      <w:pPr>
        <w:pStyle w:val="ListNumber"/>
      </w:pPr>
      <w:r>
        <w:t>Si la compra fue realizada con ZYXEs, el reembolso se acreditará en ZYXEs y quedará registrado en el ledger.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FF4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87F4B"/>
              </w:rPr>
              <w:t>Confirmación previa a la activación</w:t>
            </w:r>
          </w:p>
          <w:p>
            <w:r>
              <w:rPr>
                <w:i/>
              </w:rPr>
              <w:t>“Entiendo que este producto digital comenzará a ejecutarse inmediatamente y que, una vez activado o utilizado, puede dejar de ser elegible para reembolso, salvo error atribuible a Fauzet.”</w:t>
            </w:r>
          </w:p>
        </w:tc>
      </w:tr>
    </w:tbl>
    <w:p>
      <w:pPr>
        <w:pStyle w:val="Heading2"/>
      </w:pPr>
      <w:r>
        <w:t>Estados internos de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80B12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456"/>
            <w:shd w:fill="080B12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3456"/>
            <w:shd w:fill="080B12"/>
          </w:tcPr>
          <w:p>
            <w:r>
              <w:rPr>
                <w:b/>
                <w:color w:val="FFFFFF"/>
              </w:rPr>
              <w:t>Reembolso</w:t>
            </w:r>
          </w:p>
        </w:tc>
      </w:tr>
      <w:tr>
        <w:tc>
          <w:tcPr>
            <w:tcW w:type="dxa" w:w="3456"/>
          </w:tcPr>
          <w:p>
            <w:r>
              <w:t>Purchased</w:t>
            </w:r>
          </w:p>
        </w:tc>
        <w:tc>
          <w:tcPr>
            <w:tcW w:type="dxa" w:w="3456"/>
          </w:tcPr>
          <w:p>
            <w:r>
              <w:t>Comprado, pero todavía no activado ni consumido.</w:t>
            </w:r>
          </w:p>
        </w:tc>
        <w:tc>
          <w:tcPr>
            <w:tcW w:type="dxa" w:w="3456"/>
          </w:tcPr>
          <w:p>
            <w:r>
              <w:t>Elegible, sujeto a revisión.</w:t>
            </w:r>
          </w:p>
        </w:tc>
      </w:tr>
      <w:tr>
        <w:tc>
          <w:tcPr>
            <w:tcW w:type="dxa" w:w="3456"/>
          </w:tcPr>
          <w:p>
            <w:r>
              <w:t>Activated</w:t>
            </w:r>
          </w:p>
        </w:tc>
        <w:tc>
          <w:tcPr>
            <w:tcW w:type="dxa" w:w="3456"/>
          </w:tcPr>
          <w:p>
            <w:r>
              <w:t>Activado, consumido o generando beneficios.</w:t>
            </w:r>
          </w:p>
        </w:tc>
        <w:tc>
          <w:tcPr>
            <w:tcW w:type="dxa" w:w="3456"/>
          </w:tcPr>
          <w:p>
            <w:r>
              <w:t>No elegible, salvo fallo atribuible a Fauzet.</w:t>
            </w:r>
          </w:p>
        </w:tc>
      </w:tr>
      <w:tr>
        <w:tc>
          <w:tcPr>
            <w:tcW w:type="dxa" w:w="3456"/>
          </w:tcPr>
          <w:p>
            <w:r>
              <w:t>Refunded</w:t>
            </w:r>
          </w:p>
        </w:tc>
        <w:tc>
          <w:tcPr>
            <w:tcW w:type="dxa" w:w="3456"/>
          </w:tcPr>
          <w:p>
            <w:r>
              <w:t>Compra reembolsada o reversada.</w:t>
            </w:r>
          </w:p>
        </w:tc>
        <w:tc>
          <w:tcPr>
            <w:tcW w:type="dxa" w:w="3456"/>
          </w:tcPr>
          <w:p>
            <w:r>
              <w:t>Caso cerrado y registrado en ledger.</w:t>
            </w:r>
          </w:p>
        </w:tc>
      </w:tr>
    </w:tbl>
    <w:p>
      <w:pPr>
        <w:spacing w:before="240"/>
      </w:pPr>
      <w:r>
        <w:rPr>
          <w:b/>
          <w:color w:val="EF4444"/>
        </w:rPr>
        <w:t xml:space="preserve">Aviso: </w:t>
      </w:r>
      <w:r>
        <w:t>Esta es una política operativa preliminar y debe revisarse con asesoría legal antes del lanzamiento comercial. No limita los derechos obligatorios del consumidor según la legislación aplicable.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8A9"/>
        <w:sz w:val="16"/>
      </w:rPr>
      <w:t>Fauzet · Documento operativo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2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0B1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80B1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rPr>
      <w:rFonts w:ascii="Aptos" w:hAnsi="Aptos"/>
      <w:b/>
      <w:caps/>
      <w:color w:val="22A66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Fauzet - Tabla de boosts, mineros y política de reembolso</dc:title>
  <dc:subject>Definición inicial de productos digitales y reembolsos</dc:subject>
  <dc:creator>Fauzet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