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shd w:fill="080B12"/>
          </w:tcPr>
          <w:p>
            <w:pPr>
              <w:jc w:val="center"/>
            </w:pPr>
            <w:r>
              <w:drawing>
                <wp:inline xmlns:a="http://schemas.openxmlformats.org/drawingml/2006/main" xmlns:pic="http://schemas.openxmlformats.org/drawingml/2006/picture">
                  <wp:extent cx="4023360" cy="2682240"/>
                  <wp:docPr id="1" name="Picture 1"/>
                  <wp:cNvGraphicFramePr>
                    <a:graphicFrameLocks noChangeAspect="1"/>
                  </wp:cNvGraphicFramePr>
                  <a:graphic>
                    <a:graphicData uri="http://schemas.openxmlformats.org/drawingml/2006/picture">
                      <pic:pic>
                        <pic:nvPicPr>
                          <pic:cNvPr id="0" name="a_clean_vector_style_logo_graphic_on_a_dark_nearl.png"/>
                          <pic:cNvPicPr/>
                        </pic:nvPicPr>
                        <pic:blipFill>
                          <a:blip r:embed="rId11"/>
                          <a:stretch>
                            <a:fillRect/>
                          </a:stretch>
                        </pic:blipFill>
                        <pic:spPr>
                          <a:xfrm>
                            <a:off x="0" y="0"/>
                            <a:ext cx="4023360" cy="2682240"/>
                          </a:xfrm>
                          <a:prstGeom prst="rect"/>
                        </pic:spPr>
                      </pic:pic>
                    </a:graphicData>
                  </a:graphic>
                </wp:inline>
              </w:drawing>
            </w:r>
          </w:p>
          <w:p>
            <w:pPr>
              <w:jc w:val="center"/>
            </w:pPr>
            <w:r>
              <w:rPr>
                <w:b/>
                <w:color w:val="E5E7EB"/>
                <w:sz w:val="38"/>
              </w:rPr>
              <w:t>DOCUMENTACIÓN TÉCNICA, ECONÓMICA Y FUNCIONAL</w:t>
            </w:r>
          </w:p>
          <w:p>
            <w:pPr>
              <w:jc w:val="center"/>
            </w:pPr>
            <w:r>
              <w:rPr>
                <w:b/>
                <w:color w:val="39FF88"/>
                <w:sz w:val="68"/>
              </w:rPr>
              <w:t>FAUZET &amp; ZYXE</w:t>
            </w:r>
          </w:p>
          <w:p>
            <w:pPr>
              <w:jc w:val="center"/>
            </w:pPr>
            <w:r>
              <w:rPr>
                <w:color w:val="22D3EE"/>
                <w:sz w:val="24"/>
              </w:rPr>
              <w:t>Versión 0.1  •  10 de julio de 2026</w:t>
            </w:r>
          </w:p>
          <w:p/>
          <w:p/>
          <w:p/>
          <w:p/>
          <w:p>
            <w:pPr>
              <w:jc w:val="center"/>
            </w:pPr>
            <w:r>
              <w:rPr>
                <w:color w:val="E5E7EB"/>
                <w:sz w:val="22"/>
              </w:rPr>
              <w:t>Plataforma gamificada de micro-recompensas, minería virtual y economía digital interna.</w:t>
            </w:r>
          </w:p>
          <w:p>
            <w:pPr>
              <w:jc w:val="center"/>
            </w:pPr>
            <w:r>
              <w:rPr>
                <w:color w:val="94A3B8"/>
                <w:sz w:val="18"/>
              </w:rPr>
              <w:t>Propietario del concepto: Edison Múnera</w:t>
            </w:r>
          </w:p>
          <w:p>
            <w:pPr>
              <w:jc w:val="center"/>
            </w:pPr>
            <w:r>
              <w:rPr>
                <w:b/>
                <w:color w:val="FFB020"/>
                <w:sz w:val="16"/>
              </w:rPr>
              <w:t>ESTADO: BORRADOR ESTRATÉGICO PARA DISEÑO, DESARROLLO, VALIDACIÓN Y REVISIÓN LEGAL</w:t>
            </w:r>
          </w:p>
        </w:tc>
      </w:tr>
    </w:tbl>
    <w:p>
      <w:r>
        <w:br w:type="page"/>
      </w:r>
    </w:p>
    <w:p>
      <w:pPr>
        <w:pStyle w:val="Heading1"/>
      </w:pPr>
      <w:r>
        <w:t>Control del documento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080B12"/>
            <w:vAlign w:val="center"/>
          </w:tcPr>
          <w:p>
            <w:pPr>
              <w:jc w:val="center"/>
            </w:pPr>
            <w:r>
              <w:rPr>
                <w:b/>
                <w:color w:val="39FF88"/>
                <w:sz w:val="18"/>
              </w:rPr>
              <w:t>Campo</w:t>
            </w:r>
          </w:p>
        </w:tc>
        <w:tc>
          <w:tcPr>
            <w:tcW w:type="dxa" w:w="6912"/>
            <w:shd w:fill="080B12"/>
            <w:vAlign w:val="center"/>
          </w:tcPr>
          <w:p>
            <w:pPr>
              <w:jc w:val="center"/>
            </w:pPr>
            <w:r>
              <w:rPr>
                <w:b/>
                <w:color w:val="39FF88"/>
                <w:sz w:val="18"/>
              </w:rPr>
              <w:t>Definición</w:t>
            </w:r>
          </w:p>
        </w:tc>
      </w:tr>
      <w:tr>
        <w:tc>
          <w:tcPr>
            <w:tcW w:type="dxa" w:w="2448"/>
            <w:shd w:fill="F8FAFC"/>
            <w:vAlign w:val="center"/>
          </w:tcPr>
          <w:p>
            <w:r>
              <w:rPr>
                <w:color w:val="1E293B"/>
                <w:sz w:val="17"/>
              </w:rPr>
              <w:t>Proyecto</w:t>
            </w:r>
          </w:p>
        </w:tc>
        <w:tc>
          <w:tcPr>
            <w:tcW w:type="dxa" w:w="6912"/>
            <w:shd w:fill="F8FAFC"/>
            <w:vAlign w:val="center"/>
          </w:tcPr>
          <w:p>
            <w:r>
              <w:rPr>
                <w:color w:val="1E293B"/>
                <w:sz w:val="17"/>
              </w:rPr>
              <w:t>Fauzet</w:t>
            </w:r>
          </w:p>
        </w:tc>
      </w:tr>
      <w:tr>
        <w:tc>
          <w:tcPr>
            <w:tcW w:type="dxa" w:w="2448"/>
            <w:vAlign w:val="center"/>
          </w:tcPr>
          <w:p>
            <w:r>
              <w:rPr>
                <w:color w:val="1E293B"/>
                <w:sz w:val="17"/>
              </w:rPr>
              <w:t>Unidad económica</w:t>
            </w:r>
          </w:p>
        </w:tc>
        <w:tc>
          <w:tcPr>
            <w:tcW w:type="dxa" w:w="6912"/>
            <w:vAlign w:val="center"/>
          </w:tcPr>
          <w:p>
            <w:r>
              <w:rPr>
                <w:color w:val="1E293B"/>
                <w:sz w:val="17"/>
              </w:rPr>
              <w:t>Zyxe (ticker propuesto: ZYXE; plural: Zyxes)</w:t>
            </w:r>
          </w:p>
        </w:tc>
      </w:tr>
      <w:tr>
        <w:tc>
          <w:tcPr>
            <w:tcW w:type="dxa" w:w="2448"/>
            <w:shd w:fill="F8FAFC"/>
            <w:vAlign w:val="center"/>
          </w:tcPr>
          <w:p>
            <w:r>
              <w:rPr>
                <w:color w:val="1E293B"/>
                <w:sz w:val="17"/>
              </w:rPr>
              <w:t>Versión</w:t>
            </w:r>
          </w:p>
        </w:tc>
        <w:tc>
          <w:tcPr>
            <w:tcW w:type="dxa" w:w="6912"/>
            <w:shd w:fill="F8FAFC"/>
            <w:vAlign w:val="center"/>
          </w:tcPr>
          <w:p>
            <w:r>
              <w:rPr>
                <w:color w:val="1E293B"/>
                <w:sz w:val="17"/>
              </w:rPr>
              <w:t>0.1 - definición inicial</w:t>
            </w:r>
          </w:p>
        </w:tc>
      </w:tr>
      <w:tr>
        <w:tc>
          <w:tcPr>
            <w:tcW w:type="dxa" w:w="2448"/>
            <w:vAlign w:val="center"/>
          </w:tcPr>
          <w:p>
            <w:r>
              <w:rPr>
                <w:color w:val="1E293B"/>
                <w:sz w:val="17"/>
              </w:rPr>
              <w:t>Fecha</w:t>
            </w:r>
          </w:p>
        </w:tc>
        <w:tc>
          <w:tcPr>
            <w:tcW w:type="dxa" w:w="6912"/>
            <w:vAlign w:val="center"/>
          </w:tcPr>
          <w:p>
            <w:r>
              <w:rPr>
                <w:color w:val="1E293B"/>
                <w:sz w:val="17"/>
              </w:rPr>
              <w:t>10 de julio de 2026</w:t>
            </w:r>
          </w:p>
        </w:tc>
      </w:tr>
      <w:tr>
        <w:tc>
          <w:tcPr>
            <w:tcW w:type="dxa" w:w="2448"/>
            <w:shd w:fill="F8FAFC"/>
            <w:vAlign w:val="center"/>
          </w:tcPr>
          <w:p>
            <w:r>
              <w:rPr>
                <w:color w:val="1E293B"/>
                <w:sz w:val="17"/>
              </w:rPr>
              <w:t>Propósito</w:t>
            </w:r>
          </w:p>
        </w:tc>
        <w:tc>
          <w:tcPr>
            <w:tcW w:type="dxa" w:w="6912"/>
            <w:shd w:fill="F8FAFC"/>
            <w:vAlign w:val="center"/>
          </w:tcPr>
          <w:p>
            <w:r>
              <w:rPr>
                <w:color w:val="1E293B"/>
                <w:sz w:val="17"/>
              </w:rPr>
              <w:t>Consolidar el modelo funcional, económico, técnico y administrativo para construir el MVP y orientar la evolución hacia un posible token público.</w:t>
            </w:r>
          </w:p>
        </w:tc>
      </w:tr>
      <w:tr>
        <w:tc>
          <w:tcPr>
            <w:tcW w:type="dxa" w:w="2448"/>
            <w:vAlign w:val="center"/>
          </w:tcPr>
          <w:p>
            <w:r>
              <w:rPr>
                <w:color w:val="1E293B"/>
                <w:sz w:val="17"/>
              </w:rPr>
              <w:t>Estado</w:t>
            </w:r>
          </w:p>
        </w:tc>
        <w:tc>
          <w:tcPr>
            <w:tcW w:type="dxa" w:w="6912"/>
            <w:vAlign w:val="center"/>
          </w:tcPr>
          <w:p>
            <w:r>
              <w:rPr>
                <w:color w:val="1E293B"/>
                <w:sz w:val="17"/>
              </w:rPr>
              <w:t>Documento de trabajo; no constituye whitepaper final, asesoría legal, promesa de inversión ni oferta pública.</w:t>
            </w:r>
          </w:p>
        </w:tc>
      </w:tr>
    </w:tbl>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EF4444"/>
              <w:bottom w:val="single" w:sz="2" w:color="DDE3EA"/>
              <w:right w:val="single" w:sz="2" w:color="DDE3EA"/>
            </w:tcBorders>
          </w:tcPr>
          <w:p>
            <w:r>
              <w:rPr>
                <w:b/>
                <w:color w:val="EF4444"/>
                <w:sz w:val="22"/>
              </w:rPr>
              <w:t>Advertencia esencial</w:t>
              <w:br/>
            </w:r>
            <w:r>
              <w:rPr>
                <w:color w:val="334155"/>
                <w:sz w:val="19"/>
              </w:rPr>
              <w:t>ZYXE debe iniciar como unidad interna sin precio público ni convertibilidad automática. La tokenización pública, el trading real, la custodia y los rendimientos por bloqueo requieren validación económica, seguridad, auditoría y análisis jurídico en cada jurisdicción.</w:t>
            </w:r>
          </w:p>
        </w:tc>
      </w:tr>
    </w:tbl>
    <w:p/>
    <w:p>
      <w:pPr>
        <w:pStyle w:val="Heading1"/>
      </w:pPr>
      <w:r>
        <w:t>Contenido</w:t>
      </w:r>
    </w:p>
    <w:tbl>
      <w:tblPr>
        <w:tblW w:type="auto" w:w="0"/>
        <w:jc w:val="center"/>
        <w:tblLayout w:type="fixed"/>
        <w:tblLook w:firstColumn="1" w:firstRow="1" w:lastColumn="0" w:lastRow="0" w:noHBand="0" w:noVBand="1" w:val="04A0"/>
      </w:tblPr>
      <w:tblGrid>
        <w:gridCol w:w="5040"/>
        <w:gridCol w:w="5040"/>
      </w:tblGrid>
      <w:tr>
        <w:tc>
          <w:tcPr>
            <w:tcW w:type="dxa" w:w="4608"/>
            <w:tcBorders>
              <w:bottom w:val="single" w:sz="2" w:color="E2E8F0"/>
            </w:tcBorders>
          </w:tcPr>
          <w:p>
            <w:r>
              <w:rPr>
                <w:color w:val="334155"/>
                <w:sz w:val="17"/>
              </w:rPr>
              <w:t>1. Resumen ejecutivo</w:t>
            </w:r>
          </w:p>
        </w:tc>
        <w:tc>
          <w:tcPr>
            <w:tcW w:type="dxa" w:w="4608"/>
            <w:tcBorders>
              <w:bottom w:val="single" w:sz="2" w:color="E2E8F0"/>
            </w:tcBorders>
          </w:tcPr>
          <w:p>
            <w:r>
              <w:rPr>
                <w:color w:val="334155"/>
                <w:sz w:val="17"/>
              </w:rPr>
              <w:t>14. Conversión y retiros</w:t>
            </w:r>
          </w:p>
        </w:tc>
      </w:tr>
      <w:tr>
        <w:tc>
          <w:tcPr>
            <w:tcW w:type="dxa" w:w="4608"/>
            <w:tcBorders>
              <w:bottom w:val="single" w:sz="2" w:color="E2E8F0"/>
            </w:tcBorders>
          </w:tcPr>
          <w:p>
            <w:r>
              <w:rPr>
                <w:color w:val="334155"/>
                <w:sz w:val="17"/>
              </w:rPr>
              <w:t>2. Identidad de Fauzet y ZYXE</w:t>
            </w:r>
          </w:p>
        </w:tc>
        <w:tc>
          <w:tcPr>
            <w:tcW w:type="dxa" w:w="4608"/>
            <w:tcBorders>
              <w:bottom w:val="single" w:sz="2" w:color="E2E8F0"/>
            </w:tcBorders>
          </w:tcPr>
          <w:p>
            <w:r>
              <w:rPr>
                <w:color w:val="334155"/>
                <w:sz w:val="17"/>
              </w:rPr>
              <w:t>15. Tesorería y separación de fondos</w:t>
            </w:r>
          </w:p>
        </w:tc>
      </w:tr>
      <w:tr>
        <w:tc>
          <w:tcPr>
            <w:tcW w:type="dxa" w:w="4608"/>
            <w:tcBorders>
              <w:bottom w:val="single" w:sz="2" w:color="E2E8F0"/>
            </w:tcBorders>
          </w:tcPr>
          <w:p>
            <w:r>
              <w:rPr>
                <w:color w:val="334155"/>
                <w:sz w:val="17"/>
              </w:rPr>
              <w:t>3. Alcance del producto</w:t>
            </w:r>
          </w:p>
        </w:tc>
        <w:tc>
          <w:tcPr>
            <w:tcW w:type="dxa" w:w="4608"/>
            <w:tcBorders>
              <w:bottom w:val="single" w:sz="2" w:color="E2E8F0"/>
            </w:tcBorders>
          </w:tcPr>
          <w:p>
            <w:r>
              <w:rPr>
                <w:color w:val="334155"/>
                <w:sz w:val="17"/>
              </w:rPr>
              <w:t>16. Panel administrativo y Owner Wallet</w:t>
            </w:r>
          </w:p>
        </w:tc>
      </w:tr>
      <w:tr>
        <w:tc>
          <w:tcPr>
            <w:tcW w:type="dxa" w:w="4608"/>
            <w:tcBorders>
              <w:bottom w:val="single" w:sz="2" w:color="E2E8F0"/>
            </w:tcBorders>
          </w:tcPr>
          <w:p>
            <w:r>
              <w:rPr>
                <w:color w:val="334155"/>
                <w:sz w:val="17"/>
              </w:rPr>
              <w:t>4. Principios económicos</w:t>
            </w:r>
          </w:p>
        </w:tc>
        <w:tc>
          <w:tcPr>
            <w:tcW w:type="dxa" w:w="4608"/>
            <w:tcBorders>
              <w:bottom w:val="single" w:sz="2" w:color="E2E8F0"/>
            </w:tcBorders>
          </w:tcPr>
          <w:p>
            <w:r>
              <w:rPr>
                <w:color w:val="334155"/>
                <w:sz w:val="17"/>
              </w:rPr>
              <w:t>17. Ledger, contabilidad y auditoría</w:t>
            </w:r>
          </w:p>
        </w:tc>
      </w:tr>
      <w:tr>
        <w:tc>
          <w:tcPr>
            <w:tcW w:type="dxa" w:w="4608"/>
            <w:tcBorders>
              <w:bottom w:val="single" w:sz="2" w:color="E2E8F0"/>
            </w:tcBorders>
          </w:tcPr>
          <w:p>
            <w:r>
              <w:rPr>
                <w:color w:val="334155"/>
                <w:sz w:val="17"/>
              </w:rPr>
              <w:t>5. Modelo de ingresos y utilidad del propietario</w:t>
            </w:r>
          </w:p>
        </w:tc>
        <w:tc>
          <w:tcPr>
            <w:tcW w:type="dxa" w:w="4608"/>
            <w:tcBorders>
              <w:bottom w:val="single" w:sz="2" w:color="E2E8F0"/>
            </w:tcBorders>
          </w:tcPr>
          <w:p>
            <w:r>
              <w:rPr>
                <w:color w:val="334155"/>
                <w:sz w:val="17"/>
              </w:rPr>
              <w:t>18. Seguridad y antifraude</w:t>
            </w:r>
          </w:p>
        </w:tc>
      </w:tr>
      <w:tr>
        <w:tc>
          <w:tcPr>
            <w:tcW w:type="dxa" w:w="4608"/>
            <w:tcBorders>
              <w:bottom w:val="single" w:sz="2" w:color="E2E8F0"/>
            </w:tcBorders>
          </w:tcPr>
          <w:p>
            <w:r>
              <w:rPr>
                <w:color w:val="334155"/>
                <w:sz w:val="17"/>
              </w:rPr>
              <w:t>6. Economía de ZYXE</w:t>
            </w:r>
          </w:p>
        </w:tc>
        <w:tc>
          <w:tcPr>
            <w:tcW w:type="dxa" w:w="4608"/>
            <w:tcBorders>
              <w:bottom w:val="single" w:sz="2" w:color="E2E8F0"/>
            </w:tcBorders>
          </w:tcPr>
          <w:p>
            <w:r>
              <w:rPr>
                <w:color w:val="334155"/>
                <w:sz w:val="17"/>
              </w:rPr>
              <w:t>19. Arquitectura técnica</w:t>
            </w:r>
          </w:p>
        </w:tc>
      </w:tr>
      <w:tr>
        <w:tc>
          <w:tcPr>
            <w:tcW w:type="dxa" w:w="4608"/>
            <w:tcBorders>
              <w:bottom w:val="single" w:sz="2" w:color="E2E8F0"/>
            </w:tcBorders>
          </w:tcPr>
          <w:p>
            <w:r>
              <w:rPr>
                <w:color w:val="334155"/>
                <w:sz w:val="17"/>
              </w:rPr>
              <w:t>7. Formas de obtención</w:t>
            </w:r>
          </w:p>
        </w:tc>
        <w:tc>
          <w:tcPr>
            <w:tcW w:type="dxa" w:w="4608"/>
            <w:tcBorders>
              <w:bottom w:val="single" w:sz="2" w:color="E2E8F0"/>
            </w:tcBorders>
          </w:tcPr>
          <w:p>
            <w:r>
              <w:rPr>
                <w:color w:val="334155"/>
                <w:sz w:val="17"/>
              </w:rPr>
              <w:t>20. MVP y flujo de prueba</w:t>
            </w:r>
          </w:p>
        </w:tc>
      </w:tr>
      <w:tr>
        <w:tc>
          <w:tcPr>
            <w:tcW w:type="dxa" w:w="4608"/>
            <w:tcBorders>
              <w:bottom w:val="single" w:sz="2" w:color="E2E8F0"/>
            </w:tcBorders>
          </w:tcPr>
          <w:p>
            <w:r>
              <w:rPr>
                <w:color w:val="334155"/>
                <w:sz w:val="17"/>
              </w:rPr>
              <w:t>8. Usos y mecanismos de consumo</w:t>
            </w:r>
          </w:p>
        </w:tc>
        <w:tc>
          <w:tcPr>
            <w:tcW w:type="dxa" w:w="4608"/>
            <w:tcBorders>
              <w:bottom w:val="single" w:sz="2" w:color="E2E8F0"/>
            </w:tcBorders>
          </w:tcPr>
          <w:p>
            <w:r>
              <w:rPr>
                <w:color w:val="334155"/>
                <w:sz w:val="17"/>
              </w:rPr>
              <w:t>21. Roadmap</w:t>
            </w:r>
          </w:p>
        </w:tc>
      </w:tr>
      <w:tr>
        <w:tc>
          <w:tcPr>
            <w:tcW w:type="dxa" w:w="4608"/>
            <w:tcBorders>
              <w:bottom w:val="single" w:sz="2" w:color="E2E8F0"/>
            </w:tcBorders>
          </w:tcPr>
          <w:p>
            <w:r>
              <w:rPr>
                <w:color w:val="334155"/>
                <w:sz w:val="17"/>
              </w:rPr>
              <w:t>9. Minería virtual</w:t>
            </w:r>
          </w:p>
        </w:tc>
        <w:tc>
          <w:tcPr>
            <w:tcW w:type="dxa" w:w="4608"/>
            <w:tcBorders>
              <w:bottom w:val="single" w:sz="2" w:color="E2E8F0"/>
            </w:tcBorders>
          </w:tcPr>
          <w:p>
            <w:r>
              <w:rPr>
                <w:color w:val="334155"/>
                <w:sz w:val="17"/>
              </w:rPr>
              <w:t>22. Indicadores y alertas</w:t>
            </w:r>
          </w:p>
        </w:tc>
      </w:tr>
      <w:tr>
        <w:tc>
          <w:tcPr>
            <w:tcW w:type="dxa" w:w="4608"/>
            <w:tcBorders>
              <w:bottom w:val="single" w:sz="2" w:color="E2E8F0"/>
            </w:tcBorders>
          </w:tcPr>
          <w:p>
            <w:r>
              <w:rPr>
                <w:color w:val="334155"/>
                <w:sz w:val="17"/>
              </w:rPr>
              <w:t>10. ZYXE Vault</w:t>
            </w:r>
          </w:p>
        </w:tc>
        <w:tc>
          <w:tcPr>
            <w:tcW w:type="dxa" w:w="4608"/>
            <w:tcBorders>
              <w:bottom w:val="single" w:sz="2" w:color="E2E8F0"/>
            </w:tcBorders>
          </w:tcPr>
          <w:p>
            <w:r>
              <w:rPr>
                <w:color w:val="334155"/>
                <w:sz w:val="17"/>
              </w:rPr>
              <w:t>23. Riesgos y controles</w:t>
            </w:r>
          </w:p>
        </w:tc>
      </w:tr>
      <w:tr>
        <w:tc>
          <w:tcPr>
            <w:tcW w:type="dxa" w:w="4608"/>
            <w:tcBorders>
              <w:bottom w:val="single" w:sz="2" w:color="E2E8F0"/>
            </w:tcBorders>
          </w:tcPr>
          <w:p>
            <w:r>
              <w:rPr>
                <w:color w:val="334155"/>
                <w:sz w:val="17"/>
              </w:rPr>
              <w:t>11. Red de referidos de cuatro niveles</w:t>
            </w:r>
          </w:p>
        </w:tc>
        <w:tc>
          <w:tcPr>
            <w:tcW w:type="dxa" w:w="4608"/>
            <w:tcBorders>
              <w:bottom w:val="single" w:sz="2" w:color="E2E8F0"/>
            </w:tcBorders>
          </w:tcPr>
          <w:p>
            <w:r>
              <w:rPr>
                <w:color w:val="334155"/>
                <w:sz w:val="17"/>
              </w:rPr>
              <w:t>24. Marco de cumplimiento preliminar</w:t>
            </w:r>
          </w:p>
        </w:tc>
      </w:tr>
      <w:tr>
        <w:tc>
          <w:tcPr>
            <w:tcW w:type="dxa" w:w="4608"/>
            <w:tcBorders>
              <w:bottom w:val="single" w:sz="2" w:color="E2E8F0"/>
            </w:tcBorders>
          </w:tcPr>
          <w:p>
            <w:r>
              <w:rPr>
                <w:color w:val="334155"/>
                <w:sz w:val="17"/>
              </w:rPr>
              <w:t>12. Juegos, misiones y eventos</w:t>
            </w:r>
          </w:p>
        </w:tc>
        <w:tc>
          <w:tcPr>
            <w:tcW w:type="dxa" w:w="4608"/>
            <w:tcBorders>
              <w:bottom w:val="single" w:sz="2" w:color="E2E8F0"/>
            </w:tcBorders>
          </w:tcPr>
          <w:p>
            <w:r>
              <w:rPr>
                <w:color w:val="334155"/>
                <w:sz w:val="17"/>
              </w:rPr>
              <w:t>25. Parámetros abiertos y decisiones pendientes</w:t>
            </w:r>
          </w:p>
        </w:tc>
      </w:tr>
      <w:tr>
        <w:tc>
          <w:tcPr>
            <w:tcW w:type="dxa" w:w="4608"/>
            <w:tcBorders>
              <w:bottom w:val="single" w:sz="2" w:color="E2E8F0"/>
            </w:tcBorders>
          </w:tcPr>
          <w:p>
            <w:r>
              <w:rPr>
                <w:color w:val="334155"/>
                <w:sz w:val="17"/>
              </w:rPr>
              <w:t>13. Microtrading y mercados internos</w:t>
            </w:r>
          </w:p>
        </w:tc>
        <w:tc>
          <w:tcPr>
            <w:tcW w:type="dxa" w:w="4608"/>
            <w:tcBorders>
              <w:bottom w:val="single" w:sz="2" w:color="E2E8F0"/>
            </w:tcBorders>
          </w:tcPr>
          <w:p>
            <w:r>
              <w:rPr>
                <w:color w:val="334155"/>
                <w:sz w:val="17"/>
              </w:rPr>
              <w:t>26. Anexos y fuentes de referencia</w:t>
            </w:r>
          </w:p>
        </w:tc>
      </w:tr>
    </w:tbl>
    <w:p>
      <w:r>
        <w:br w:type="page"/>
      </w:r>
    </w:p>
    <w:p>
      <w:pPr>
        <w:pStyle w:val="Heading1"/>
      </w:pPr>
      <w:r>
        <w:t>1. Resumen ejecutivo</w:t>
      </w:r>
    </w:p>
    <w:p>
      <w:r>
        <w:t>Fauzet es una plataforma digital gamificada orientada a micro-recompensas cripto. Su experiencia combina faucet, minijuegos, misiones, minería virtual, equipos de referidos, boosts, aceleradores, mercado interno y una capa futura de conversión a criptoactivos reales.</w:t>
      </w:r>
    </w:p>
    <w:p>
      <w:r>
        <w:t>ZYXE es la unidad económica del ecosistema. Durante el MVP existirá únicamente como saldo interno registrado en un ledger. Su posible conversión en token blockchain público dependerá de que Fauzet demuestre utilidad, sostenibilidad, reservas, control antifraude, demanda orgánica y capacidad de cumplimiento.</w:t>
      </w:r>
    </w:p>
    <w:p>
      <w:r>
        <w:t>El dinero del propietario no proviene de emitir ZYXEs sin respaldo. Proviene de ingresos reales: anuncios recompensados, offerwalls, ventas digitales, membresías, patrocinios, afiliados, spreads y comisiones. Solo una fracción de esos ingresos financia recompensas, referidos, liquidez y retiros.</w:t>
      </w:r>
    </w:p>
    <w:p>
      <w:r>
        <w:t>El diseño prioriza una economía con pools limitados, mecanismos de gasto permanentes, tesorería separada, trazabilidad contable y un panel Owner que muestre utilidad disponible sin mezclarla con fondos de usuarios.</w:t>
      </w:r>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39FF88"/>
              <w:bottom w:val="single" w:sz="2" w:color="DDE3EA"/>
              <w:right w:val="single" w:sz="2" w:color="DDE3EA"/>
            </w:tcBorders>
          </w:tcPr>
          <w:p>
            <w:r>
              <w:rPr>
                <w:b/>
                <w:color w:val="39FF88"/>
                <w:sz w:val="22"/>
              </w:rPr>
              <w:t>Decisión rectora</w:t>
              <w:br/>
            </w:r>
            <w:r>
              <w:rPr>
                <w:color w:val="334155"/>
                <w:sz w:val="19"/>
              </w:rPr>
              <w:t>Primero se valida una economía interna sostenible. Después se habilitan retiros controlados. Solo entonces se evalúa tokenizar ZYXE en una red existente. Una red propia no forma parte del alcance inicial.</w:t>
            </w:r>
          </w:p>
        </w:tc>
      </w:tr>
    </w:tbl>
    <w:p/>
    <w:p>
      <w:pPr>
        <w:pStyle w:val="Heading1"/>
      </w:pPr>
      <w:r>
        <w:t>2. Identidad de Fauzet y ZYXE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080B12"/>
            <w:vAlign w:val="center"/>
          </w:tcPr>
          <w:p>
            <w:pPr>
              <w:jc w:val="center"/>
            </w:pPr>
            <w:r>
              <w:rPr>
                <w:b/>
                <w:color w:val="39FF88"/>
                <w:sz w:val="18"/>
              </w:rPr>
              <w:t>Elemento</w:t>
            </w:r>
          </w:p>
        </w:tc>
        <w:tc>
          <w:tcPr>
            <w:tcW w:type="dxa" w:w="6768"/>
            <w:shd w:fill="080B12"/>
            <w:vAlign w:val="center"/>
          </w:tcPr>
          <w:p>
            <w:pPr>
              <w:jc w:val="center"/>
            </w:pPr>
            <w:r>
              <w:rPr>
                <w:b/>
                <w:color w:val="39FF88"/>
                <w:sz w:val="18"/>
              </w:rPr>
              <w:t>Definición</w:t>
            </w:r>
          </w:p>
        </w:tc>
      </w:tr>
      <w:tr>
        <w:tc>
          <w:tcPr>
            <w:tcW w:type="dxa" w:w="2592"/>
            <w:shd w:fill="F8FAFC"/>
            <w:vAlign w:val="center"/>
          </w:tcPr>
          <w:p>
            <w:r>
              <w:rPr>
                <w:color w:val="1E293B"/>
                <w:sz w:val="17"/>
              </w:rPr>
              <w:t>Marca</w:t>
            </w:r>
          </w:p>
        </w:tc>
        <w:tc>
          <w:tcPr>
            <w:tcW w:type="dxa" w:w="6768"/>
            <w:shd w:fill="F8FAFC"/>
            <w:vAlign w:val="center"/>
          </w:tcPr>
          <w:p>
            <w:r>
              <w:rPr>
                <w:color w:val="1E293B"/>
                <w:sz w:val="17"/>
              </w:rPr>
              <w:t>Fauzet</w:t>
            </w:r>
          </w:p>
        </w:tc>
      </w:tr>
      <w:tr>
        <w:tc>
          <w:tcPr>
            <w:tcW w:type="dxa" w:w="2592"/>
            <w:vAlign w:val="center"/>
          </w:tcPr>
          <w:p>
            <w:r>
              <w:rPr>
                <w:color w:val="1E293B"/>
                <w:sz w:val="17"/>
              </w:rPr>
              <w:t>Tagline preliminar</w:t>
            </w:r>
          </w:p>
        </w:tc>
        <w:tc>
          <w:tcPr>
            <w:tcW w:type="dxa" w:w="6768"/>
            <w:vAlign w:val="center"/>
          </w:tcPr>
          <w:p>
            <w:r>
              <w:rPr>
                <w:color w:val="1E293B"/>
                <w:sz w:val="17"/>
              </w:rPr>
              <w:t>Drip sats. Every day.</w:t>
            </w:r>
          </w:p>
        </w:tc>
      </w:tr>
      <w:tr>
        <w:tc>
          <w:tcPr>
            <w:tcW w:type="dxa" w:w="2592"/>
            <w:shd w:fill="F8FAFC"/>
            <w:vAlign w:val="center"/>
          </w:tcPr>
          <w:p>
            <w:r>
              <w:rPr>
                <w:color w:val="1E293B"/>
                <w:sz w:val="17"/>
              </w:rPr>
              <w:t>Nombre de la unidad</w:t>
            </w:r>
          </w:p>
        </w:tc>
        <w:tc>
          <w:tcPr>
            <w:tcW w:type="dxa" w:w="6768"/>
            <w:shd w:fill="F8FAFC"/>
            <w:vAlign w:val="center"/>
          </w:tcPr>
          <w:p>
            <w:r>
              <w:rPr>
                <w:color w:val="1E293B"/>
                <w:sz w:val="17"/>
              </w:rPr>
              <w:t>Zyxe</w:t>
            </w:r>
          </w:p>
        </w:tc>
      </w:tr>
      <w:tr>
        <w:tc>
          <w:tcPr>
            <w:tcW w:type="dxa" w:w="2592"/>
            <w:vAlign w:val="center"/>
          </w:tcPr>
          <w:p>
            <w:r>
              <w:rPr>
                <w:color w:val="1E293B"/>
                <w:sz w:val="17"/>
              </w:rPr>
              <w:t>Ticker propuesto</w:t>
            </w:r>
          </w:p>
        </w:tc>
        <w:tc>
          <w:tcPr>
            <w:tcW w:type="dxa" w:w="6768"/>
            <w:vAlign w:val="center"/>
          </w:tcPr>
          <w:p>
            <w:r>
              <w:rPr>
                <w:color w:val="1E293B"/>
                <w:sz w:val="17"/>
              </w:rPr>
              <w:t>ZYXE</w:t>
            </w:r>
          </w:p>
        </w:tc>
      </w:tr>
      <w:tr>
        <w:tc>
          <w:tcPr>
            <w:tcW w:type="dxa" w:w="2592"/>
            <w:shd w:fill="F8FAFC"/>
            <w:vAlign w:val="center"/>
          </w:tcPr>
          <w:p>
            <w:r>
              <w:rPr>
                <w:color w:val="1E293B"/>
                <w:sz w:val="17"/>
              </w:rPr>
              <w:t>Plural</w:t>
            </w:r>
          </w:p>
        </w:tc>
        <w:tc>
          <w:tcPr>
            <w:tcW w:type="dxa" w:w="6768"/>
            <w:shd w:fill="F8FAFC"/>
            <w:vAlign w:val="center"/>
          </w:tcPr>
          <w:p>
            <w:r>
              <w:rPr>
                <w:color w:val="1E293B"/>
                <w:sz w:val="17"/>
              </w:rPr>
              <w:t>Zyxes</w:t>
            </w:r>
          </w:p>
        </w:tc>
      </w:tr>
      <w:tr>
        <w:tc>
          <w:tcPr>
            <w:tcW w:type="dxa" w:w="2592"/>
            <w:vAlign w:val="center"/>
          </w:tcPr>
          <w:p>
            <w:r>
              <w:rPr>
                <w:color w:val="1E293B"/>
                <w:sz w:val="17"/>
              </w:rPr>
              <w:t>Rol inicial</w:t>
            </w:r>
          </w:p>
        </w:tc>
        <w:tc>
          <w:tcPr>
            <w:tcW w:type="dxa" w:w="6768"/>
            <w:vAlign w:val="center"/>
          </w:tcPr>
          <w:p>
            <w:r>
              <w:rPr>
                <w:color w:val="1E293B"/>
                <w:sz w:val="17"/>
              </w:rPr>
              <w:t>Unidad de recompensa y utilidad interna</w:t>
            </w:r>
          </w:p>
        </w:tc>
      </w:tr>
      <w:tr>
        <w:tc>
          <w:tcPr>
            <w:tcW w:type="dxa" w:w="2592"/>
            <w:shd w:fill="F8FAFC"/>
            <w:vAlign w:val="center"/>
          </w:tcPr>
          <w:p>
            <w:r>
              <w:rPr>
                <w:color w:val="1E293B"/>
                <w:sz w:val="17"/>
              </w:rPr>
              <w:t>Rol futuro posible</w:t>
            </w:r>
          </w:p>
        </w:tc>
        <w:tc>
          <w:tcPr>
            <w:tcW w:type="dxa" w:w="6768"/>
            <w:shd w:fill="F8FAFC"/>
            <w:vAlign w:val="center"/>
          </w:tcPr>
          <w:p>
            <w:r>
              <w:rPr>
                <w:color w:val="1E293B"/>
                <w:sz w:val="17"/>
              </w:rPr>
              <w:t>Token público en una red existente, condicionado a auditoría y revisión legal</w:t>
            </w:r>
          </w:p>
        </w:tc>
      </w:tr>
      <w:tr>
        <w:tc>
          <w:tcPr>
            <w:tcW w:type="dxa" w:w="2592"/>
            <w:vAlign w:val="center"/>
          </w:tcPr>
          <w:p>
            <w:r>
              <w:rPr>
                <w:color w:val="1E293B"/>
                <w:sz w:val="17"/>
              </w:rPr>
              <w:t>Personalidad visual</w:t>
            </w:r>
          </w:p>
        </w:tc>
        <w:tc>
          <w:tcPr>
            <w:tcW w:type="dxa" w:w="6768"/>
            <w:vAlign w:val="center"/>
          </w:tcPr>
          <w:p>
            <w:r>
              <w:rPr>
                <w:color w:val="1E293B"/>
                <w:sz w:val="17"/>
              </w:rPr>
              <w:t>Dark crypto gaming, tecnología, progresión y recompensa</w:t>
            </w:r>
          </w:p>
        </w:tc>
      </w:tr>
      <w:tr>
        <w:tc>
          <w:tcPr>
            <w:tcW w:type="dxa" w:w="2592"/>
            <w:shd w:fill="F8FAFC"/>
            <w:vAlign w:val="center"/>
          </w:tcPr>
          <w:p>
            <w:r>
              <w:rPr>
                <w:color w:val="1E293B"/>
                <w:sz w:val="17"/>
              </w:rPr>
              <w:t>Paleta</w:t>
            </w:r>
          </w:p>
        </w:tc>
        <w:tc>
          <w:tcPr>
            <w:tcW w:type="dxa" w:w="6768"/>
            <w:shd w:fill="F8FAFC"/>
            <w:vAlign w:val="center"/>
          </w:tcPr>
          <w:p>
            <w:r>
              <w:rPr>
                <w:color w:val="1E293B"/>
                <w:sz w:val="17"/>
              </w:rPr>
              <w:t>#39FF88, #7C3AED, #22D3EE, #080B12, #111827, #E5E7EB</w:t>
            </w:r>
          </w:p>
        </w:tc>
      </w:tr>
    </w:tbl>
    <w:p/>
    <w:p>
      <w:pPr>
        <w:pStyle w:val="Heading2"/>
      </w:pPr>
      <w:r>
        <w:t>2.1 Definición propuesta de ZYXE</w:t>
      </w:r>
    </w:p>
    <w:p>
      <w:r>
        <w:t>ZYXE es la unidad de recompensa, utilidad y medición de actividad del ecosistema Fauzet. Puede obtenerse mediante acciones validadas y utilizarse para adquirir funcionalidades, mejoras, acceso a experiencias, servicios digitales y beneficios internos. En su etapa inicial no representa acciones, deuda, participación societaria, derecho a utilidades ni promesa de rentabilidad.</w:t>
      </w:r>
    </w:p>
    <w:p>
      <w:pPr>
        <w:pStyle w:val="Heading1"/>
      </w:pPr>
      <w:r>
        <w:t>3. Alcance del producto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608"/>
            <w:shd w:fill="080B12"/>
            <w:vAlign w:val="center"/>
          </w:tcPr>
          <w:p>
            <w:pPr>
              <w:jc w:val="center"/>
            </w:pPr>
            <w:r>
              <w:rPr>
                <w:b/>
                <w:color w:val="39FF88"/>
                <w:sz w:val="18"/>
              </w:rPr>
              <w:t>Incluido en la visión</w:t>
            </w:r>
          </w:p>
        </w:tc>
        <w:tc>
          <w:tcPr>
            <w:tcW w:type="dxa" w:w="4752"/>
            <w:shd w:fill="080B12"/>
            <w:vAlign w:val="center"/>
          </w:tcPr>
          <w:p>
            <w:pPr>
              <w:jc w:val="center"/>
            </w:pPr>
            <w:r>
              <w:rPr>
                <w:b/>
                <w:color w:val="39FF88"/>
                <w:sz w:val="18"/>
              </w:rPr>
              <w:t>No incluido al inicio</w:t>
            </w:r>
          </w:p>
        </w:tc>
      </w:tr>
      <w:tr>
        <w:tc>
          <w:tcPr>
            <w:tcW w:type="dxa" w:w="4608"/>
            <w:shd w:fill="F8FAFC"/>
            <w:vAlign w:val="center"/>
          </w:tcPr>
          <w:p>
            <w:r>
              <w:rPr>
                <w:color w:val="1E293B"/>
                <w:sz w:val="17"/>
              </w:rPr>
              <w:t>Faucet y reclamos con cooldown</w:t>
            </w:r>
          </w:p>
        </w:tc>
        <w:tc>
          <w:tcPr>
            <w:tcW w:type="dxa" w:w="4752"/>
            <w:shd w:fill="F8FAFC"/>
            <w:vAlign w:val="center"/>
          </w:tcPr>
          <w:p>
            <w:r>
              <w:rPr>
                <w:color w:val="1E293B"/>
                <w:sz w:val="17"/>
              </w:rPr>
              <w:t>Exchange público con dinero real</w:t>
            </w:r>
          </w:p>
        </w:tc>
      </w:tr>
      <w:tr>
        <w:tc>
          <w:tcPr>
            <w:tcW w:type="dxa" w:w="4608"/>
            <w:vAlign w:val="center"/>
          </w:tcPr>
          <w:p>
            <w:r>
              <w:rPr>
                <w:color w:val="1E293B"/>
                <w:sz w:val="17"/>
              </w:rPr>
              <w:t>Minijuegos con recompensas limitadas</w:t>
            </w:r>
          </w:p>
        </w:tc>
        <w:tc>
          <w:tcPr>
            <w:tcW w:type="dxa" w:w="4752"/>
            <w:vAlign w:val="center"/>
          </w:tcPr>
          <w:p>
            <w:r>
              <w:rPr>
                <w:color w:val="1E293B"/>
                <w:sz w:val="17"/>
              </w:rPr>
              <w:t>Blockchain propia</w:t>
            </w:r>
          </w:p>
        </w:tc>
      </w:tr>
      <w:tr>
        <w:tc>
          <w:tcPr>
            <w:tcW w:type="dxa" w:w="4608"/>
            <w:shd w:fill="F8FAFC"/>
            <w:vAlign w:val="center"/>
          </w:tcPr>
          <w:p>
            <w:r>
              <w:rPr>
                <w:color w:val="1E293B"/>
                <w:sz w:val="17"/>
              </w:rPr>
              <w:t>Minería virtual y hashpower</w:t>
            </w:r>
          </w:p>
        </w:tc>
        <w:tc>
          <w:tcPr>
            <w:tcW w:type="dxa" w:w="4752"/>
            <w:shd w:fill="F8FAFC"/>
            <w:vAlign w:val="center"/>
          </w:tcPr>
          <w:p>
            <w:r>
              <w:rPr>
                <w:color w:val="1E293B"/>
                <w:sz w:val="17"/>
              </w:rPr>
              <w:t>Minería PoW real en equipos del usuario</w:t>
            </w:r>
          </w:p>
        </w:tc>
      </w:tr>
      <w:tr>
        <w:tc>
          <w:tcPr>
            <w:tcW w:type="dxa" w:w="4608"/>
            <w:vAlign w:val="center"/>
          </w:tcPr>
          <w:p>
            <w:r>
              <w:rPr>
                <w:color w:val="1E293B"/>
                <w:sz w:val="17"/>
              </w:rPr>
              <w:t>Misiones, rachas, niveles y eventos</w:t>
            </w:r>
          </w:p>
        </w:tc>
        <w:tc>
          <w:tcPr>
            <w:tcW w:type="dxa" w:w="4752"/>
            <w:vAlign w:val="center"/>
          </w:tcPr>
          <w:p>
            <w:r>
              <w:rPr>
                <w:color w:val="1E293B"/>
                <w:sz w:val="17"/>
              </w:rPr>
              <w:t>Garantías de ganancia</w:t>
            </w:r>
          </w:p>
        </w:tc>
      </w:tr>
      <w:tr>
        <w:tc>
          <w:tcPr>
            <w:tcW w:type="dxa" w:w="4608"/>
            <w:shd w:fill="F8FAFC"/>
            <w:vAlign w:val="center"/>
          </w:tcPr>
          <w:p>
            <w:r>
              <w:rPr>
                <w:color w:val="1E293B"/>
                <w:sz w:val="17"/>
              </w:rPr>
              <w:t>Boosts, aceleradores y mineros virtuales</w:t>
            </w:r>
          </w:p>
        </w:tc>
        <w:tc>
          <w:tcPr>
            <w:tcW w:type="dxa" w:w="4752"/>
            <w:shd w:fill="F8FAFC"/>
            <w:vAlign w:val="center"/>
          </w:tcPr>
          <w:p>
            <w:r>
              <w:rPr>
                <w:color w:val="1E293B"/>
                <w:sz w:val="17"/>
              </w:rPr>
              <w:t>APY fijo o interés garantizado</w:t>
            </w:r>
          </w:p>
        </w:tc>
      </w:tr>
      <w:tr>
        <w:tc>
          <w:tcPr>
            <w:tcW w:type="dxa" w:w="4608"/>
            <w:vAlign w:val="center"/>
          </w:tcPr>
          <w:p>
            <w:r>
              <w:rPr>
                <w:color w:val="1E293B"/>
                <w:sz w:val="17"/>
              </w:rPr>
              <w:t>Referidos de hasta cuatro niveles</w:t>
            </w:r>
          </w:p>
        </w:tc>
        <w:tc>
          <w:tcPr>
            <w:tcW w:type="dxa" w:w="4752"/>
            <w:vAlign w:val="center"/>
          </w:tcPr>
          <w:p>
            <w:r>
              <w:rPr>
                <w:color w:val="1E293B"/>
                <w:sz w:val="17"/>
              </w:rPr>
              <w:t>Pago por registro sin actividad</w:t>
            </w:r>
          </w:p>
        </w:tc>
      </w:tr>
      <w:tr>
        <w:tc>
          <w:tcPr>
            <w:tcW w:type="dxa" w:w="4608"/>
            <w:shd w:fill="F8FAFC"/>
            <w:vAlign w:val="center"/>
          </w:tcPr>
          <w:p>
            <w:r>
              <w:rPr>
                <w:color w:val="1E293B"/>
                <w:sz w:val="17"/>
              </w:rPr>
              <w:t>Vault con pools variables</w:t>
            </w:r>
          </w:p>
        </w:tc>
        <w:tc>
          <w:tcPr>
            <w:tcW w:type="dxa" w:w="4752"/>
            <w:shd w:fill="F8FAFC"/>
            <w:vAlign w:val="center"/>
          </w:tcPr>
          <w:p>
            <w:r>
              <w:rPr>
                <w:color w:val="1E293B"/>
                <w:sz w:val="17"/>
              </w:rPr>
              <w:t>Captación de depósitos para financiar retiros</w:t>
            </w:r>
          </w:p>
        </w:tc>
      </w:tr>
      <w:tr>
        <w:tc>
          <w:tcPr>
            <w:tcW w:type="dxa" w:w="4608"/>
            <w:vAlign w:val="center"/>
          </w:tcPr>
          <w:p>
            <w:r>
              <w:rPr>
                <w:color w:val="1E293B"/>
                <w:sz w:val="17"/>
              </w:rPr>
              <w:t>Mercado simulado/controlado</w:t>
            </w:r>
          </w:p>
        </w:tc>
        <w:tc>
          <w:tcPr>
            <w:tcW w:type="dxa" w:w="4752"/>
            <w:vAlign w:val="center"/>
          </w:tcPr>
          <w:p>
            <w:r>
              <w:rPr>
                <w:color w:val="1E293B"/>
                <w:sz w:val="17"/>
              </w:rPr>
              <w:t>Liquidez ilimitada</w:t>
            </w:r>
          </w:p>
        </w:tc>
      </w:tr>
      <w:tr>
        <w:tc>
          <w:tcPr>
            <w:tcW w:type="dxa" w:w="4608"/>
            <w:shd w:fill="F8FAFC"/>
            <w:vAlign w:val="center"/>
          </w:tcPr>
          <w:p>
            <w:r>
              <w:rPr>
                <w:color w:val="1E293B"/>
                <w:sz w:val="17"/>
              </w:rPr>
              <w:t>Retiros futuros con límites y validación</w:t>
            </w:r>
          </w:p>
        </w:tc>
        <w:tc>
          <w:tcPr>
            <w:tcW w:type="dxa" w:w="4752"/>
            <w:shd w:fill="F8FAFC"/>
            <w:vAlign w:val="center"/>
          </w:tcPr>
          <w:p>
            <w:r>
              <w:rPr>
                <w:color w:val="1E293B"/>
                <w:sz w:val="17"/>
              </w:rPr>
              <w:t>Conversión automática de todo saldo promocional</w:t>
            </w:r>
          </w:p>
        </w:tc>
      </w:tr>
    </w:tbl>
    <w:p/>
    <w:p>
      <w:pPr>
        <w:pStyle w:val="Heading1"/>
      </w:pPr>
      <w:r>
        <w:t>4. Principios económicos</w:t>
      </w:r>
    </w:p>
    <w:p>
      <w:r>
        <w:rPr>
          <w:b/>
          <w:color w:val="7C3AED"/>
        </w:rPr>
        <w:t xml:space="preserve">Emisión vinculada a presupuesto: </w:t>
      </w:r>
      <w:r>
        <w:t>La cantidad de ZYXE distribuida debe responder a pools definidos, ingresos monetizables y objetivos de crecimiento.</w:t>
      </w:r>
    </w:p>
    <w:p>
      <w:r>
        <w:rPr>
          <w:b/>
          <w:color w:val="7C3AED"/>
        </w:rPr>
        <w:t xml:space="preserve">Utilidad antes que especulación: </w:t>
      </w:r>
      <w:r>
        <w:t>La demanda inicial debe provenir de usos dentro de Fauzet, no de promesas de valorización.</w:t>
      </w:r>
    </w:p>
    <w:p>
      <w:r>
        <w:rPr>
          <w:b/>
          <w:color w:val="7C3AED"/>
        </w:rPr>
        <w:t xml:space="preserve">Más sinks que fuentes: </w:t>
      </w:r>
      <w:r>
        <w:t>ZYXE debe tener suficientes mecanismos de gasto, bloqueo, reciclaje y quema.</w:t>
      </w:r>
    </w:p>
    <w:p>
      <w:r>
        <w:rPr>
          <w:b/>
          <w:color w:val="7C3AED"/>
        </w:rPr>
        <w:t xml:space="preserve">Fondos separados: </w:t>
      </w:r>
      <w:r>
        <w:t>Recompensas, retiros, liquidez, operación y utilidad del propietario no pueden mezclarse.</w:t>
      </w:r>
    </w:p>
    <w:p>
      <w:r>
        <w:rPr>
          <w:b/>
          <w:color w:val="7C3AED"/>
        </w:rPr>
        <w:t xml:space="preserve">Recompensas variables: </w:t>
      </w:r>
      <w:r>
        <w:t>Vault, minería y eventos reparten pools; no prometen tasas fijas.</w:t>
      </w:r>
    </w:p>
    <w:p>
      <w:r>
        <w:rPr>
          <w:b/>
          <w:color w:val="7C3AED"/>
        </w:rPr>
        <w:t xml:space="preserve">Referidos por actividad real: </w:t>
      </w:r>
      <w:r>
        <w:t>Las comisiones se generan únicamente por actividad validada y preferiblemente monetizable.</w:t>
      </w:r>
    </w:p>
    <w:p>
      <w:r>
        <w:rPr>
          <w:b/>
          <w:color w:val="7C3AED"/>
        </w:rPr>
        <w:t xml:space="preserve">Trazabilidad completa: </w:t>
      </w:r>
      <w:r>
        <w:t>Cada movimiento de saldo debe generar un asiento inmutable o auditable.</w:t>
      </w:r>
    </w:p>
    <w:p>
      <w:r>
        <w:rPr>
          <w:b/>
          <w:color w:val="7C3AED"/>
        </w:rPr>
        <w:t xml:space="preserve">Control de concentración: </w:t>
      </w:r>
      <w:r>
        <w:t>Límites y rendimientos decrecientes evitan que pocas cuentas capturen el sistema.</w:t>
      </w:r>
    </w:p>
    <w:p>
      <w:pPr>
        <w:pStyle w:val="Heading1"/>
      </w:pPr>
      <w:r>
        <w:t>5. Modelo de ingresos y utilidad del propietario</w:t>
      </w:r>
    </w:p>
    <w:p>
      <w:r>
        <w:t>El modelo financiero de Fauzet debe medir ingresos reales por fuente y calcular una utilidad disponible después de reservar obligaciones operativas y económicas. El Owner Wallet no representa “todo el dinero recibido”, sino únicamente la fracción autorizada para retiro del propietario.</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080B12"/>
            <w:vAlign w:val="center"/>
          </w:tcPr>
          <w:p>
            <w:pPr>
              <w:jc w:val="center"/>
            </w:pPr>
            <w:r>
              <w:rPr>
                <w:b/>
                <w:color w:val="39FF88"/>
                <w:sz w:val="18"/>
              </w:rPr>
              <w:t>Fuente</w:t>
            </w:r>
          </w:p>
        </w:tc>
        <w:tc>
          <w:tcPr>
            <w:tcW w:type="dxa" w:w="5400"/>
            <w:shd w:fill="080B12"/>
            <w:vAlign w:val="center"/>
          </w:tcPr>
          <w:p>
            <w:pPr>
              <w:jc w:val="center"/>
            </w:pPr>
            <w:r>
              <w:rPr>
                <w:b/>
                <w:color w:val="39FF88"/>
                <w:sz w:val="18"/>
              </w:rPr>
              <w:t>Cómo monetiza Fauzet</w:t>
            </w:r>
          </w:p>
        </w:tc>
        <w:tc>
          <w:tcPr>
            <w:tcW w:type="dxa" w:w="1728"/>
            <w:shd w:fill="080B12"/>
            <w:vAlign w:val="center"/>
          </w:tcPr>
          <w:p>
            <w:pPr>
              <w:jc w:val="center"/>
            </w:pPr>
            <w:r>
              <w:rPr>
                <w:b/>
                <w:color w:val="39FF88"/>
                <w:sz w:val="18"/>
              </w:rPr>
              <w:t>Etapa</w:t>
            </w:r>
          </w:p>
        </w:tc>
      </w:tr>
      <w:tr>
        <w:tc>
          <w:tcPr>
            <w:tcW w:type="dxa" w:w="1944"/>
            <w:shd w:fill="F8FAFC"/>
            <w:vAlign w:val="center"/>
          </w:tcPr>
          <w:p>
            <w:r>
              <w:rPr>
                <w:color w:val="1E293B"/>
                <w:sz w:val="17"/>
              </w:rPr>
              <w:t>Rewarded ads</w:t>
            </w:r>
          </w:p>
        </w:tc>
        <w:tc>
          <w:tcPr>
            <w:tcW w:type="dxa" w:w="5400"/>
            <w:shd w:fill="F8FAFC"/>
            <w:vAlign w:val="center"/>
          </w:tcPr>
          <w:p>
            <w:r>
              <w:rPr>
                <w:color w:val="1E293B"/>
                <w:sz w:val="17"/>
              </w:rPr>
              <w:t>Ingreso por impresiones o acciones voluntarias</w:t>
            </w:r>
          </w:p>
        </w:tc>
        <w:tc>
          <w:tcPr>
            <w:tcW w:type="dxa" w:w="1728"/>
            <w:shd w:fill="F8FAFC"/>
            <w:vAlign w:val="center"/>
          </w:tcPr>
          <w:p>
            <w:r>
              <w:rPr>
                <w:color w:val="1E293B"/>
                <w:sz w:val="17"/>
              </w:rPr>
              <w:t>MVP / crecimiento</w:t>
            </w:r>
          </w:p>
        </w:tc>
      </w:tr>
      <w:tr>
        <w:tc>
          <w:tcPr>
            <w:tcW w:type="dxa" w:w="1944"/>
            <w:vAlign w:val="center"/>
          </w:tcPr>
          <w:p>
            <w:r>
              <w:rPr>
                <w:color w:val="1E293B"/>
                <w:sz w:val="17"/>
              </w:rPr>
              <w:t>Offerwalls y CPA</w:t>
            </w:r>
          </w:p>
        </w:tc>
        <w:tc>
          <w:tcPr>
            <w:tcW w:type="dxa" w:w="5400"/>
            <w:vAlign w:val="center"/>
          </w:tcPr>
          <w:p>
            <w:r>
              <w:rPr>
                <w:color w:val="1E293B"/>
                <w:sz w:val="17"/>
              </w:rPr>
              <w:t>Comisión por tareas, registros, encuestas o instalaciones validadas</w:t>
            </w:r>
          </w:p>
        </w:tc>
        <w:tc>
          <w:tcPr>
            <w:tcW w:type="dxa" w:w="1728"/>
            <w:vAlign w:val="center"/>
          </w:tcPr>
          <w:p>
            <w:r>
              <w:rPr>
                <w:color w:val="1E293B"/>
                <w:sz w:val="17"/>
              </w:rPr>
              <w:t>Fase 2</w:t>
            </w:r>
          </w:p>
        </w:tc>
      </w:tr>
      <w:tr>
        <w:tc>
          <w:tcPr>
            <w:tcW w:type="dxa" w:w="1944"/>
            <w:shd w:fill="F8FAFC"/>
            <w:vAlign w:val="center"/>
          </w:tcPr>
          <w:p>
            <w:r>
              <w:rPr>
                <w:color w:val="1E293B"/>
                <w:sz w:val="17"/>
              </w:rPr>
              <w:t>Boosts y aceleradores</w:t>
            </w:r>
          </w:p>
        </w:tc>
        <w:tc>
          <w:tcPr>
            <w:tcW w:type="dxa" w:w="5400"/>
            <w:shd w:fill="F8FAFC"/>
            <w:vAlign w:val="center"/>
          </w:tcPr>
          <w:p>
            <w:r>
              <w:rPr>
                <w:color w:val="1E293B"/>
                <w:sz w:val="17"/>
              </w:rPr>
              <w:t>Venta de mejoras digitales con ZYXE, cripto o dinero</w:t>
            </w:r>
          </w:p>
        </w:tc>
        <w:tc>
          <w:tcPr>
            <w:tcW w:type="dxa" w:w="1728"/>
            <w:shd w:fill="F8FAFC"/>
            <w:vAlign w:val="center"/>
          </w:tcPr>
          <w:p>
            <w:r>
              <w:rPr>
                <w:color w:val="1E293B"/>
                <w:sz w:val="17"/>
              </w:rPr>
              <w:t>MVP / Fase 2</w:t>
            </w:r>
          </w:p>
        </w:tc>
      </w:tr>
      <w:tr>
        <w:tc>
          <w:tcPr>
            <w:tcW w:type="dxa" w:w="1944"/>
            <w:vAlign w:val="center"/>
          </w:tcPr>
          <w:p>
            <w:r>
              <w:rPr>
                <w:color w:val="1E293B"/>
                <w:sz w:val="17"/>
              </w:rPr>
              <w:t>Premium</w:t>
            </w:r>
          </w:p>
        </w:tc>
        <w:tc>
          <w:tcPr>
            <w:tcW w:type="dxa" w:w="5400"/>
            <w:vAlign w:val="center"/>
          </w:tcPr>
          <w:p>
            <w:r>
              <w:rPr>
                <w:color w:val="1E293B"/>
                <w:sz w:val="17"/>
              </w:rPr>
              <w:t>Suscripción por límites, experiencia y funciones ampliadas</w:t>
            </w:r>
          </w:p>
        </w:tc>
        <w:tc>
          <w:tcPr>
            <w:tcW w:type="dxa" w:w="1728"/>
            <w:vAlign w:val="center"/>
          </w:tcPr>
          <w:p>
            <w:r>
              <w:rPr>
                <w:color w:val="1E293B"/>
                <w:sz w:val="17"/>
              </w:rPr>
              <w:t>Fase 2</w:t>
            </w:r>
          </w:p>
        </w:tc>
      </w:tr>
      <w:tr>
        <w:tc>
          <w:tcPr>
            <w:tcW w:type="dxa" w:w="1944"/>
            <w:shd w:fill="F8FAFC"/>
            <w:vAlign w:val="center"/>
          </w:tcPr>
          <w:p>
            <w:r>
              <w:rPr>
                <w:color w:val="1E293B"/>
                <w:sz w:val="17"/>
              </w:rPr>
              <w:t>Trading interno</w:t>
            </w:r>
          </w:p>
        </w:tc>
        <w:tc>
          <w:tcPr>
            <w:tcW w:type="dxa" w:w="5400"/>
            <w:shd w:fill="F8FAFC"/>
            <w:vAlign w:val="center"/>
          </w:tcPr>
          <w:p>
            <w:r>
              <w:rPr>
                <w:color w:val="1E293B"/>
                <w:sz w:val="17"/>
              </w:rPr>
              <w:t>Comisión, spread y herramientas avanzadas</w:t>
            </w:r>
          </w:p>
        </w:tc>
        <w:tc>
          <w:tcPr>
            <w:tcW w:type="dxa" w:w="1728"/>
            <w:shd w:fill="F8FAFC"/>
            <w:vAlign w:val="center"/>
          </w:tcPr>
          <w:p>
            <w:r>
              <w:rPr>
                <w:color w:val="1E293B"/>
                <w:sz w:val="17"/>
              </w:rPr>
              <w:t>Fase 3</w:t>
            </w:r>
          </w:p>
        </w:tc>
      </w:tr>
      <w:tr>
        <w:tc>
          <w:tcPr>
            <w:tcW w:type="dxa" w:w="1944"/>
            <w:vAlign w:val="center"/>
          </w:tcPr>
          <w:p>
            <w:r>
              <w:rPr>
                <w:color w:val="1E293B"/>
                <w:sz w:val="17"/>
              </w:rPr>
              <w:t>Retiros y conversión</w:t>
            </w:r>
          </w:p>
        </w:tc>
        <w:tc>
          <w:tcPr>
            <w:tcW w:type="dxa" w:w="5400"/>
            <w:vAlign w:val="center"/>
          </w:tcPr>
          <w:p>
            <w:r>
              <w:rPr>
                <w:color w:val="1E293B"/>
                <w:sz w:val="17"/>
              </w:rPr>
              <w:t>Fee transparente para red, liquidez, fraude y margen</w:t>
            </w:r>
          </w:p>
        </w:tc>
        <w:tc>
          <w:tcPr>
            <w:tcW w:type="dxa" w:w="1728"/>
            <w:vAlign w:val="center"/>
          </w:tcPr>
          <w:p>
            <w:r>
              <w:rPr>
                <w:color w:val="1E293B"/>
                <w:sz w:val="17"/>
              </w:rPr>
              <w:t>Fase 2</w:t>
            </w:r>
          </w:p>
        </w:tc>
      </w:tr>
      <w:tr>
        <w:tc>
          <w:tcPr>
            <w:tcW w:type="dxa" w:w="1944"/>
            <w:shd w:fill="F8FAFC"/>
            <w:vAlign w:val="center"/>
          </w:tcPr>
          <w:p>
            <w:r>
              <w:rPr>
                <w:color w:val="1E293B"/>
                <w:sz w:val="17"/>
              </w:rPr>
              <w:t>Marketplace</w:t>
            </w:r>
          </w:p>
        </w:tc>
        <w:tc>
          <w:tcPr>
            <w:tcW w:type="dxa" w:w="5400"/>
            <w:shd w:fill="F8FAFC"/>
            <w:vAlign w:val="center"/>
          </w:tcPr>
          <w:p>
            <w:r>
              <w:rPr>
                <w:color w:val="1E293B"/>
                <w:sz w:val="17"/>
              </w:rPr>
              <w:t>Comisión sobre operaciones de activos internos</w:t>
            </w:r>
          </w:p>
        </w:tc>
        <w:tc>
          <w:tcPr>
            <w:tcW w:type="dxa" w:w="1728"/>
            <w:shd w:fill="F8FAFC"/>
            <w:vAlign w:val="center"/>
          </w:tcPr>
          <w:p>
            <w:r>
              <w:rPr>
                <w:color w:val="1E293B"/>
                <w:sz w:val="17"/>
              </w:rPr>
              <w:t>Fase 3</w:t>
            </w:r>
          </w:p>
        </w:tc>
      </w:tr>
      <w:tr>
        <w:tc>
          <w:tcPr>
            <w:tcW w:type="dxa" w:w="1944"/>
            <w:vAlign w:val="center"/>
          </w:tcPr>
          <w:p>
            <w:r>
              <w:rPr>
                <w:color w:val="1E293B"/>
                <w:sz w:val="17"/>
              </w:rPr>
              <w:t>Afiliados y patrocinadores</w:t>
            </w:r>
          </w:p>
        </w:tc>
        <w:tc>
          <w:tcPr>
            <w:tcW w:type="dxa" w:w="5400"/>
            <w:vAlign w:val="center"/>
          </w:tcPr>
          <w:p>
            <w:r>
              <w:rPr>
                <w:color w:val="1E293B"/>
                <w:sz w:val="17"/>
              </w:rPr>
              <w:t>Misiones, integraciones y campañas directas</w:t>
            </w:r>
          </w:p>
        </w:tc>
        <w:tc>
          <w:tcPr>
            <w:tcW w:type="dxa" w:w="1728"/>
            <w:vAlign w:val="center"/>
          </w:tcPr>
          <w:p>
            <w:r>
              <w:rPr>
                <w:color w:val="1E293B"/>
                <w:sz w:val="17"/>
              </w:rPr>
              <w:t>Fase 2</w:t>
            </w:r>
          </w:p>
        </w:tc>
      </w:tr>
    </w:tbl>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6912"/>
            <w:shd w:fill="080B12"/>
            <w:vAlign w:val="center"/>
          </w:tcPr>
          <w:p>
            <w:pPr>
              <w:jc w:val="center"/>
            </w:pPr>
            <w:r>
              <w:rPr>
                <w:b/>
                <w:color w:val="39FF88"/>
                <w:sz w:val="18"/>
              </w:rPr>
              <w:t>Asignación orientativa por cada US$100</w:t>
            </w:r>
          </w:p>
        </w:tc>
        <w:tc>
          <w:tcPr>
            <w:tcW w:type="dxa" w:w="2160"/>
            <w:shd w:fill="080B12"/>
            <w:vAlign w:val="center"/>
          </w:tcPr>
          <w:p>
            <w:pPr>
              <w:jc w:val="center"/>
            </w:pPr>
            <w:r>
              <w:rPr>
                <w:b/>
                <w:color w:val="39FF88"/>
                <w:sz w:val="18"/>
              </w:rPr>
              <w:t>Monto</w:t>
            </w:r>
          </w:p>
        </w:tc>
      </w:tr>
      <w:tr>
        <w:tc>
          <w:tcPr>
            <w:tcW w:type="dxa" w:w="6912"/>
            <w:shd w:fill="F8FAFC"/>
            <w:vAlign w:val="center"/>
          </w:tcPr>
          <w:p>
            <w:r>
              <w:rPr>
                <w:color w:val="1E293B"/>
                <w:sz w:val="17"/>
              </w:rPr>
              <w:t>Recompensas de usuarios</w:t>
            </w:r>
          </w:p>
        </w:tc>
        <w:tc>
          <w:tcPr>
            <w:tcW w:type="dxa" w:w="2160"/>
            <w:shd w:fill="F8FAFC"/>
            <w:vAlign w:val="center"/>
          </w:tcPr>
          <w:p>
            <w:r>
              <w:rPr>
                <w:color w:val="1E293B"/>
                <w:sz w:val="17"/>
              </w:rPr>
              <w:t>US$30</w:t>
            </w:r>
          </w:p>
        </w:tc>
      </w:tr>
      <w:tr>
        <w:tc>
          <w:tcPr>
            <w:tcW w:type="dxa" w:w="6912"/>
            <w:vAlign w:val="center"/>
          </w:tcPr>
          <w:p>
            <w:r>
              <w:rPr>
                <w:color w:val="1E293B"/>
                <w:sz w:val="17"/>
              </w:rPr>
              <w:t>Referidos y crecimiento</w:t>
            </w:r>
          </w:p>
        </w:tc>
        <w:tc>
          <w:tcPr>
            <w:tcW w:type="dxa" w:w="2160"/>
            <w:vAlign w:val="center"/>
          </w:tcPr>
          <w:p>
            <w:r>
              <w:rPr>
                <w:color w:val="1E293B"/>
                <w:sz w:val="17"/>
              </w:rPr>
              <w:t>US$8</w:t>
            </w:r>
          </w:p>
        </w:tc>
      </w:tr>
      <w:tr>
        <w:tc>
          <w:tcPr>
            <w:tcW w:type="dxa" w:w="6912"/>
            <w:shd w:fill="F8FAFC"/>
            <w:vAlign w:val="center"/>
          </w:tcPr>
          <w:p>
            <w:r>
              <w:rPr>
                <w:color w:val="1E293B"/>
                <w:sz w:val="17"/>
              </w:rPr>
              <w:t>Reserva de retiros/liquidez</w:t>
            </w:r>
          </w:p>
        </w:tc>
        <w:tc>
          <w:tcPr>
            <w:tcW w:type="dxa" w:w="2160"/>
            <w:shd w:fill="F8FAFC"/>
            <w:vAlign w:val="center"/>
          </w:tcPr>
          <w:p>
            <w:r>
              <w:rPr>
                <w:color w:val="1E293B"/>
                <w:sz w:val="17"/>
              </w:rPr>
              <w:t>US$15</w:t>
            </w:r>
          </w:p>
        </w:tc>
      </w:tr>
      <w:tr>
        <w:tc>
          <w:tcPr>
            <w:tcW w:type="dxa" w:w="6912"/>
            <w:vAlign w:val="center"/>
          </w:tcPr>
          <w:p>
            <w:r>
              <w:rPr>
                <w:color w:val="1E293B"/>
                <w:sz w:val="17"/>
              </w:rPr>
              <w:t>Operación, soporte e infraestructura</w:t>
            </w:r>
          </w:p>
        </w:tc>
        <w:tc>
          <w:tcPr>
            <w:tcW w:type="dxa" w:w="2160"/>
            <w:vAlign w:val="center"/>
          </w:tcPr>
          <w:p>
            <w:r>
              <w:rPr>
                <w:color w:val="1E293B"/>
                <w:sz w:val="17"/>
              </w:rPr>
              <w:t>US$17</w:t>
            </w:r>
          </w:p>
        </w:tc>
      </w:tr>
      <w:tr>
        <w:tc>
          <w:tcPr>
            <w:tcW w:type="dxa" w:w="6912"/>
            <w:shd w:fill="F8FAFC"/>
            <w:vAlign w:val="center"/>
          </w:tcPr>
          <w:p>
            <w:r>
              <w:rPr>
                <w:color w:val="1E293B"/>
                <w:sz w:val="17"/>
              </w:rPr>
              <w:t>Margen bruto Fauzet</w:t>
            </w:r>
          </w:p>
        </w:tc>
        <w:tc>
          <w:tcPr>
            <w:tcW w:type="dxa" w:w="2160"/>
            <w:shd w:fill="F8FAFC"/>
            <w:vAlign w:val="center"/>
          </w:tcPr>
          <w:p>
            <w:r>
              <w:rPr>
                <w:color w:val="1E293B"/>
                <w:sz w:val="17"/>
              </w:rPr>
              <w:t>US$30</w:t>
            </w:r>
          </w:p>
        </w:tc>
      </w:tr>
    </w:tbl>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22D3EE"/>
              <w:bottom w:val="single" w:sz="2" w:color="DDE3EA"/>
              <w:right w:val="single" w:sz="2" w:color="DDE3EA"/>
            </w:tcBorders>
          </w:tcPr>
          <w:p>
            <w:r>
              <w:rPr>
                <w:b/>
                <w:color w:val="22D3EE"/>
                <w:sz w:val="22"/>
              </w:rPr>
              <w:t>Regla de retiro del propietario</w:t>
              <w:br/>
            </w:r>
            <w:r>
              <w:rPr>
                <w:color w:val="334155"/>
                <w:sz w:val="19"/>
              </w:rPr>
              <w:t>La utilidad retirable debe calcularse después de reservas, pasivos, retiros pendientes, reversos, impuestos estimados y colchón operativo. Se recomienda retener al menos tres meses de costos y entre tres y seis meses de retiros esperados.</w:t>
            </w:r>
          </w:p>
        </w:tc>
      </w:tr>
    </w:tbl>
    <w:p/>
    <w:p>
      <w:pPr>
        <w:jc w:val="center"/>
      </w:pPr>
      <w:r>
        <w:drawing>
          <wp:inline xmlns:a="http://schemas.openxmlformats.org/drawingml/2006/main" xmlns:pic="http://schemas.openxmlformats.org/drawingml/2006/picture">
            <wp:extent cx="6126480" cy="3254692"/>
            <wp:docPr id="2" name="Picture 2"/>
            <wp:cNvGraphicFramePr>
              <a:graphicFrameLocks noChangeAspect="1"/>
            </wp:cNvGraphicFramePr>
            <a:graphic>
              <a:graphicData uri="http://schemas.openxmlformats.org/drawingml/2006/picture">
                <pic:pic>
                  <pic:nvPicPr>
                    <pic:cNvPr id="0" name="fauzet_economy_cycle.png"/>
                    <pic:cNvPicPr/>
                  </pic:nvPicPr>
                  <pic:blipFill>
                    <a:blip r:embed="rId12"/>
                    <a:stretch>
                      <a:fillRect/>
                    </a:stretch>
                  </pic:blipFill>
                  <pic:spPr>
                    <a:xfrm>
                      <a:off x="0" y="0"/>
                      <a:ext cx="6126480" cy="3254692"/>
                    </a:xfrm>
                    <a:prstGeom prst="rect"/>
                  </pic:spPr>
                </pic:pic>
              </a:graphicData>
            </a:graphic>
          </wp:inline>
        </w:drawing>
      </w:r>
    </w:p>
    <w:p>
      <w:pPr>
        <w:pStyle w:val="FauzetCaption"/>
      </w:pPr>
      <w:r>
        <w:t>Figura 1. Relación entre ingresos reales, recompensas, consumo de ZYXE, tesorería y utilidad.</w:t>
      </w:r>
    </w:p>
    <w:p>
      <w:pPr>
        <w:pStyle w:val="Heading1"/>
      </w:pPr>
      <w:r>
        <w:t>6. Economía de ZYXE</w:t>
      </w:r>
    </w:p>
    <w:p>
      <w:pPr>
        <w:pStyle w:val="Heading2"/>
      </w:pPr>
      <w:r>
        <w:t>6.1 Etapas de existencia</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080B12"/>
            <w:vAlign w:val="center"/>
          </w:tcPr>
          <w:p>
            <w:pPr>
              <w:jc w:val="center"/>
            </w:pPr>
            <w:r>
              <w:rPr>
                <w:b/>
                <w:color w:val="39FF88"/>
                <w:sz w:val="18"/>
              </w:rPr>
              <w:t>Etapa</w:t>
            </w:r>
          </w:p>
        </w:tc>
        <w:tc>
          <w:tcPr>
            <w:tcW w:type="dxa" w:w="3024"/>
            <w:shd w:fill="080B12"/>
            <w:vAlign w:val="center"/>
          </w:tcPr>
          <w:p>
            <w:pPr>
              <w:jc w:val="center"/>
            </w:pPr>
            <w:r>
              <w:rPr>
                <w:b/>
                <w:color w:val="39FF88"/>
                <w:sz w:val="18"/>
              </w:rPr>
              <w:t>Estado de ZYXE</w:t>
            </w:r>
          </w:p>
        </w:tc>
        <w:tc>
          <w:tcPr>
            <w:tcW w:type="dxa" w:w="4608"/>
            <w:shd w:fill="080B12"/>
            <w:vAlign w:val="center"/>
          </w:tcPr>
          <w:p>
            <w:pPr>
              <w:jc w:val="center"/>
            </w:pPr>
            <w:r>
              <w:rPr>
                <w:b/>
                <w:color w:val="39FF88"/>
                <w:sz w:val="18"/>
              </w:rPr>
              <w:t>Condición</w:t>
            </w:r>
          </w:p>
        </w:tc>
      </w:tr>
      <w:tr>
        <w:tc>
          <w:tcPr>
            <w:tcW w:type="dxa" w:w="1800"/>
            <w:shd w:fill="F8FAFC"/>
            <w:vAlign w:val="center"/>
          </w:tcPr>
          <w:p>
            <w:r>
              <w:rPr>
                <w:color w:val="1E293B"/>
                <w:sz w:val="17"/>
              </w:rPr>
              <w:t>MVP</w:t>
            </w:r>
          </w:p>
        </w:tc>
        <w:tc>
          <w:tcPr>
            <w:tcW w:type="dxa" w:w="3024"/>
            <w:shd w:fill="F8FAFC"/>
            <w:vAlign w:val="center"/>
          </w:tcPr>
          <w:p>
            <w:r>
              <w:rPr>
                <w:color w:val="1E293B"/>
                <w:sz w:val="17"/>
              </w:rPr>
              <w:t>Saldo interno no transferible</w:t>
            </w:r>
          </w:p>
        </w:tc>
        <w:tc>
          <w:tcPr>
            <w:tcW w:type="dxa" w:w="4608"/>
            <w:shd w:fill="F8FAFC"/>
            <w:vAlign w:val="center"/>
          </w:tcPr>
          <w:p>
            <w:r>
              <w:rPr>
                <w:color w:val="1E293B"/>
                <w:sz w:val="17"/>
              </w:rPr>
              <w:t>Pruebas cerradas, sin precio público ni retiro</w:t>
            </w:r>
          </w:p>
        </w:tc>
      </w:tr>
      <w:tr>
        <w:tc>
          <w:tcPr>
            <w:tcW w:type="dxa" w:w="1800"/>
            <w:vAlign w:val="center"/>
          </w:tcPr>
          <w:p>
            <w:r>
              <w:rPr>
                <w:color w:val="1E293B"/>
                <w:sz w:val="17"/>
              </w:rPr>
              <w:t>Economía controlada</w:t>
            </w:r>
          </w:p>
        </w:tc>
        <w:tc>
          <w:tcPr>
            <w:tcW w:type="dxa" w:w="3024"/>
            <w:vAlign w:val="center"/>
          </w:tcPr>
          <w:p>
            <w:r>
              <w:rPr>
                <w:color w:val="1E293B"/>
                <w:sz w:val="17"/>
              </w:rPr>
              <w:t>Saldo interno parcialmente elegible</w:t>
            </w:r>
          </w:p>
        </w:tc>
        <w:tc>
          <w:tcPr>
            <w:tcW w:type="dxa" w:w="4608"/>
            <w:vAlign w:val="center"/>
          </w:tcPr>
          <w:p>
            <w:r>
              <w:rPr>
                <w:color w:val="1E293B"/>
                <w:sz w:val="17"/>
              </w:rPr>
              <w:t>Retiros limitados y tesorería real</w:t>
            </w:r>
          </w:p>
        </w:tc>
      </w:tr>
      <w:tr>
        <w:tc>
          <w:tcPr>
            <w:tcW w:type="dxa" w:w="1800"/>
            <w:shd w:fill="F8FAFC"/>
            <w:vAlign w:val="center"/>
          </w:tcPr>
          <w:p>
            <w:r>
              <w:rPr>
                <w:color w:val="1E293B"/>
                <w:sz w:val="17"/>
              </w:rPr>
              <w:t>Tokenización</w:t>
            </w:r>
          </w:p>
        </w:tc>
        <w:tc>
          <w:tcPr>
            <w:tcW w:type="dxa" w:w="3024"/>
            <w:shd w:fill="F8FAFC"/>
            <w:vAlign w:val="center"/>
          </w:tcPr>
          <w:p>
            <w:r>
              <w:rPr>
                <w:color w:val="1E293B"/>
                <w:sz w:val="17"/>
              </w:rPr>
              <w:t>Token en red existente</w:t>
            </w:r>
          </w:p>
        </w:tc>
        <w:tc>
          <w:tcPr>
            <w:tcW w:type="dxa" w:w="4608"/>
            <w:shd w:fill="F8FAFC"/>
            <w:vAlign w:val="center"/>
          </w:tcPr>
          <w:p>
            <w:r>
              <w:rPr>
                <w:color w:val="1E293B"/>
                <w:sz w:val="17"/>
              </w:rPr>
              <w:t>Auditoría, legal, reservas, utilidad y comunidad</w:t>
            </w:r>
          </w:p>
        </w:tc>
      </w:tr>
      <w:tr>
        <w:tc>
          <w:tcPr>
            <w:tcW w:type="dxa" w:w="1800"/>
            <w:vAlign w:val="center"/>
          </w:tcPr>
          <w:p>
            <w:r>
              <w:rPr>
                <w:color w:val="1E293B"/>
                <w:sz w:val="17"/>
              </w:rPr>
              <w:t>Escala avanzada</w:t>
            </w:r>
          </w:p>
        </w:tc>
        <w:tc>
          <w:tcPr>
            <w:tcW w:type="dxa" w:w="3024"/>
            <w:vAlign w:val="center"/>
          </w:tcPr>
          <w:p>
            <w:r>
              <w:rPr>
                <w:color w:val="1E293B"/>
                <w:sz w:val="17"/>
              </w:rPr>
              <w:t>Interoperabilidad y mercados externos</w:t>
            </w:r>
          </w:p>
        </w:tc>
        <w:tc>
          <w:tcPr>
            <w:tcW w:type="dxa" w:w="4608"/>
            <w:vAlign w:val="center"/>
          </w:tcPr>
          <w:p>
            <w:r>
              <w:rPr>
                <w:color w:val="1E293B"/>
                <w:sz w:val="17"/>
              </w:rPr>
              <w:t>Liquidez, cumplimiento, gobernanza y seguridad madura</w:t>
            </w:r>
          </w:p>
        </w:tc>
      </w:tr>
    </w:tbl>
    <w:p/>
    <w:p>
      <w:pPr>
        <w:pStyle w:val="Heading2"/>
      </w:pPr>
      <w:r>
        <w:t>6.2 Suministro y distribución conceptual</w:t>
      </w:r>
    </w:p>
    <w:p>
      <w:r>
        <w:t>Como hipótesis inicial se propone un suministro objetivo de 1.000.000.000 ZYXE. No debe acuñarse en blockchain durante el MVP. La cifra y la distribución son parámetros de diseño sujetos a simulación.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744"/>
            <w:shd w:fill="080B12"/>
            <w:vAlign w:val="center"/>
          </w:tcPr>
          <w:p>
            <w:pPr>
              <w:jc w:val="center"/>
            </w:pPr>
            <w:r>
              <w:rPr>
                <w:b/>
                <w:color w:val="39FF88"/>
                <w:sz w:val="18"/>
              </w:rPr>
              <w:t>Destino</w:t>
            </w:r>
          </w:p>
        </w:tc>
        <w:tc>
          <w:tcPr>
            <w:tcW w:type="dxa" w:w="1584"/>
            <w:shd w:fill="080B12"/>
            <w:vAlign w:val="center"/>
          </w:tcPr>
          <w:p>
            <w:pPr>
              <w:jc w:val="center"/>
            </w:pPr>
            <w:r>
              <w:rPr>
                <w:b/>
                <w:color w:val="39FF88"/>
                <w:sz w:val="18"/>
              </w:rPr>
              <w:t>% preliminar</w:t>
            </w:r>
          </w:p>
        </w:tc>
        <w:tc>
          <w:tcPr>
            <w:tcW w:type="dxa" w:w="4320"/>
            <w:shd w:fill="080B12"/>
            <w:vAlign w:val="center"/>
          </w:tcPr>
          <w:p>
            <w:pPr>
              <w:jc w:val="center"/>
            </w:pPr>
            <w:r>
              <w:rPr>
                <w:b/>
                <w:color w:val="39FF88"/>
                <w:sz w:val="18"/>
              </w:rPr>
              <w:t>Observación</w:t>
            </w:r>
          </w:p>
        </w:tc>
      </w:tr>
      <w:tr>
        <w:tc>
          <w:tcPr>
            <w:tcW w:type="dxa" w:w="3744"/>
            <w:shd w:fill="F8FAFC"/>
            <w:vAlign w:val="center"/>
          </w:tcPr>
          <w:p>
            <w:r>
              <w:rPr>
                <w:color w:val="1E293B"/>
                <w:sz w:val="17"/>
              </w:rPr>
              <w:t>Recompensas y minería virtual</w:t>
            </w:r>
          </w:p>
        </w:tc>
        <w:tc>
          <w:tcPr>
            <w:tcW w:type="dxa" w:w="1584"/>
            <w:shd w:fill="F8FAFC"/>
            <w:vAlign w:val="center"/>
          </w:tcPr>
          <w:p>
            <w:r>
              <w:rPr>
                <w:color w:val="1E293B"/>
                <w:sz w:val="17"/>
              </w:rPr>
              <w:t>50%</w:t>
            </w:r>
          </w:p>
        </w:tc>
        <w:tc>
          <w:tcPr>
            <w:tcW w:type="dxa" w:w="4320"/>
            <w:shd w:fill="F8FAFC"/>
            <w:vAlign w:val="center"/>
          </w:tcPr>
          <w:p>
            <w:r>
              <w:rPr>
                <w:color w:val="1E293B"/>
                <w:sz w:val="17"/>
              </w:rPr>
              <w:t>Liberación programada y pools dinámicos</w:t>
            </w:r>
          </w:p>
        </w:tc>
      </w:tr>
      <w:tr>
        <w:tc>
          <w:tcPr>
            <w:tcW w:type="dxa" w:w="3744"/>
            <w:vAlign w:val="center"/>
          </w:tcPr>
          <w:p>
            <w:r>
              <w:rPr>
                <w:color w:val="1E293B"/>
                <w:sz w:val="17"/>
              </w:rPr>
              <w:t>Tesorería Fauzet</w:t>
            </w:r>
          </w:p>
        </w:tc>
        <w:tc>
          <w:tcPr>
            <w:tcW w:type="dxa" w:w="1584"/>
            <w:vAlign w:val="center"/>
          </w:tcPr>
          <w:p>
            <w:r>
              <w:rPr>
                <w:color w:val="1E293B"/>
                <w:sz w:val="17"/>
              </w:rPr>
              <w:t>20%</w:t>
            </w:r>
          </w:p>
        </w:tc>
        <w:tc>
          <w:tcPr>
            <w:tcW w:type="dxa" w:w="4320"/>
            <w:vAlign w:val="center"/>
          </w:tcPr>
          <w:p>
            <w:r>
              <w:rPr>
                <w:color w:val="1E293B"/>
                <w:sz w:val="17"/>
              </w:rPr>
              <w:t>Operación, reservas y estabilidad</w:t>
            </w:r>
          </w:p>
        </w:tc>
      </w:tr>
      <w:tr>
        <w:tc>
          <w:tcPr>
            <w:tcW w:type="dxa" w:w="3744"/>
            <w:shd w:fill="F8FAFC"/>
            <w:vAlign w:val="center"/>
          </w:tcPr>
          <w:p>
            <w:r>
              <w:rPr>
                <w:color w:val="1E293B"/>
                <w:sz w:val="17"/>
              </w:rPr>
              <w:t>Liquidez y expansión pública</w:t>
            </w:r>
          </w:p>
        </w:tc>
        <w:tc>
          <w:tcPr>
            <w:tcW w:type="dxa" w:w="1584"/>
            <w:shd w:fill="F8FAFC"/>
            <w:vAlign w:val="center"/>
          </w:tcPr>
          <w:p>
            <w:r>
              <w:rPr>
                <w:color w:val="1E293B"/>
                <w:sz w:val="17"/>
              </w:rPr>
              <w:t>10%</w:t>
            </w:r>
          </w:p>
        </w:tc>
        <w:tc>
          <w:tcPr>
            <w:tcW w:type="dxa" w:w="4320"/>
            <w:shd w:fill="F8FAFC"/>
            <w:vAlign w:val="center"/>
          </w:tcPr>
          <w:p>
            <w:r>
              <w:rPr>
                <w:color w:val="1E293B"/>
                <w:sz w:val="17"/>
              </w:rPr>
              <w:t>Solo al activar tokenización</w:t>
            </w:r>
          </w:p>
        </w:tc>
      </w:tr>
      <w:tr>
        <w:tc>
          <w:tcPr>
            <w:tcW w:type="dxa" w:w="3744"/>
            <w:vAlign w:val="center"/>
          </w:tcPr>
          <w:p>
            <w:r>
              <w:rPr>
                <w:color w:val="1E293B"/>
                <w:sz w:val="17"/>
              </w:rPr>
              <w:t>Equipo y desarrollo</w:t>
            </w:r>
          </w:p>
        </w:tc>
        <w:tc>
          <w:tcPr>
            <w:tcW w:type="dxa" w:w="1584"/>
            <w:vAlign w:val="center"/>
          </w:tcPr>
          <w:p>
            <w:r>
              <w:rPr>
                <w:color w:val="1E293B"/>
                <w:sz w:val="17"/>
              </w:rPr>
              <w:t>10%</w:t>
            </w:r>
          </w:p>
        </w:tc>
        <w:tc>
          <w:tcPr>
            <w:tcW w:type="dxa" w:w="4320"/>
            <w:vAlign w:val="center"/>
          </w:tcPr>
          <w:p>
            <w:r>
              <w:rPr>
                <w:color w:val="1E293B"/>
                <w:sz w:val="17"/>
              </w:rPr>
              <w:t>Vesting recomendado: 12 meses + 36 meses</w:t>
            </w:r>
          </w:p>
        </w:tc>
      </w:tr>
      <w:tr>
        <w:tc>
          <w:tcPr>
            <w:tcW w:type="dxa" w:w="3744"/>
            <w:shd w:fill="F8FAFC"/>
            <w:vAlign w:val="center"/>
          </w:tcPr>
          <w:p>
            <w:r>
              <w:rPr>
                <w:color w:val="1E293B"/>
                <w:sz w:val="17"/>
              </w:rPr>
              <w:t>Comunidad, referidos y marketing</w:t>
            </w:r>
          </w:p>
        </w:tc>
        <w:tc>
          <w:tcPr>
            <w:tcW w:type="dxa" w:w="1584"/>
            <w:shd w:fill="F8FAFC"/>
            <w:vAlign w:val="center"/>
          </w:tcPr>
          <w:p>
            <w:r>
              <w:rPr>
                <w:color w:val="1E293B"/>
                <w:sz w:val="17"/>
              </w:rPr>
              <w:t>7%</w:t>
            </w:r>
          </w:p>
        </w:tc>
        <w:tc>
          <w:tcPr>
            <w:tcW w:type="dxa" w:w="4320"/>
            <w:shd w:fill="F8FAFC"/>
            <w:vAlign w:val="center"/>
          </w:tcPr>
          <w:p>
            <w:r>
              <w:rPr>
                <w:color w:val="1E293B"/>
                <w:sz w:val="17"/>
              </w:rPr>
              <w:t>Campañas con límites y criterios</w:t>
            </w:r>
          </w:p>
        </w:tc>
      </w:tr>
      <w:tr>
        <w:tc>
          <w:tcPr>
            <w:tcW w:type="dxa" w:w="3744"/>
            <w:vAlign w:val="center"/>
          </w:tcPr>
          <w:p>
            <w:r>
              <w:rPr>
                <w:color w:val="1E293B"/>
                <w:sz w:val="17"/>
              </w:rPr>
              <w:t>Reserva de seguridad</w:t>
            </w:r>
          </w:p>
        </w:tc>
        <w:tc>
          <w:tcPr>
            <w:tcW w:type="dxa" w:w="1584"/>
            <w:vAlign w:val="center"/>
          </w:tcPr>
          <w:p>
            <w:r>
              <w:rPr>
                <w:color w:val="1E293B"/>
                <w:sz w:val="17"/>
              </w:rPr>
              <w:t>3%</w:t>
            </w:r>
          </w:p>
        </w:tc>
        <w:tc>
          <w:tcPr>
            <w:tcW w:type="dxa" w:w="4320"/>
            <w:vAlign w:val="center"/>
          </w:tcPr>
          <w:p>
            <w:r>
              <w:rPr>
                <w:color w:val="1E293B"/>
                <w:sz w:val="17"/>
              </w:rPr>
              <w:t>Contingencias, auditorías y coberturas</w:t>
            </w:r>
          </w:p>
        </w:tc>
      </w:tr>
    </w:tbl>
    <w:p/>
    <w:p>
      <w:pPr>
        <w:pStyle w:val="Heading2"/>
      </w:pPr>
      <w:r>
        <w:t>6.3 Emisión dinámica</w:t>
      </w:r>
    </w:p>
    <w:p>
      <w:r>
        <w:t>La emisión diaria debe partir de un pool máximo y ajustarse por ingresos, usuarios activos, inflación interna, fraude, ZYXE quemados y reservas. La plataforma nunca debe emitir simplemente para cubrir promesas previas.</w:t>
      </w:r>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7C3AED"/>
              <w:bottom w:val="single" w:sz="2" w:color="DDE3EA"/>
              <w:right w:val="single" w:sz="2" w:color="DDE3EA"/>
            </w:tcBorders>
          </w:tcPr>
          <w:p>
            <w:r>
              <w:rPr>
                <w:b/>
                <w:color w:val="7C3AED"/>
                <w:sz w:val="22"/>
              </w:rPr>
              <w:t>Fórmula conceptual</w:t>
              <w:br/>
            </w:r>
            <w:r>
              <w:rPr>
                <w:color w:val="334155"/>
                <w:sz w:val="19"/>
              </w:rPr>
              <w:t>Emisión diaria autorizada = presupuesto base + fracción de ingresos monetizables - ajuste de inflación - ajuste de fraude - ajuste de reservas.</w:t>
            </w:r>
          </w:p>
        </w:tc>
      </w:tr>
    </w:tbl>
    <w:p/>
    <w:p>
      <w:pPr>
        <w:pStyle w:val="Heading1"/>
      </w:pPr>
      <w:r>
        <w:t>7. Formas de obtención de ZYXE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080B12"/>
            <w:vAlign w:val="center"/>
          </w:tcPr>
          <w:p>
            <w:pPr>
              <w:jc w:val="center"/>
            </w:pPr>
            <w:r>
              <w:rPr>
                <w:b/>
                <w:color w:val="39FF88"/>
                <w:sz w:val="18"/>
              </w:rPr>
              <w:t>Categoría</w:t>
            </w:r>
          </w:p>
        </w:tc>
        <w:tc>
          <w:tcPr>
            <w:tcW w:type="dxa" w:w="4320"/>
            <w:shd w:fill="080B12"/>
            <w:vAlign w:val="center"/>
          </w:tcPr>
          <w:p>
            <w:pPr>
              <w:jc w:val="center"/>
            </w:pPr>
            <w:r>
              <w:rPr>
                <w:b/>
                <w:color w:val="39FF88"/>
                <w:sz w:val="18"/>
              </w:rPr>
              <w:t>Mecánicas</w:t>
            </w:r>
          </w:p>
        </w:tc>
        <w:tc>
          <w:tcPr>
            <w:tcW w:type="dxa" w:w="3600"/>
            <w:shd w:fill="080B12"/>
            <w:vAlign w:val="center"/>
          </w:tcPr>
          <w:p>
            <w:pPr>
              <w:jc w:val="center"/>
            </w:pPr>
            <w:r>
              <w:rPr>
                <w:b/>
                <w:color w:val="39FF88"/>
                <w:sz w:val="18"/>
              </w:rPr>
              <w:t>Peso económico</w:t>
            </w:r>
          </w:p>
        </w:tc>
      </w:tr>
      <w:tr>
        <w:tc>
          <w:tcPr>
            <w:tcW w:type="dxa" w:w="1728"/>
            <w:shd w:fill="F8FAFC"/>
            <w:vAlign w:val="center"/>
          </w:tcPr>
          <w:p>
            <w:r>
              <w:rPr>
                <w:color w:val="1E293B"/>
                <w:sz w:val="17"/>
              </w:rPr>
              <w:t>Gratuita</w:t>
            </w:r>
          </w:p>
        </w:tc>
        <w:tc>
          <w:tcPr>
            <w:tcW w:type="dxa" w:w="4320"/>
            <w:shd w:fill="F8FAFC"/>
            <w:vAlign w:val="center"/>
          </w:tcPr>
          <w:p>
            <w:r>
              <w:rPr>
                <w:color w:val="1E293B"/>
                <w:sz w:val="17"/>
              </w:rPr>
              <w:t>Faucet, login, rachas, minijuegos básicos</w:t>
            </w:r>
          </w:p>
        </w:tc>
        <w:tc>
          <w:tcPr>
            <w:tcW w:type="dxa" w:w="3600"/>
            <w:shd w:fill="F8FAFC"/>
            <w:vAlign w:val="center"/>
          </w:tcPr>
          <w:p>
            <w:r>
              <w:rPr>
                <w:color w:val="1E293B"/>
                <w:sz w:val="17"/>
              </w:rPr>
              <w:t>Bajo; retención</w:t>
            </w:r>
          </w:p>
        </w:tc>
      </w:tr>
      <w:tr>
        <w:tc>
          <w:tcPr>
            <w:tcW w:type="dxa" w:w="1728"/>
            <w:vAlign w:val="center"/>
          </w:tcPr>
          <w:p>
            <w:r>
              <w:rPr>
                <w:color w:val="1E293B"/>
                <w:sz w:val="17"/>
              </w:rPr>
              <w:t>Monetizable</w:t>
            </w:r>
          </w:p>
        </w:tc>
        <w:tc>
          <w:tcPr>
            <w:tcW w:type="dxa" w:w="4320"/>
            <w:vAlign w:val="center"/>
          </w:tcPr>
          <w:p>
            <w:r>
              <w:rPr>
                <w:color w:val="1E293B"/>
                <w:sz w:val="17"/>
              </w:rPr>
              <w:t>Ads, offerwalls, encuestas, afiliados</w:t>
            </w:r>
          </w:p>
        </w:tc>
        <w:tc>
          <w:tcPr>
            <w:tcW w:type="dxa" w:w="3600"/>
            <w:vAlign w:val="center"/>
          </w:tcPr>
          <w:p>
            <w:r>
              <w:rPr>
                <w:color w:val="1E293B"/>
                <w:sz w:val="17"/>
              </w:rPr>
              <w:t>Alto; produce ingreso real</w:t>
            </w:r>
          </w:p>
        </w:tc>
      </w:tr>
      <w:tr>
        <w:tc>
          <w:tcPr>
            <w:tcW w:type="dxa" w:w="1728"/>
            <w:shd w:fill="F8FAFC"/>
            <w:vAlign w:val="center"/>
          </w:tcPr>
          <w:p>
            <w:r>
              <w:rPr>
                <w:color w:val="1E293B"/>
                <w:sz w:val="17"/>
              </w:rPr>
              <w:t>Competitiva</w:t>
            </w:r>
          </w:p>
        </w:tc>
        <w:tc>
          <w:tcPr>
            <w:tcW w:type="dxa" w:w="4320"/>
            <w:shd w:fill="F8FAFC"/>
            <w:vAlign w:val="center"/>
          </w:tcPr>
          <w:p>
            <w:r>
              <w:rPr>
                <w:color w:val="1E293B"/>
                <w:sz w:val="17"/>
              </w:rPr>
              <w:t>Torneos, rankings, eventos, minería</w:t>
            </w:r>
          </w:p>
        </w:tc>
        <w:tc>
          <w:tcPr>
            <w:tcW w:type="dxa" w:w="3600"/>
            <w:shd w:fill="F8FAFC"/>
            <w:vAlign w:val="center"/>
          </w:tcPr>
          <w:p>
            <w:r>
              <w:rPr>
                <w:color w:val="1E293B"/>
                <w:sz w:val="17"/>
              </w:rPr>
              <w:t>Pool limitado</w:t>
            </w:r>
          </w:p>
        </w:tc>
      </w:tr>
      <w:tr>
        <w:tc>
          <w:tcPr>
            <w:tcW w:type="dxa" w:w="1728"/>
            <w:vAlign w:val="center"/>
          </w:tcPr>
          <w:p>
            <w:r>
              <w:rPr>
                <w:color w:val="1E293B"/>
                <w:sz w:val="17"/>
              </w:rPr>
              <w:t>Social</w:t>
            </w:r>
          </w:p>
        </w:tc>
        <w:tc>
          <w:tcPr>
            <w:tcW w:type="dxa" w:w="4320"/>
            <w:vAlign w:val="center"/>
          </w:tcPr>
          <w:p>
            <w:r>
              <w:rPr>
                <w:color w:val="1E293B"/>
                <w:sz w:val="17"/>
              </w:rPr>
              <w:t>Referidos, crews y logros comunitarios</w:t>
            </w:r>
          </w:p>
        </w:tc>
        <w:tc>
          <w:tcPr>
            <w:tcW w:type="dxa" w:w="3600"/>
            <w:vAlign w:val="center"/>
          </w:tcPr>
          <w:p>
            <w:r>
              <w:rPr>
                <w:color w:val="1E293B"/>
                <w:sz w:val="17"/>
              </w:rPr>
              <w:t>Variable y condicionado</w:t>
            </w:r>
          </w:p>
        </w:tc>
      </w:tr>
      <w:tr>
        <w:tc>
          <w:tcPr>
            <w:tcW w:type="dxa" w:w="1728"/>
            <w:shd w:fill="F8FAFC"/>
            <w:vAlign w:val="center"/>
          </w:tcPr>
          <w:p>
            <w:r>
              <w:rPr>
                <w:color w:val="1E293B"/>
                <w:sz w:val="17"/>
              </w:rPr>
              <w:t>Promocional</w:t>
            </w:r>
          </w:p>
        </w:tc>
        <w:tc>
          <w:tcPr>
            <w:tcW w:type="dxa" w:w="4320"/>
            <w:shd w:fill="F8FAFC"/>
            <w:vAlign w:val="center"/>
          </w:tcPr>
          <w:p>
            <w:r>
              <w:rPr>
                <w:color w:val="1E293B"/>
                <w:sz w:val="17"/>
              </w:rPr>
              <w:t>Bonos, campañas y recompensas de lanzamiento</w:t>
            </w:r>
          </w:p>
        </w:tc>
        <w:tc>
          <w:tcPr>
            <w:tcW w:type="dxa" w:w="3600"/>
            <w:shd w:fill="F8FAFC"/>
            <w:vAlign w:val="center"/>
          </w:tcPr>
          <w:p>
            <w:r>
              <w:rPr>
                <w:color w:val="1E293B"/>
                <w:sz w:val="17"/>
              </w:rPr>
              <w:t>No necesariamente retirable</w:t>
            </w:r>
          </w:p>
        </w:tc>
      </w:tr>
    </w:tbl>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FFB020"/>
              <w:bottom w:val="single" w:sz="2" w:color="DDE3EA"/>
              <w:right w:val="single" w:sz="2" w:color="DDE3EA"/>
            </w:tcBorders>
          </w:tcPr>
          <w:p>
            <w:r>
              <w:rPr>
                <w:b/>
                <w:color w:val="FFB020"/>
                <w:sz w:val="22"/>
              </w:rPr>
              <w:t>Clases de saldo</w:t>
              <w:br/>
            </w:r>
            <w:r>
              <w:rPr>
                <w:color w:val="334155"/>
                <w:sz w:val="19"/>
              </w:rPr>
              <w:t>El sistema debe distinguir ZYXE disponible, bloqueado, pendiente, promocional y elegible para retiro. No todo ZYXE ganado crea automáticamente una obligación de pago externo.</w:t>
            </w:r>
          </w:p>
        </w:tc>
      </w:tr>
    </w:tbl>
    <w:p/>
    <w:p>
      <w:pPr>
        <w:pStyle w:val="Heading1"/>
      </w:pPr>
      <w:r>
        <w:t>8. Usos y mecanismos de consumo</w:t>
      </w:r>
    </w:p>
    <w:p>
      <w:pPr>
        <w:pStyle w:val="ListBullet"/>
      </w:pPr>
      <w:r>
        <w:t>Boosts temporales</w:t>
      </w:r>
    </w:p>
    <w:p>
      <w:pPr>
        <w:pStyle w:val="ListBullet"/>
      </w:pPr>
      <w:r>
        <w:t>Aceleradores de cooldown</w:t>
      </w:r>
    </w:p>
    <w:p>
      <w:pPr>
        <w:pStyle w:val="ListBullet"/>
      </w:pPr>
      <w:r>
        <w:t>Mineros virtuales</w:t>
      </w:r>
    </w:p>
    <w:p>
      <w:pPr>
        <w:pStyle w:val="ListBullet"/>
      </w:pPr>
      <w:r>
        <w:t>Mejoras de hashpower</w:t>
      </w:r>
    </w:p>
    <w:p>
      <w:pPr>
        <w:pStyle w:val="ListBullet"/>
      </w:pPr>
      <w:r>
        <w:t>Energía y mantenimiento</w:t>
      </w:r>
    </w:p>
    <w:p>
      <w:pPr>
        <w:pStyle w:val="ListBullet"/>
      </w:pPr>
      <w:r>
        <w:t>Reparación y vida útil</w:t>
      </w:r>
    </w:p>
    <w:p>
      <w:pPr>
        <w:pStyle w:val="ListBullet"/>
      </w:pPr>
      <w:r>
        <w:t>Entradas a torneos</w:t>
      </w:r>
    </w:p>
    <w:p>
      <w:pPr>
        <w:pStyle w:val="ListBullet"/>
      </w:pPr>
      <w:r>
        <w:t>Misiones premium</w:t>
      </w:r>
    </w:p>
    <w:p>
      <w:pPr>
        <w:pStyle w:val="ListBullet"/>
      </w:pPr>
      <w:r>
        <w:t>Cofres y eventos</w:t>
      </w:r>
    </w:p>
    <w:p>
      <w:pPr>
        <w:pStyle w:val="ListBullet"/>
      </w:pPr>
      <w:r>
        <w:t>Personalización y niveles</w:t>
      </w:r>
    </w:p>
    <w:p>
      <w:pPr>
        <w:pStyle w:val="ListBullet"/>
      </w:pPr>
      <w:r>
        <w:t>Comisiones internas</w:t>
      </w:r>
    </w:p>
    <w:p>
      <w:pPr>
        <w:pStyle w:val="ListBullet"/>
      </w:pPr>
      <w:r>
        <w:t>Marketplace</w:t>
      </w:r>
    </w:p>
    <w:p>
      <w:pPr>
        <w:pStyle w:val="ListBullet"/>
      </w:pPr>
      <w:r>
        <w:t>Herramientas de trading</w:t>
      </w:r>
    </w:p>
    <w:p>
      <w:pPr>
        <w:pStyle w:val="ListBullet"/>
      </w:pPr>
      <w:r>
        <w:t>Reducción de tiempos de espera</w:t>
      </w:r>
    </w:p>
    <w:p>
      <w:pPr>
        <w:pStyle w:val="Heading2"/>
      </w:pPr>
      <w:r>
        <w:t>8.1 Quema, reciclaje y tesorería</w:t>
      </w:r>
    </w:p>
    <w:p>
      <w:r>
        <w:t>Modelo inicial por gasto estándar: 40% se quema, 40% vuelve a pools de recompensas y 20% pasa a tesorería operativa o de liquidez. Cada producto podrá usar una proporción distinta.</w:t>
      </w:r>
    </w:p>
    <w:p>
      <w:pPr>
        <w:pStyle w:val="Heading1"/>
      </w:pPr>
      <w:r>
        <w:t>9. Minería virtual</w:t>
      </w:r>
    </w:p>
    <w:p>
      <w:r>
        <w:t>La minería en Fauzet será una simulación económica y de juego. No ejecutará minería Proof-of-Work en el navegador o VPS. Los usuarios competirán por una participación de un pool diario de ZYXE.</w:t>
      </w:r>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39FF88"/>
              <w:bottom w:val="single" w:sz="2" w:color="DDE3EA"/>
              <w:right w:val="single" w:sz="2" w:color="DDE3EA"/>
            </w:tcBorders>
          </w:tcPr>
          <w:p>
            <w:r>
              <w:rPr>
                <w:b/>
                <w:color w:val="39FF88"/>
                <w:sz w:val="22"/>
              </w:rPr>
              <w:t>Fórmula base</w:t>
              <w:br/>
            </w:r>
            <w:r>
              <w:rPr>
                <w:color w:val="334155"/>
                <w:sz w:val="19"/>
              </w:rPr>
              <w:t>Recompensa del usuario = (hashpower válido del usuario / hashpower total válido) × pool diario de minería.</w:t>
            </w:r>
          </w:p>
        </w:tc>
      </w:tr>
    </w:tbl>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080B12"/>
            <w:vAlign w:val="center"/>
          </w:tcPr>
          <w:p>
            <w:pPr>
              <w:jc w:val="center"/>
            </w:pPr>
            <w:r>
              <w:rPr>
                <w:b/>
                <w:color w:val="39FF88"/>
                <w:sz w:val="18"/>
              </w:rPr>
              <w:t>Componente</w:t>
            </w:r>
          </w:p>
        </w:tc>
        <w:tc>
          <w:tcPr>
            <w:tcW w:type="dxa" w:w="6480"/>
            <w:shd w:fill="080B12"/>
            <w:vAlign w:val="center"/>
          </w:tcPr>
          <w:p>
            <w:pPr>
              <w:jc w:val="center"/>
            </w:pPr>
            <w:r>
              <w:rPr>
                <w:b/>
                <w:color w:val="39FF88"/>
                <w:sz w:val="18"/>
              </w:rPr>
              <w:t>Función</w:t>
            </w:r>
          </w:p>
        </w:tc>
      </w:tr>
      <w:tr>
        <w:tc>
          <w:tcPr>
            <w:tcW w:type="dxa" w:w="2880"/>
            <w:shd w:fill="F8FAFC"/>
            <w:vAlign w:val="center"/>
          </w:tcPr>
          <w:p>
            <w:r>
              <w:rPr>
                <w:color w:val="1E293B"/>
                <w:sz w:val="17"/>
              </w:rPr>
              <w:t>Mineros virtuales</w:t>
            </w:r>
          </w:p>
        </w:tc>
        <w:tc>
          <w:tcPr>
            <w:tcW w:type="dxa" w:w="6480"/>
            <w:shd w:fill="F8FAFC"/>
            <w:vAlign w:val="center"/>
          </w:tcPr>
          <w:p>
            <w:r>
              <w:rPr>
                <w:color w:val="1E293B"/>
                <w:sz w:val="17"/>
              </w:rPr>
              <w:t>Generan hashpower según rareza y eficiencia</w:t>
            </w:r>
          </w:p>
        </w:tc>
      </w:tr>
      <w:tr>
        <w:tc>
          <w:tcPr>
            <w:tcW w:type="dxa" w:w="2880"/>
            <w:vAlign w:val="center"/>
          </w:tcPr>
          <w:p>
            <w:r>
              <w:rPr>
                <w:color w:val="1E293B"/>
                <w:sz w:val="17"/>
              </w:rPr>
              <w:t>Energía</w:t>
            </w:r>
          </w:p>
        </w:tc>
        <w:tc>
          <w:tcPr>
            <w:tcW w:type="dxa" w:w="6480"/>
            <w:vAlign w:val="center"/>
          </w:tcPr>
          <w:p>
            <w:r>
              <w:rPr>
                <w:color w:val="1E293B"/>
                <w:sz w:val="17"/>
              </w:rPr>
              <w:t>Limita la operación y crea consumo recurrente</w:t>
            </w:r>
          </w:p>
        </w:tc>
      </w:tr>
      <w:tr>
        <w:tc>
          <w:tcPr>
            <w:tcW w:type="dxa" w:w="2880"/>
            <w:shd w:fill="F8FAFC"/>
            <w:vAlign w:val="center"/>
          </w:tcPr>
          <w:p>
            <w:r>
              <w:rPr>
                <w:color w:val="1E293B"/>
                <w:sz w:val="17"/>
              </w:rPr>
              <w:t>Mantenimiento</w:t>
            </w:r>
          </w:p>
        </w:tc>
        <w:tc>
          <w:tcPr>
            <w:tcW w:type="dxa" w:w="6480"/>
            <w:shd w:fill="F8FAFC"/>
            <w:vAlign w:val="center"/>
          </w:tcPr>
          <w:p>
            <w:r>
              <w:rPr>
                <w:color w:val="1E293B"/>
                <w:sz w:val="17"/>
              </w:rPr>
              <w:t>Evita producción perpetua sin gasto</w:t>
            </w:r>
          </w:p>
        </w:tc>
      </w:tr>
      <w:tr>
        <w:tc>
          <w:tcPr>
            <w:tcW w:type="dxa" w:w="2880"/>
            <w:vAlign w:val="center"/>
          </w:tcPr>
          <w:p>
            <w:r>
              <w:rPr>
                <w:color w:val="1E293B"/>
                <w:sz w:val="17"/>
              </w:rPr>
              <w:t>Vida útil</w:t>
            </w:r>
          </w:p>
        </w:tc>
        <w:tc>
          <w:tcPr>
            <w:tcW w:type="dxa" w:w="6480"/>
            <w:vAlign w:val="center"/>
          </w:tcPr>
          <w:p>
            <w:r>
              <w:rPr>
                <w:color w:val="1E293B"/>
                <w:sz w:val="17"/>
              </w:rPr>
              <w:t>Crea renovación y mercado de activos</w:t>
            </w:r>
          </w:p>
        </w:tc>
      </w:tr>
      <w:tr>
        <w:tc>
          <w:tcPr>
            <w:tcW w:type="dxa" w:w="2880"/>
            <w:shd w:fill="F8FAFC"/>
            <w:vAlign w:val="center"/>
          </w:tcPr>
          <w:p>
            <w:r>
              <w:rPr>
                <w:color w:val="1E293B"/>
                <w:sz w:val="17"/>
              </w:rPr>
              <w:t>Boosts</w:t>
            </w:r>
          </w:p>
        </w:tc>
        <w:tc>
          <w:tcPr>
            <w:tcW w:type="dxa" w:w="6480"/>
            <w:shd w:fill="F8FAFC"/>
            <w:vAlign w:val="center"/>
          </w:tcPr>
          <w:p>
            <w:r>
              <w:rPr>
                <w:color w:val="1E293B"/>
                <w:sz w:val="17"/>
              </w:rPr>
              <w:t>Aumentan temporalmente rendimiento o eficiencia</w:t>
            </w:r>
          </w:p>
        </w:tc>
      </w:tr>
      <w:tr>
        <w:tc>
          <w:tcPr>
            <w:tcW w:type="dxa" w:w="2880"/>
            <w:vAlign w:val="center"/>
          </w:tcPr>
          <w:p>
            <w:r>
              <w:rPr>
                <w:color w:val="1E293B"/>
                <w:sz w:val="17"/>
              </w:rPr>
              <w:t>Reputación</w:t>
            </w:r>
          </w:p>
        </w:tc>
        <w:tc>
          <w:tcPr>
            <w:tcW w:type="dxa" w:w="6480"/>
            <w:vAlign w:val="center"/>
          </w:tcPr>
          <w:p>
            <w:r>
              <w:rPr>
                <w:color w:val="1E293B"/>
                <w:sz w:val="17"/>
              </w:rPr>
              <w:t>Reduce beneficios de cuentas sospechosas</w:t>
            </w:r>
          </w:p>
        </w:tc>
      </w:tr>
      <w:tr>
        <w:tc>
          <w:tcPr>
            <w:tcW w:type="dxa" w:w="2880"/>
            <w:shd w:fill="F8FAFC"/>
            <w:vAlign w:val="center"/>
          </w:tcPr>
          <w:p>
            <w:r>
              <w:rPr>
                <w:color w:val="1E293B"/>
                <w:sz w:val="17"/>
              </w:rPr>
              <w:t>Rendimiento decreciente</w:t>
            </w:r>
          </w:p>
        </w:tc>
        <w:tc>
          <w:tcPr>
            <w:tcW w:type="dxa" w:w="6480"/>
            <w:shd w:fill="F8FAFC"/>
            <w:vAlign w:val="center"/>
          </w:tcPr>
          <w:p>
            <w:r>
              <w:rPr>
                <w:color w:val="1E293B"/>
                <w:sz w:val="17"/>
              </w:rPr>
              <w:t>Evita concentración extrema del pool</w:t>
            </w:r>
          </w:p>
        </w:tc>
      </w:tr>
      <w:tr>
        <w:tc>
          <w:tcPr>
            <w:tcW w:type="dxa" w:w="2880"/>
            <w:vAlign w:val="center"/>
          </w:tcPr>
          <w:p>
            <w:r>
              <w:rPr>
                <w:color w:val="1E293B"/>
                <w:sz w:val="17"/>
              </w:rPr>
              <w:t>Pool diario</w:t>
            </w:r>
          </w:p>
        </w:tc>
        <w:tc>
          <w:tcPr>
            <w:tcW w:type="dxa" w:w="6480"/>
            <w:vAlign w:val="center"/>
          </w:tcPr>
          <w:p>
            <w:r>
              <w:rPr>
                <w:color w:val="1E293B"/>
                <w:sz w:val="17"/>
              </w:rPr>
              <w:t>Fija el máximo de emisión minera</w:t>
            </w:r>
          </w:p>
        </w:tc>
      </w:tr>
    </w:tbl>
    <w:p/>
    <w:p>
      <w:pPr>
        <w:pStyle w:val="Heading1"/>
      </w:pPr>
      <w:r>
        <w:t>10. ZYXE Vault</w:t>
      </w:r>
    </w:p>
    <w:p>
      <w:r>
        <w:t>El Vault permite bloquear ZYXE para participar en un pool variable. No debe comercializarse como interés garantizado ni APY permanente. Su recompensa depende del presupuesto disponible y de la participación ponderada de cada usuario.</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080B12"/>
            <w:vAlign w:val="center"/>
          </w:tcPr>
          <w:p>
            <w:pPr>
              <w:jc w:val="center"/>
            </w:pPr>
            <w:r>
              <w:rPr>
                <w:b/>
                <w:color w:val="39FF88"/>
                <w:sz w:val="18"/>
              </w:rPr>
              <w:t>Modalidad</w:t>
            </w:r>
          </w:p>
        </w:tc>
        <w:tc>
          <w:tcPr>
            <w:tcW w:type="dxa" w:w="2448"/>
            <w:shd w:fill="080B12"/>
            <w:vAlign w:val="center"/>
          </w:tcPr>
          <w:p>
            <w:pPr>
              <w:jc w:val="center"/>
            </w:pPr>
            <w:r>
              <w:rPr>
                <w:b/>
                <w:color w:val="39FF88"/>
                <w:sz w:val="18"/>
              </w:rPr>
              <w:t>Multiplicador orientativo</w:t>
            </w:r>
          </w:p>
        </w:tc>
        <w:tc>
          <w:tcPr>
            <w:tcW w:type="dxa" w:w="4752"/>
            <w:shd w:fill="080B12"/>
            <w:vAlign w:val="center"/>
          </w:tcPr>
          <w:p>
            <w:pPr>
              <w:jc w:val="center"/>
            </w:pPr>
            <w:r>
              <w:rPr>
                <w:b/>
                <w:color w:val="39FF88"/>
                <w:sz w:val="18"/>
              </w:rPr>
              <w:t>Condición</w:t>
            </w:r>
          </w:p>
        </w:tc>
      </w:tr>
      <w:tr>
        <w:tc>
          <w:tcPr>
            <w:tcW w:type="dxa" w:w="2160"/>
            <w:shd w:fill="F8FAFC"/>
            <w:vAlign w:val="center"/>
          </w:tcPr>
          <w:p>
            <w:r>
              <w:rPr>
                <w:color w:val="1E293B"/>
                <w:sz w:val="17"/>
              </w:rPr>
              <w:t>Flexible</w:t>
            </w:r>
          </w:p>
        </w:tc>
        <w:tc>
          <w:tcPr>
            <w:tcW w:type="dxa" w:w="2448"/>
            <w:shd w:fill="F8FAFC"/>
            <w:vAlign w:val="center"/>
          </w:tcPr>
          <w:p>
            <w:r>
              <w:rPr>
                <w:color w:val="1E293B"/>
                <w:sz w:val="17"/>
              </w:rPr>
              <w:t>1,00×</w:t>
            </w:r>
          </w:p>
        </w:tc>
        <w:tc>
          <w:tcPr>
            <w:tcW w:type="dxa" w:w="4752"/>
            <w:shd w:fill="F8FAFC"/>
            <w:vAlign w:val="center"/>
          </w:tcPr>
          <w:p>
            <w:r>
              <w:rPr>
                <w:color w:val="1E293B"/>
                <w:sz w:val="17"/>
              </w:rPr>
              <w:t>Disponibilidad inmediata</w:t>
            </w:r>
          </w:p>
        </w:tc>
      </w:tr>
      <w:tr>
        <w:tc>
          <w:tcPr>
            <w:tcW w:type="dxa" w:w="2160"/>
            <w:vAlign w:val="center"/>
          </w:tcPr>
          <w:p>
            <w:r>
              <w:rPr>
                <w:color w:val="1E293B"/>
                <w:sz w:val="17"/>
              </w:rPr>
              <w:t>7 días</w:t>
            </w:r>
          </w:p>
        </w:tc>
        <w:tc>
          <w:tcPr>
            <w:tcW w:type="dxa" w:w="2448"/>
            <w:vAlign w:val="center"/>
          </w:tcPr>
          <w:p>
            <w:r>
              <w:rPr>
                <w:color w:val="1E293B"/>
                <w:sz w:val="17"/>
              </w:rPr>
              <w:t>1,05×</w:t>
            </w:r>
          </w:p>
        </w:tc>
        <w:tc>
          <w:tcPr>
            <w:tcW w:type="dxa" w:w="4752"/>
            <w:vAlign w:val="center"/>
          </w:tcPr>
          <w:p>
            <w:r>
              <w:rPr>
                <w:color w:val="1E293B"/>
                <w:sz w:val="17"/>
              </w:rPr>
              <w:t>Bloqueo corto</w:t>
            </w:r>
          </w:p>
        </w:tc>
      </w:tr>
      <w:tr>
        <w:tc>
          <w:tcPr>
            <w:tcW w:type="dxa" w:w="2160"/>
            <w:shd w:fill="F8FAFC"/>
            <w:vAlign w:val="center"/>
          </w:tcPr>
          <w:p>
            <w:r>
              <w:rPr>
                <w:color w:val="1E293B"/>
                <w:sz w:val="17"/>
              </w:rPr>
              <w:t>30 días</w:t>
            </w:r>
          </w:p>
        </w:tc>
        <w:tc>
          <w:tcPr>
            <w:tcW w:type="dxa" w:w="2448"/>
            <w:shd w:fill="F8FAFC"/>
            <w:vAlign w:val="center"/>
          </w:tcPr>
          <w:p>
            <w:r>
              <w:rPr>
                <w:color w:val="1E293B"/>
                <w:sz w:val="17"/>
              </w:rPr>
              <w:t>1,15×</w:t>
            </w:r>
          </w:p>
        </w:tc>
        <w:tc>
          <w:tcPr>
            <w:tcW w:type="dxa" w:w="4752"/>
            <w:shd w:fill="F8FAFC"/>
            <w:vAlign w:val="center"/>
          </w:tcPr>
          <w:p>
            <w:r>
              <w:rPr>
                <w:color w:val="1E293B"/>
                <w:sz w:val="17"/>
              </w:rPr>
              <w:t>Compromiso medio</w:t>
            </w:r>
          </w:p>
        </w:tc>
      </w:tr>
      <w:tr>
        <w:tc>
          <w:tcPr>
            <w:tcW w:type="dxa" w:w="2160"/>
            <w:vAlign w:val="center"/>
          </w:tcPr>
          <w:p>
            <w:r>
              <w:rPr>
                <w:color w:val="1E293B"/>
                <w:sz w:val="17"/>
              </w:rPr>
              <w:t>90 días</w:t>
            </w:r>
          </w:p>
        </w:tc>
        <w:tc>
          <w:tcPr>
            <w:tcW w:type="dxa" w:w="2448"/>
            <w:vAlign w:val="center"/>
          </w:tcPr>
          <w:p>
            <w:r>
              <w:rPr>
                <w:color w:val="1E293B"/>
                <w:sz w:val="17"/>
              </w:rPr>
              <w:t>1,35×</w:t>
            </w:r>
          </w:p>
        </w:tc>
        <w:tc>
          <w:tcPr>
            <w:tcW w:type="dxa" w:w="4752"/>
            <w:vAlign w:val="center"/>
          </w:tcPr>
          <w:p>
            <w:r>
              <w:rPr>
                <w:color w:val="1E293B"/>
                <w:sz w:val="17"/>
              </w:rPr>
              <w:t>Compromiso alto; mayor peso</w:t>
            </w:r>
          </w:p>
        </w:tc>
      </w:tr>
    </w:tbl>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22D3EE"/>
              <w:bottom w:val="single" w:sz="2" w:color="DDE3EA"/>
              <w:right w:val="single" w:sz="2" w:color="DDE3EA"/>
            </w:tcBorders>
          </w:tcPr>
          <w:p>
            <w:r>
              <w:rPr>
                <w:b/>
                <w:color w:val="22D3EE"/>
                <w:sz w:val="22"/>
              </w:rPr>
              <w:t>Fórmula base</w:t>
              <w:br/>
            </w:r>
            <w:r>
              <w:rPr>
                <w:color w:val="334155"/>
                <w:sz w:val="19"/>
              </w:rPr>
              <w:t>Recompensa Vault = (peso del usuario / peso total de participantes) × pool Vault del periodo.</w:t>
            </w:r>
          </w:p>
        </w:tc>
      </w:tr>
    </w:tbl>
    <w:p/>
    <w:p>
      <w:pPr>
        <w:pStyle w:val="Heading1"/>
      </w:pPr>
      <w:r>
        <w:t>11. Red de referidos de cuatro niveles</w:t>
      </w:r>
    </w:p>
    <w:p>
      <w:r>
        <w:t>La red de referidos puede tener cuatro niveles siempre que no pague por reclutamiento vacío ni dependa de depósitos de nuevos usuarios. Debe recompensar actividad validada y preferiblemente monetizable.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080B12"/>
            <w:vAlign w:val="center"/>
          </w:tcPr>
          <w:p>
            <w:pPr>
              <w:jc w:val="center"/>
            </w:pPr>
            <w:r>
              <w:rPr>
                <w:b/>
                <w:color w:val="39FF88"/>
                <w:sz w:val="18"/>
              </w:rPr>
              <w:t>Nivel</w:t>
            </w:r>
          </w:p>
        </w:tc>
        <w:tc>
          <w:tcPr>
            <w:tcW w:type="dxa" w:w="2592"/>
            <w:shd w:fill="080B12"/>
            <w:vAlign w:val="center"/>
          </w:tcPr>
          <w:p>
            <w:pPr>
              <w:jc w:val="center"/>
            </w:pPr>
            <w:r>
              <w:rPr>
                <w:b/>
                <w:color w:val="39FF88"/>
                <w:sz w:val="18"/>
              </w:rPr>
              <w:t>Porcentaje preliminar</w:t>
            </w:r>
          </w:p>
        </w:tc>
        <w:tc>
          <w:tcPr>
            <w:tcW w:type="dxa" w:w="5328"/>
            <w:shd w:fill="080B12"/>
            <w:vAlign w:val="center"/>
          </w:tcPr>
          <w:p>
            <w:pPr>
              <w:jc w:val="center"/>
            </w:pPr>
            <w:r>
              <w:rPr>
                <w:b/>
                <w:color w:val="39FF88"/>
                <w:sz w:val="18"/>
              </w:rPr>
              <w:t>Base de cálculo</w:t>
            </w:r>
          </w:p>
        </w:tc>
      </w:tr>
      <w:tr>
        <w:tc>
          <w:tcPr>
            <w:tcW w:type="dxa" w:w="1440"/>
            <w:shd w:fill="F8FAFC"/>
            <w:vAlign w:val="center"/>
          </w:tcPr>
          <w:p>
            <w:r>
              <w:rPr>
                <w:color w:val="1E293B"/>
                <w:sz w:val="17"/>
              </w:rPr>
              <w:t>1</w:t>
            </w:r>
          </w:p>
        </w:tc>
        <w:tc>
          <w:tcPr>
            <w:tcW w:type="dxa" w:w="2592"/>
            <w:shd w:fill="F8FAFC"/>
            <w:vAlign w:val="center"/>
          </w:tcPr>
          <w:p>
            <w:r>
              <w:rPr>
                <w:color w:val="1E293B"/>
                <w:sz w:val="17"/>
              </w:rPr>
              <w:t>5,0%</w:t>
            </w:r>
          </w:p>
        </w:tc>
        <w:tc>
          <w:tcPr>
            <w:tcW w:type="dxa" w:w="5328"/>
            <w:shd w:fill="F8FAFC"/>
            <w:vAlign w:val="center"/>
          </w:tcPr>
          <w:p>
            <w:r>
              <w:rPr>
                <w:color w:val="1E293B"/>
                <w:sz w:val="17"/>
              </w:rPr>
              <w:t>Presupuesto comisionable de actividad válida</w:t>
            </w:r>
          </w:p>
        </w:tc>
      </w:tr>
      <w:tr>
        <w:tc>
          <w:tcPr>
            <w:tcW w:type="dxa" w:w="1440"/>
            <w:vAlign w:val="center"/>
          </w:tcPr>
          <w:p>
            <w:r>
              <w:rPr>
                <w:color w:val="1E293B"/>
                <w:sz w:val="17"/>
              </w:rPr>
              <w:t>2</w:t>
            </w:r>
          </w:p>
        </w:tc>
        <w:tc>
          <w:tcPr>
            <w:tcW w:type="dxa" w:w="2592"/>
            <w:vAlign w:val="center"/>
          </w:tcPr>
          <w:p>
            <w:r>
              <w:rPr>
                <w:color w:val="1E293B"/>
                <w:sz w:val="17"/>
              </w:rPr>
              <w:t>2,0%</w:t>
            </w:r>
          </w:p>
        </w:tc>
        <w:tc>
          <w:tcPr>
            <w:tcW w:type="dxa" w:w="5328"/>
            <w:vAlign w:val="center"/>
          </w:tcPr>
          <w:p>
            <w:r>
              <w:rPr>
                <w:color w:val="1E293B"/>
                <w:sz w:val="17"/>
              </w:rPr>
              <w:t>Presupuesto comisionable de actividad válida</w:t>
            </w:r>
          </w:p>
        </w:tc>
      </w:tr>
      <w:tr>
        <w:tc>
          <w:tcPr>
            <w:tcW w:type="dxa" w:w="1440"/>
            <w:shd w:fill="F8FAFC"/>
            <w:vAlign w:val="center"/>
          </w:tcPr>
          <w:p>
            <w:r>
              <w:rPr>
                <w:color w:val="1E293B"/>
                <w:sz w:val="17"/>
              </w:rPr>
              <w:t>3</w:t>
            </w:r>
          </w:p>
        </w:tc>
        <w:tc>
          <w:tcPr>
            <w:tcW w:type="dxa" w:w="2592"/>
            <w:shd w:fill="F8FAFC"/>
            <w:vAlign w:val="center"/>
          </w:tcPr>
          <w:p>
            <w:r>
              <w:rPr>
                <w:color w:val="1E293B"/>
                <w:sz w:val="17"/>
              </w:rPr>
              <w:t>1,0%</w:t>
            </w:r>
          </w:p>
        </w:tc>
        <w:tc>
          <w:tcPr>
            <w:tcW w:type="dxa" w:w="5328"/>
            <w:shd w:fill="F8FAFC"/>
            <w:vAlign w:val="center"/>
          </w:tcPr>
          <w:p>
            <w:r>
              <w:rPr>
                <w:color w:val="1E293B"/>
                <w:sz w:val="17"/>
              </w:rPr>
              <w:t>Presupuesto comisionable de actividad válida</w:t>
            </w:r>
          </w:p>
        </w:tc>
      </w:tr>
      <w:tr>
        <w:tc>
          <w:tcPr>
            <w:tcW w:type="dxa" w:w="1440"/>
            <w:vAlign w:val="center"/>
          </w:tcPr>
          <w:p>
            <w:r>
              <w:rPr>
                <w:color w:val="1E293B"/>
                <w:sz w:val="17"/>
              </w:rPr>
              <w:t>4</w:t>
            </w:r>
          </w:p>
        </w:tc>
        <w:tc>
          <w:tcPr>
            <w:tcW w:type="dxa" w:w="2592"/>
            <w:vAlign w:val="center"/>
          </w:tcPr>
          <w:p>
            <w:r>
              <w:rPr>
                <w:color w:val="1E293B"/>
                <w:sz w:val="17"/>
              </w:rPr>
              <w:t>0,5%</w:t>
            </w:r>
          </w:p>
        </w:tc>
        <w:tc>
          <w:tcPr>
            <w:tcW w:type="dxa" w:w="5328"/>
            <w:vAlign w:val="center"/>
          </w:tcPr>
          <w:p>
            <w:r>
              <w:rPr>
                <w:color w:val="1E293B"/>
                <w:sz w:val="17"/>
              </w:rPr>
              <w:t>Presupuesto comisionable de actividad válida</w:t>
            </w:r>
          </w:p>
        </w:tc>
      </w:tr>
    </w:tbl>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680"/>
            <w:shd w:fill="080B12"/>
            <w:vAlign w:val="center"/>
          </w:tcPr>
          <w:p>
            <w:pPr>
              <w:jc w:val="center"/>
            </w:pPr>
            <w:r>
              <w:rPr>
                <w:b/>
                <w:color w:val="39FF88"/>
                <w:sz w:val="18"/>
              </w:rPr>
              <w:t>Permitido</w:t>
            </w:r>
          </w:p>
        </w:tc>
        <w:tc>
          <w:tcPr>
            <w:tcW w:type="dxa" w:w="4680"/>
            <w:shd w:fill="080B12"/>
            <w:vAlign w:val="center"/>
          </w:tcPr>
          <w:p>
            <w:pPr>
              <w:jc w:val="center"/>
            </w:pPr>
            <w:r>
              <w:rPr>
                <w:b/>
                <w:color w:val="39FF88"/>
                <w:sz w:val="18"/>
              </w:rPr>
              <w:t>Prohibido</w:t>
            </w:r>
          </w:p>
        </w:tc>
      </w:tr>
      <w:tr>
        <w:tc>
          <w:tcPr>
            <w:tcW w:type="dxa" w:w="4680"/>
            <w:shd w:fill="F8FAFC"/>
            <w:vAlign w:val="center"/>
          </w:tcPr>
          <w:p>
            <w:r>
              <w:rPr>
                <w:color w:val="1E293B"/>
                <w:sz w:val="17"/>
              </w:rPr>
              <w:t>Comisión sobre ads, offerwalls o compras validadas</w:t>
            </w:r>
          </w:p>
        </w:tc>
        <w:tc>
          <w:tcPr>
            <w:tcW w:type="dxa" w:w="4680"/>
            <w:shd w:fill="F8FAFC"/>
            <w:vAlign w:val="center"/>
          </w:tcPr>
          <w:p>
            <w:r>
              <w:rPr>
                <w:color w:val="1E293B"/>
                <w:sz w:val="17"/>
              </w:rPr>
              <w:t>Pago únicamente por registro</w:t>
            </w:r>
          </w:p>
        </w:tc>
      </w:tr>
      <w:tr>
        <w:tc>
          <w:tcPr>
            <w:tcW w:type="dxa" w:w="4680"/>
            <w:vAlign w:val="center"/>
          </w:tcPr>
          <w:p>
            <w:r>
              <w:rPr>
                <w:color w:val="1E293B"/>
                <w:sz w:val="17"/>
              </w:rPr>
              <w:t>Bonus por crew activa</w:t>
            </w:r>
          </w:p>
        </w:tc>
        <w:tc>
          <w:tcPr>
            <w:tcW w:type="dxa" w:w="4680"/>
            <w:vAlign w:val="center"/>
          </w:tcPr>
          <w:p>
            <w:r>
              <w:rPr>
                <w:color w:val="1E293B"/>
                <w:sz w:val="17"/>
              </w:rPr>
              <w:t>Comisión sobre depósitos sin consumo</w:t>
            </w:r>
          </w:p>
        </w:tc>
      </w:tr>
      <w:tr>
        <w:tc>
          <w:tcPr>
            <w:tcW w:type="dxa" w:w="4680"/>
            <w:shd w:fill="F8FAFC"/>
            <w:vAlign w:val="center"/>
          </w:tcPr>
          <w:p>
            <w:r>
              <w:rPr>
                <w:color w:val="1E293B"/>
                <w:sz w:val="17"/>
              </w:rPr>
              <w:t>Multiplicador con tope</w:t>
            </w:r>
          </w:p>
        </w:tc>
        <w:tc>
          <w:tcPr>
            <w:tcW w:type="dxa" w:w="4680"/>
            <w:shd w:fill="F8FAFC"/>
            <w:vAlign w:val="center"/>
          </w:tcPr>
          <w:p>
            <w:r>
              <w:rPr>
                <w:color w:val="1E293B"/>
                <w:sz w:val="17"/>
              </w:rPr>
              <w:t>Comisión sobre comisión</w:t>
            </w:r>
          </w:p>
        </w:tc>
      </w:tr>
      <w:tr>
        <w:tc>
          <w:tcPr>
            <w:tcW w:type="dxa" w:w="4680"/>
            <w:vAlign w:val="center"/>
          </w:tcPr>
          <w:p>
            <w:r>
              <w:rPr>
                <w:color w:val="1E293B"/>
                <w:sz w:val="17"/>
              </w:rPr>
              <w:t>Recompensa expirable o limitada</w:t>
            </w:r>
          </w:p>
        </w:tc>
        <w:tc>
          <w:tcPr>
            <w:tcW w:type="dxa" w:w="4680"/>
            <w:vAlign w:val="center"/>
          </w:tcPr>
          <w:p>
            <w:r>
              <w:rPr>
                <w:color w:val="1E293B"/>
                <w:sz w:val="17"/>
              </w:rPr>
              <w:t>Autorreferidos y multicuentas</w:t>
            </w:r>
          </w:p>
        </w:tc>
      </w:tr>
      <w:tr>
        <w:tc>
          <w:tcPr>
            <w:tcW w:type="dxa" w:w="4680"/>
            <w:shd w:fill="F8FAFC"/>
            <w:vAlign w:val="center"/>
          </w:tcPr>
          <w:p>
            <w:r>
              <w:rPr>
                <w:color w:val="1E293B"/>
                <w:sz w:val="17"/>
              </w:rPr>
              <w:t>Cuatro niveles con tasas decrecientes</w:t>
            </w:r>
          </w:p>
        </w:tc>
        <w:tc>
          <w:tcPr>
            <w:tcW w:type="dxa" w:w="4680"/>
            <w:shd w:fill="F8FAFC"/>
            <w:vAlign w:val="center"/>
          </w:tcPr>
          <w:p>
            <w:r>
              <w:rPr>
                <w:color w:val="1E293B"/>
                <w:sz w:val="17"/>
              </w:rPr>
              <w:t>Promesas de ingresos garantizados</w:t>
            </w:r>
          </w:p>
        </w:tc>
      </w:tr>
    </w:tbl>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EF4444"/>
              <w:bottom w:val="single" w:sz="2" w:color="DDE3EA"/>
              <w:right w:val="single" w:sz="2" w:color="DDE3EA"/>
            </w:tcBorders>
          </w:tcPr>
          <w:p>
            <w:r>
              <w:rPr>
                <w:b/>
                <w:color w:val="EF4444"/>
                <w:sz w:val="22"/>
              </w:rPr>
              <w:t>Terminología recomendada</w:t>
              <w:br/>
            </w:r>
            <w:r>
              <w:rPr>
                <w:color w:val="334155"/>
                <w:sz w:val="19"/>
              </w:rPr>
              <w:t>Usar “Mining Crew”, “Crew Rewards” o “Referral Network”. No usar “piramidal” en producto, marketing o documentación pública.</w:t>
            </w:r>
          </w:p>
        </w:tc>
      </w:tr>
    </w:tbl>
    <w:p/>
    <w:p>
      <w:pPr>
        <w:pStyle w:val="Heading1"/>
      </w:pPr>
      <w:r>
        <w:t>12. Juegos, misiones y eventos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080B12"/>
            <w:vAlign w:val="center"/>
          </w:tcPr>
          <w:p>
            <w:pPr>
              <w:jc w:val="center"/>
            </w:pPr>
            <w:r>
              <w:rPr>
                <w:b/>
                <w:color w:val="39FF88"/>
                <w:sz w:val="18"/>
              </w:rPr>
              <w:t>Mecánica</w:t>
            </w:r>
          </w:p>
        </w:tc>
        <w:tc>
          <w:tcPr>
            <w:tcW w:type="dxa" w:w="3312"/>
            <w:shd w:fill="080B12"/>
            <w:vAlign w:val="center"/>
          </w:tcPr>
          <w:p>
            <w:pPr>
              <w:jc w:val="center"/>
            </w:pPr>
            <w:r>
              <w:rPr>
                <w:b/>
                <w:color w:val="39FF88"/>
                <w:sz w:val="18"/>
              </w:rPr>
              <w:t>Objetivo</w:t>
            </w:r>
          </w:p>
        </w:tc>
        <w:tc>
          <w:tcPr>
            <w:tcW w:type="dxa" w:w="3744"/>
            <w:shd w:fill="080B12"/>
            <w:vAlign w:val="center"/>
          </w:tcPr>
          <w:p>
            <w:pPr>
              <w:jc w:val="center"/>
            </w:pPr>
            <w:r>
              <w:rPr>
                <w:b/>
                <w:color w:val="39FF88"/>
                <w:sz w:val="18"/>
              </w:rPr>
              <w:t>Control económico</w:t>
            </w:r>
          </w:p>
        </w:tc>
      </w:tr>
      <w:tr>
        <w:tc>
          <w:tcPr>
            <w:tcW w:type="dxa" w:w="2304"/>
            <w:shd w:fill="F8FAFC"/>
            <w:vAlign w:val="center"/>
          </w:tcPr>
          <w:p>
            <w:r>
              <w:rPr>
                <w:color w:val="1E293B"/>
                <w:sz w:val="17"/>
              </w:rPr>
              <w:t>Tap Miner</w:t>
            </w:r>
          </w:p>
        </w:tc>
        <w:tc>
          <w:tcPr>
            <w:tcW w:type="dxa" w:w="3312"/>
            <w:shd w:fill="F8FAFC"/>
            <w:vAlign w:val="center"/>
          </w:tcPr>
          <w:p>
            <w:r>
              <w:rPr>
                <w:color w:val="1E293B"/>
                <w:sz w:val="17"/>
              </w:rPr>
              <w:t>Interacción corta y repetible</w:t>
            </w:r>
          </w:p>
        </w:tc>
        <w:tc>
          <w:tcPr>
            <w:tcW w:type="dxa" w:w="3744"/>
            <w:shd w:fill="F8FAFC"/>
            <w:vAlign w:val="center"/>
          </w:tcPr>
          <w:p>
            <w:r>
              <w:rPr>
                <w:color w:val="1E293B"/>
                <w:sz w:val="17"/>
              </w:rPr>
              <w:t>Cooldown + recompensa máxima</w:t>
            </w:r>
          </w:p>
        </w:tc>
      </w:tr>
      <w:tr>
        <w:tc>
          <w:tcPr>
            <w:tcW w:type="dxa" w:w="2304"/>
            <w:vAlign w:val="center"/>
          </w:tcPr>
          <w:p>
            <w:r>
              <w:rPr>
                <w:color w:val="1E293B"/>
                <w:sz w:val="17"/>
              </w:rPr>
              <w:t>Memory Drops</w:t>
            </w:r>
          </w:p>
        </w:tc>
        <w:tc>
          <w:tcPr>
            <w:tcW w:type="dxa" w:w="3312"/>
            <w:vAlign w:val="center"/>
          </w:tcPr>
          <w:p>
            <w:r>
              <w:rPr>
                <w:color w:val="1E293B"/>
                <w:sz w:val="17"/>
              </w:rPr>
              <w:t>Habilidad y tiempo</w:t>
            </w:r>
          </w:p>
        </w:tc>
        <w:tc>
          <w:tcPr>
            <w:tcW w:type="dxa" w:w="3744"/>
            <w:vAlign w:val="center"/>
          </w:tcPr>
          <w:p>
            <w:r>
              <w:rPr>
                <w:color w:val="1E293B"/>
                <w:sz w:val="17"/>
              </w:rPr>
              <w:t>Ticket/energía + pool</w:t>
            </w:r>
          </w:p>
        </w:tc>
      </w:tr>
      <w:tr>
        <w:tc>
          <w:tcPr>
            <w:tcW w:type="dxa" w:w="2304"/>
            <w:shd w:fill="F8FAFC"/>
            <w:vAlign w:val="center"/>
          </w:tcPr>
          <w:p>
            <w:r>
              <w:rPr>
                <w:color w:val="1E293B"/>
                <w:sz w:val="17"/>
              </w:rPr>
              <w:t>Misiones diarias</w:t>
            </w:r>
          </w:p>
        </w:tc>
        <w:tc>
          <w:tcPr>
            <w:tcW w:type="dxa" w:w="3312"/>
            <w:shd w:fill="F8FAFC"/>
            <w:vAlign w:val="center"/>
          </w:tcPr>
          <w:p>
            <w:r>
              <w:rPr>
                <w:color w:val="1E293B"/>
                <w:sz w:val="17"/>
              </w:rPr>
              <w:t>Retención</w:t>
            </w:r>
          </w:p>
        </w:tc>
        <w:tc>
          <w:tcPr>
            <w:tcW w:type="dxa" w:w="3744"/>
            <w:shd w:fill="F8FAFC"/>
            <w:vAlign w:val="center"/>
          </w:tcPr>
          <w:p>
            <w:r>
              <w:rPr>
                <w:color w:val="1E293B"/>
                <w:sz w:val="17"/>
              </w:rPr>
              <w:t>Presupuesto diario</w:t>
            </w:r>
          </w:p>
        </w:tc>
      </w:tr>
      <w:tr>
        <w:tc>
          <w:tcPr>
            <w:tcW w:type="dxa" w:w="2304"/>
            <w:vAlign w:val="center"/>
          </w:tcPr>
          <w:p>
            <w:r>
              <w:rPr>
                <w:color w:val="1E293B"/>
                <w:sz w:val="17"/>
              </w:rPr>
              <w:t>Rachas</w:t>
            </w:r>
          </w:p>
        </w:tc>
        <w:tc>
          <w:tcPr>
            <w:tcW w:type="dxa" w:w="3312"/>
            <w:vAlign w:val="center"/>
          </w:tcPr>
          <w:p>
            <w:r>
              <w:rPr>
                <w:color w:val="1E293B"/>
                <w:sz w:val="17"/>
              </w:rPr>
              <w:t>Hábitos</w:t>
            </w:r>
          </w:p>
        </w:tc>
        <w:tc>
          <w:tcPr>
            <w:tcW w:type="dxa" w:w="3744"/>
            <w:vAlign w:val="center"/>
          </w:tcPr>
          <w:p>
            <w:r>
              <w:rPr>
                <w:color w:val="1E293B"/>
                <w:sz w:val="17"/>
              </w:rPr>
              <w:t>Bonus limitado y reinicio</w:t>
            </w:r>
          </w:p>
        </w:tc>
      </w:tr>
      <w:tr>
        <w:tc>
          <w:tcPr>
            <w:tcW w:type="dxa" w:w="2304"/>
            <w:shd w:fill="F8FAFC"/>
            <w:vAlign w:val="center"/>
          </w:tcPr>
          <w:p>
            <w:r>
              <w:rPr>
                <w:color w:val="1E293B"/>
                <w:sz w:val="17"/>
              </w:rPr>
              <w:t>Rankings</w:t>
            </w:r>
          </w:p>
        </w:tc>
        <w:tc>
          <w:tcPr>
            <w:tcW w:type="dxa" w:w="3312"/>
            <w:shd w:fill="F8FAFC"/>
            <w:vAlign w:val="center"/>
          </w:tcPr>
          <w:p>
            <w:r>
              <w:rPr>
                <w:color w:val="1E293B"/>
                <w:sz w:val="17"/>
              </w:rPr>
              <w:t>Competencia</w:t>
            </w:r>
          </w:p>
        </w:tc>
        <w:tc>
          <w:tcPr>
            <w:tcW w:type="dxa" w:w="3744"/>
            <w:shd w:fill="F8FAFC"/>
            <w:vAlign w:val="center"/>
          </w:tcPr>
          <w:p>
            <w:r>
              <w:rPr>
                <w:color w:val="1E293B"/>
                <w:sz w:val="17"/>
              </w:rPr>
              <w:t>Premio fijo por temporada</w:t>
            </w:r>
          </w:p>
        </w:tc>
      </w:tr>
      <w:tr>
        <w:tc>
          <w:tcPr>
            <w:tcW w:type="dxa" w:w="2304"/>
            <w:vAlign w:val="center"/>
          </w:tcPr>
          <w:p>
            <w:r>
              <w:rPr>
                <w:color w:val="1E293B"/>
                <w:sz w:val="17"/>
              </w:rPr>
              <w:t>Eventos</w:t>
            </w:r>
          </w:p>
        </w:tc>
        <w:tc>
          <w:tcPr>
            <w:tcW w:type="dxa" w:w="3312"/>
            <w:vAlign w:val="center"/>
          </w:tcPr>
          <w:p>
            <w:r>
              <w:rPr>
                <w:color w:val="1E293B"/>
                <w:sz w:val="17"/>
              </w:rPr>
              <w:t>Picos de actividad</w:t>
            </w:r>
          </w:p>
        </w:tc>
        <w:tc>
          <w:tcPr>
            <w:tcW w:type="dxa" w:w="3744"/>
            <w:vAlign w:val="center"/>
          </w:tcPr>
          <w:p>
            <w:r>
              <w:rPr>
                <w:color w:val="1E293B"/>
                <w:sz w:val="17"/>
              </w:rPr>
              <w:t>Fondo patrocinado o presupuestado</w:t>
            </w:r>
          </w:p>
        </w:tc>
      </w:tr>
      <w:tr>
        <w:tc>
          <w:tcPr>
            <w:tcW w:type="dxa" w:w="2304"/>
            <w:shd w:fill="F8FAFC"/>
            <w:vAlign w:val="center"/>
          </w:tcPr>
          <w:p>
            <w:r>
              <w:rPr>
                <w:color w:val="1E293B"/>
                <w:sz w:val="17"/>
              </w:rPr>
              <w:t>Cofres</w:t>
            </w:r>
          </w:p>
        </w:tc>
        <w:tc>
          <w:tcPr>
            <w:tcW w:type="dxa" w:w="3312"/>
            <w:shd w:fill="F8FAFC"/>
            <w:vAlign w:val="center"/>
          </w:tcPr>
          <w:p>
            <w:r>
              <w:rPr>
                <w:color w:val="1E293B"/>
                <w:sz w:val="17"/>
              </w:rPr>
              <w:t>Aleatoriedad controlada</w:t>
            </w:r>
          </w:p>
        </w:tc>
        <w:tc>
          <w:tcPr>
            <w:tcW w:type="dxa" w:w="3744"/>
            <w:shd w:fill="F8FAFC"/>
            <w:vAlign w:val="center"/>
          </w:tcPr>
          <w:p>
            <w:r>
              <w:rPr>
                <w:color w:val="1E293B"/>
                <w:sz w:val="17"/>
              </w:rPr>
              <w:t>Tabla de probabilidades y gasto</w:t>
            </w:r>
          </w:p>
        </w:tc>
      </w:tr>
    </w:tbl>
    <w:p/>
    <w:p>
      <w:pPr>
        <w:pStyle w:val="Heading1"/>
      </w:pPr>
      <w:r>
        <w:t>13. Microtrading y mercados internos</w:t>
      </w:r>
    </w:p>
    <w:p>
      <w:r>
        <w:t>El primer microtrading debe ser simulado o controlado por la tesorería. Las gráficas pueden usar precios externos para BTC, LTC, DOGE, BCH y DASH, mientras ZYXE opera con un valor interno de referencia. No se debe presentar como exchange real durante el MVP.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080B12"/>
            <w:vAlign w:val="center"/>
          </w:tcPr>
          <w:p>
            <w:pPr>
              <w:jc w:val="center"/>
            </w:pPr>
            <w:r>
              <w:rPr>
                <w:b/>
                <w:color w:val="39FF88"/>
                <w:sz w:val="18"/>
              </w:rPr>
              <w:t>Fase</w:t>
            </w:r>
          </w:p>
        </w:tc>
        <w:tc>
          <w:tcPr>
            <w:tcW w:type="dxa" w:w="4608"/>
            <w:shd w:fill="080B12"/>
            <w:vAlign w:val="center"/>
          </w:tcPr>
          <w:p>
            <w:pPr>
              <w:jc w:val="center"/>
            </w:pPr>
            <w:r>
              <w:rPr>
                <w:b/>
                <w:color w:val="39FF88"/>
                <w:sz w:val="18"/>
              </w:rPr>
              <w:t>Modelo</w:t>
            </w:r>
          </w:p>
        </w:tc>
        <w:tc>
          <w:tcPr>
            <w:tcW w:type="dxa" w:w="3024"/>
            <w:shd w:fill="080B12"/>
            <w:vAlign w:val="center"/>
          </w:tcPr>
          <w:p>
            <w:pPr>
              <w:jc w:val="center"/>
            </w:pPr>
            <w:r>
              <w:rPr>
                <w:b/>
                <w:color w:val="39FF88"/>
                <w:sz w:val="18"/>
              </w:rPr>
              <w:t>Riesgo</w:t>
            </w:r>
          </w:p>
        </w:tc>
      </w:tr>
      <w:tr>
        <w:tc>
          <w:tcPr>
            <w:tcW w:type="dxa" w:w="1728"/>
            <w:shd w:fill="F8FAFC"/>
            <w:vAlign w:val="center"/>
          </w:tcPr>
          <w:p>
            <w:r>
              <w:rPr>
                <w:color w:val="1E293B"/>
                <w:sz w:val="17"/>
              </w:rPr>
              <w:t>MVP</w:t>
            </w:r>
          </w:p>
        </w:tc>
        <w:tc>
          <w:tcPr>
            <w:tcW w:type="dxa" w:w="4608"/>
            <w:shd w:fill="F8FAFC"/>
            <w:vAlign w:val="center"/>
          </w:tcPr>
          <w:p>
            <w:r>
              <w:rPr>
                <w:color w:val="1E293B"/>
                <w:sz w:val="17"/>
              </w:rPr>
              <w:t>Trading educativo con saldo simulado</w:t>
            </w:r>
          </w:p>
        </w:tc>
        <w:tc>
          <w:tcPr>
            <w:tcW w:type="dxa" w:w="3024"/>
            <w:shd w:fill="F8FAFC"/>
            <w:vAlign w:val="center"/>
          </w:tcPr>
          <w:p>
            <w:r>
              <w:rPr>
                <w:color w:val="1E293B"/>
                <w:sz w:val="17"/>
              </w:rPr>
              <w:t>Bajo</w:t>
            </w:r>
          </w:p>
        </w:tc>
      </w:tr>
      <w:tr>
        <w:tc>
          <w:tcPr>
            <w:tcW w:type="dxa" w:w="1728"/>
            <w:vAlign w:val="center"/>
          </w:tcPr>
          <w:p>
            <w:r>
              <w:rPr>
                <w:color w:val="1E293B"/>
                <w:sz w:val="17"/>
              </w:rPr>
              <w:t>Fase 2</w:t>
            </w:r>
          </w:p>
        </w:tc>
        <w:tc>
          <w:tcPr>
            <w:tcW w:type="dxa" w:w="4608"/>
            <w:vAlign w:val="center"/>
          </w:tcPr>
          <w:p>
            <w:r>
              <w:rPr>
                <w:color w:val="1E293B"/>
                <w:sz w:val="17"/>
              </w:rPr>
              <w:t>Conversión contra tesorería y límites</w:t>
            </w:r>
          </w:p>
        </w:tc>
        <w:tc>
          <w:tcPr>
            <w:tcW w:type="dxa" w:w="3024"/>
            <w:vAlign w:val="center"/>
          </w:tcPr>
          <w:p>
            <w:r>
              <w:rPr>
                <w:color w:val="1E293B"/>
                <w:sz w:val="17"/>
              </w:rPr>
              <w:t>Medio</w:t>
            </w:r>
          </w:p>
        </w:tc>
      </w:tr>
      <w:tr>
        <w:tc>
          <w:tcPr>
            <w:tcW w:type="dxa" w:w="1728"/>
            <w:shd w:fill="F8FAFC"/>
            <w:vAlign w:val="center"/>
          </w:tcPr>
          <w:p>
            <w:r>
              <w:rPr>
                <w:color w:val="1E293B"/>
                <w:sz w:val="17"/>
              </w:rPr>
              <w:t>Fase 3</w:t>
            </w:r>
          </w:p>
        </w:tc>
        <w:tc>
          <w:tcPr>
            <w:tcW w:type="dxa" w:w="4608"/>
            <w:shd w:fill="F8FAFC"/>
            <w:vAlign w:val="center"/>
          </w:tcPr>
          <w:p>
            <w:r>
              <w:rPr>
                <w:color w:val="1E293B"/>
                <w:sz w:val="17"/>
              </w:rPr>
              <w:t>Mercado interno/marketplace</w:t>
            </w:r>
          </w:p>
        </w:tc>
        <w:tc>
          <w:tcPr>
            <w:tcW w:type="dxa" w:w="3024"/>
            <w:shd w:fill="F8FAFC"/>
            <w:vAlign w:val="center"/>
          </w:tcPr>
          <w:p>
            <w:r>
              <w:rPr>
                <w:color w:val="1E293B"/>
                <w:sz w:val="17"/>
              </w:rPr>
              <w:t>Alto</w:t>
            </w:r>
          </w:p>
        </w:tc>
      </w:tr>
      <w:tr>
        <w:tc>
          <w:tcPr>
            <w:tcW w:type="dxa" w:w="1728"/>
            <w:vAlign w:val="center"/>
          </w:tcPr>
          <w:p>
            <w:r>
              <w:rPr>
                <w:color w:val="1E293B"/>
                <w:sz w:val="17"/>
              </w:rPr>
              <w:t>Futuro</w:t>
            </w:r>
          </w:p>
        </w:tc>
        <w:tc>
          <w:tcPr>
            <w:tcW w:type="dxa" w:w="4608"/>
            <w:vAlign w:val="center"/>
          </w:tcPr>
          <w:p>
            <w:r>
              <w:rPr>
                <w:color w:val="1E293B"/>
                <w:sz w:val="17"/>
              </w:rPr>
              <w:t>Liquidez pública y mercados externos</w:t>
            </w:r>
          </w:p>
        </w:tc>
        <w:tc>
          <w:tcPr>
            <w:tcW w:type="dxa" w:w="3024"/>
            <w:vAlign w:val="center"/>
          </w:tcPr>
          <w:p>
            <w:r>
              <w:rPr>
                <w:color w:val="1E293B"/>
                <w:sz w:val="17"/>
              </w:rPr>
              <w:t>Muy alto; regulación y seguridad</w:t>
            </w:r>
          </w:p>
        </w:tc>
      </w:tr>
    </w:tbl>
    <w:p/>
    <w:p>
      <w:pPr>
        <w:pStyle w:val="ListBullet"/>
      </w:pPr>
      <w:r>
        <w:t>Pares conceptuales: ZYXE/BTC, ZYXE/LTC, ZYXE/DOGE, ZYXE/BCH y ZYXE/DASH.</w:t>
      </w:r>
    </w:p>
    <w:p>
      <w:pPr>
        <w:pStyle w:val="ListBullet"/>
      </w:pPr>
      <w:r>
        <w:t>Fuentes de ingreso: comisión, spread transparente, herramientas premium y marketplace.</w:t>
      </w:r>
    </w:p>
    <w:p>
      <w:pPr>
        <w:pStyle w:val="ListBullet"/>
      </w:pPr>
      <w:r>
        <w:t>Controles: límites, anti-wash-trading, prevención de manipulación, logs y pausas de mercado.</w:t>
      </w:r>
    </w:p>
    <w:p>
      <w:pPr>
        <w:pStyle w:val="Heading1"/>
      </w:pPr>
      <w:r>
        <w:t>14. Conversión y retiros</w:t>
      </w:r>
    </w:p>
    <w:p>
      <w:r>
        <w:t>No habrá retiros en la beta cerrada. La primera fase de pagos reales debe habilitar una sola criptomoneda, con revisión manual y límites conservadores. LTC o DOGE son candidatas operativas, pero la selección debe considerar liquidez, comisiones, soporte de wallet y cumplimiento.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12"/>
            <w:shd w:fill="080B12"/>
            <w:vAlign w:val="center"/>
          </w:tcPr>
          <w:p>
            <w:pPr>
              <w:jc w:val="center"/>
            </w:pPr>
            <w:r>
              <w:rPr>
                <w:b/>
                <w:color w:val="39FF88"/>
                <w:sz w:val="18"/>
              </w:rPr>
              <w:t>Control</w:t>
            </w:r>
          </w:p>
        </w:tc>
        <w:tc>
          <w:tcPr>
            <w:tcW w:type="dxa" w:w="6048"/>
            <w:shd w:fill="080B12"/>
            <w:vAlign w:val="center"/>
          </w:tcPr>
          <w:p>
            <w:pPr>
              <w:jc w:val="center"/>
            </w:pPr>
            <w:r>
              <w:rPr>
                <w:b/>
                <w:color w:val="39FF88"/>
                <w:sz w:val="18"/>
              </w:rPr>
              <w:t>Regla inicial recomendada</w:t>
            </w:r>
          </w:p>
        </w:tc>
      </w:tr>
      <w:tr>
        <w:tc>
          <w:tcPr>
            <w:tcW w:type="dxa" w:w="3312"/>
            <w:shd w:fill="F8FAFC"/>
            <w:vAlign w:val="center"/>
          </w:tcPr>
          <w:p>
            <w:r>
              <w:rPr>
                <w:color w:val="1E293B"/>
                <w:sz w:val="17"/>
              </w:rPr>
              <w:t>Antigüedad de cuenta</w:t>
            </w:r>
          </w:p>
        </w:tc>
        <w:tc>
          <w:tcPr>
            <w:tcW w:type="dxa" w:w="6048"/>
            <w:shd w:fill="F8FAFC"/>
            <w:vAlign w:val="center"/>
          </w:tcPr>
          <w:p>
            <w:r>
              <w:rPr>
                <w:color w:val="1E293B"/>
                <w:sz w:val="17"/>
              </w:rPr>
              <w:t>Mínimo antes del primer retiro</w:t>
            </w:r>
          </w:p>
        </w:tc>
      </w:tr>
      <w:tr>
        <w:tc>
          <w:tcPr>
            <w:tcW w:type="dxa" w:w="3312"/>
            <w:vAlign w:val="center"/>
          </w:tcPr>
          <w:p>
            <w:r>
              <w:rPr>
                <w:color w:val="1E293B"/>
                <w:sz w:val="17"/>
              </w:rPr>
              <w:t>Saldo elegible</w:t>
            </w:r>
          </w:p>
        </w:tc>
        <w:tc>
          <w:tcPr>
            <w:tcW w:type="dxa" w:w="6048"/>
            <w:vAlign w:val="center"/>
          </w:tcPr>
          <w:p>
            <w:r>
              <w:rPr>
                <w:color w:val="1E293B"/>
                <w:sz w:val="17"/>
              </w:rPr>
              <w:t>Excluir bonos promocionales o pendientes</w:t>
            </w:r>
          </w:p>
        </w:tc>
      </w:tr>
      <w:tr>
        <w:tc>
          <w:tcPr>
            <w:tcW w:type="dxa" w:w="3312"/>
            <w:shd w:fill="F8FAFC"/>
            <w:vAlign w:val="center"/>
          </w:tcPr>
          <w:p>
            <w:r>
              <w:rPr>
                <w:color w:val="1E293B"/>
                <w:sz w:val="17"/>
              </w:rPr>
              <w:t>Mínimo de retiro</w:t>
            </w:r>
          </w:p>
        </w:tc>
        <w:tc>
          <w:tcPr>
            <w:tcW w:type="dxa" w:w="6048"/>
            <w:shd w:fill="F8FAFC"/>
            <w:vAlign w:val="center"/>
          </w:tcPr>
          <w:p>
            <w:r>
              <w:rPr>
                <w:color w:val="1E293B"/>
                <w:sz w:val="17"/>
              </w:rPr>
              <w:t>Superior a costo de red + soporte</w:t>
            </w:r>
          </w:p>
        </w:tc>
      </w:tr>
      <w:tr>
        <w:tc>
          <w:tcPr>
            <w:tcW w:type="dxa" w:w="3312"/>
            <w:vAlign w:val="center"/>
          </w:tcPr>
          <w:p>
            <w:r>
              <w:rPr>
                <w:color w:val="1E293B"/>
                <w:sz w:val="17"/>
              </w:rPr>
              <w:t>Límite diario/mensual</w:t>
            </w:r>
          </w:p>
        </w:tc>
        <w:tc>
          <w:tcPr>
            <w:tcW w:type="dxa" w:w="6048"/>
            <w:vAlign w:val="center"/>
          </w:tcPr>
          <w:p>
            <w:r>
              <w:rPr>
                <w:color w:val="1E293B"/>
                <w:sz w:val="17"/>
              </w:rPr>
              <w:t>Por usuario, dispositivo y riesgo</w:t>
            </w:r>
          </w:p>
        </w:tc>
      </w:tr>
      <w:tr>
        <w:tc>
          <w:tcPr>
            <w:tcW w:type="dxa" w:w="3312"/>
            <w:shd w:fill="F8FAFC"/>
            <w:vAlign w:val="center"/>
          </w:tcPr>
          <w:p>
            <w:r>
              <w:rPr>
                <w:color w:val="1E293B"/>
                <w:sz w:val="17"/>
              </w:rPr>
              <w:t>Procesamiento</w:t>
            </w:r>
          </w:p>
        </w:tc>
        <w:tc>
          <w:tcPr>
            <w:tcW w:type="dxa" w:w="6048"/>
            <w:shd w:fill="F8FAFC"/>
            <w:vAlign w:val="center"/>
          </w:tcPr>
          <w:p>
            <w:r>
              <w:rPr>
                <w:color w:val="1E293B"/>
                <w:sz w:val="17"/>
              </w:rPr>
              <w:t>Cola, revisión y estados</w:t>
            </w:r>
          </w:p>
        </w:tc>
      </w:tr>
      <w:tr>
        <w:tc>
          <w:tcPr>
            <w:tcW w:type="dxa" w:w="3312"/>
            <w:vAlign w:val="center"/>
          </w:tcPr>
          <w:p>
            <w:r>
              <w:rPr>
                <w:color w:val="1E293B"/>
                <w:sz w:val="17"/>
              </w:rPr>
              <w:t>Comisión</w:t>
            </w:r>
          </w:p>
        </w:tc>
        <w:tc>
          <w:tcPr>
            <w:tcW w:type="dxa" w:w="6048"/>
            <w:vAlign w:val="center"/>
          </w:tcPr>
          <w:p>
            <w:r>
              <w:rPr>
                <w:color w:val="1E293B"/>
                <w:sz w:val="17"/>
              </w:rPr>
              <w:t>Visible antes de confirmar</w:t>
            </w:r>
          </w:p>
        </w:tc>
      </w:tr>
      <w:tr>
        <w:tc>
          <w:tcPr>
            <w:tcW w:type="dxa" w:w="3312"/>
            <w:shd w:fill="F8FAFC"/>
            <w:vAlign w:val="center"/>
          </w:tcPr>
          <w:p>
            <w:r>
              <w:rPr>
                <w:color w:val="1E293B"/>
                <w:sz w:val="17"/>
              </w:rPr>
              <w:t>Seguridad</w:t>
            </w:r>
          </w:p>
        </w:tc>
        <w:tc>
          <w:tcPr>
            <w:tcW w:type="dxa" w:w="6048"/>
            <w:shd w:fill="F8FAFC"/>
            <w:vAlign w:val="center"/>
          </w:tcPr>
          <w:p>
            <w:r>
              <w:rPr>
                <w:color w:val="1E293B"/>
                <w:sz w:val="17"/>
              </w:rPr>
              <w:t>2FA, lista blanca y confirmación</w:t>
            </w:r>
          </w:p>
        </w:tc>
      </w:tr>
      <w:tr>
        <w:tc>
          <w:tcPr>
            <w:tcW w:type="dxa" w:w="3312"/>
            <w:vAlign w:val="center"/>
          </w:tcPr>
          <w:p>
            <w:r>
              <w:rPr>
                <w:color w:val="1E293B"/>
                <w:sz w:val="17"/>
              </w:rPr>
              <w:t>Fraude</w:t>
            </w:r>
          </w:p>
        </w:tc>
        <w:tc>
          <w:tcPr>
            <w:tcW w:type="dxa" w:w="6048"/>
            <w:vAlign w:val="center"/>
          </w:tcPr>
          <w:p>
            <w:r>
              <w:rPr>
                <w:color w:val="1E293B"/>
                <w:sz w:val="17"/>
              </w:rPr>
              <w:t>Retención y revisión ampliada</w:t>
            </w:r>
          </w:p>
        </w:tc>
      </w:tr>
      <w:tr>
        <w:tc>
          <w:tcPr>
            <w:tcW w:type="dxa" w:w="3312"/>
            <w:shd w:fill="F8FAFC"/>
            <w:vAlign w:val="center"/>
          </w:tcPr>
          <w:p>
            <w:r>
              <w:rPr>
                <w:color w:val="1E293B"/>
                <w:sz w:val="17"/>
              </w:rPr>
              <w:t>Tesorería</w:t>
            </w:r>
          </w:p>
        </w:tc>
        <w:tc>
          <w:tcPr>
            <w:tcW w:type="dxa" w:w="6048"/>
            <w:shd w:fill="F8FAFC"/>
            <w:vAlign w:val="center"/>
          </w:tcPr>
          <w:p>
            <w:r>
              <w:rPr>
                <w:color w:val="1E293B"/>
                <w:sz w:val="17"/>
              </w:rPr>
              <w:t>Pausa automática si baja cobertura</w:t>
            </w:r>
          </w:p>
        </w:tc>
      </w:tr>
    </w:tbl>
    <w:p/>
    <w:p>
      <w:pPr>
        <w:pStyle w:val="Heading1"/>
      </w:pPr>
      <w:r>
        <w:t>15. Tesorería y separación de fondos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080B12"/>
            <w:vAlign w:val="center"/>
          </w:tcPr>
          <w:p>
            <w:pPr>
              <w:jc w:val="center"/>
            </w:pPr>
            <w:r>
              <w:rPr>
                <w:b/>
                <w:color w:val="39FF88"/>
                <w:sz w:val="18"/>
              </w:rPr>
              <w:t>Fondo</w:t>
            </w:r>
          </w:p>
        </w:tc>
        <w:tc>
          <w:tcPr>
            <w:tcW w:type="dxa" w:w="4896"/>
            <w:shd w:fill="080B12"/>
            <w:vAlign w:val="center"/>
          </w:tcPr>
          <w:p>
            <w:pPr>
              <w:jc w:val="center"/>
            </w:pPr>
            <w:r>
              <w:rPr>
                <w:b/>
                <w:color w:val="39FF88"/>
                <w:sz w:val="18"/>
              </w:rPr>
              <w:t>Propósito</w:t>
            </w:r>
          </w:p>
        </w:tc>
        <w:tc>
          <w:tcPr>
            <w:tcW w:type="dxa" w:w="2376"/>
            <w:shd w:fill="080B12"/>
            <w:vAlign w:val="center"/>
          </w:tcPr>
          <w:p>
            <w:pPr>
              <w:jc w:val="center"/>
            </w:pPr>
            <w:r>
              <w:rPr>
                <w:b/>
                <w:color w:val="39FF88"/>
                <w:sz w:val="18"/>
              </w:rPr>
              <w:t>¿Retirable por Owner?</w:t>
            </w:r>
          </w:p>
        </w:tc>
      </w:tr>
      <w:tr>
        <w:tc>
          <w:tcPr>
            <w:tcW w:type="dxa" w:w="2088"/>
            <w:shd w:fill="F8FAFC"/>
            <w:vAlign w:val="center"/>
          </w:tcPr>
          <w:p>
            <w:r>
              <w:rPr>
                <w:color w:val="1E293B"/>
                <w:sz w:val="17"/>
              </w:rPr>
              <w:t>Recompensas</w:t>
            </w:r>
          </w:p>
        </w:tc>
        <w:tc>
          <w:tcPr>
            <w:tcW w:type="dxa" w:w="4896"/>
            <w:shd w:fill="F8FAFC"/>
            <w:vAlign w:val="center"/>
          </w:tcPr>
          <w:p>
            <w:r>
              <w:rPr>
                <w:color w:val="1E293B"/>
                <w:sz w:val="17"/>
              </w:rPr>
              <w:t>Pools de actividad y eventos</w:t>
            </w:r>
          </w:p>
        </w:tc>
        <w:tc>
          <w:tcPr>
            <w:tcW w:type="dxa" w:w="2376"/>
            <w:shd w:fill="F8FAFC"/>
            <w:vAlign w:val="center"/>
          </w:tcPr>
          <w:p>
            <w:r>
              <w:rPr>
                <w:color w:val="1E293B"/>
                <w:sz w:val="17"/>
              </w:rPr>
              <w:t>No</w:t>
            </w:r>
          </w:p>
        </w:tc>
      </w:tr>
      <w:tr>
        <w:tc>
          <w:tcPr>
            <w:tcW w:type="dxa" w:w="2088"/>
            <w:vAlign w:val="center"/>
          </w:tcPr>
          <w:p>
            <w:r>
              <w:rPr>
                <w:color w:val="1E293B"/>
                <w:sz w:val="17"/>
              </w:rPr>
              <w:t>Retiros</w:t>
            </w:r>
          </w:p>
        </w:tc>
        <w:tc>
          <w:tcPr>
            <w:tcW w:type="dxa" w:w="4896"/>
            <w:vAlign w:val="center"/>
          </w:tcPr>
          <w:p>
            <w:r>
              <w:rPr>
                <w:color w:val="1E293B"/>
                <w:sz w:val="17"/>
              </w:rPr>
              <w:t>Conversión y pagos a usuarios</w:t>
            </w:r>
          </w:p>
        </w:tc>
        <w:tc>
          <w:tcPr>
            <w:tcW w:type="dxa" w:w="2376"/>
            <w:vAlign w:val="center"/>
          </w:tcPr>
          <w:p>
            <w:r>
              <w:rPr>
                <w:color w:val="1E293B"/>
                <w:sz w:val="17"/>
              </w:rPr>
              <w:t>No</w:t>
            </w:r>
          </w:p>
        </w:tc>
      </w:tr>
      <w:tr>
        <w:tc>
          <w:tcPr>
            <w:tcW w:type="dxa" w:w="2088"/>
            <w:shd w:fill="F8FAFC"/>
            <w:vAlign w:val="center"/>
          </w:tcPr>
          <w:p>
            <w:r>
              <w:rPr>
                <w:color w:val="1E293B"/>
                <w:sz w:val="17"/>
              </w:rPr>
              <w:t>Liquidez</w:t>
            </w:r>
          </w:p>
        </w:tc>
        <w:tc>
          <w:tcPr>
            <w:tcW w:type="dxa" w:w="4896"/>
            <w:shd w:fill="F8FAFC"/>
            <w:vAlign w:val="center"/>
          </w:tcPr>
          <w:p>
            <w:r>
              <w:rPr>
                <w:color w:val="1E293B"/>
                <w:sz w:val="17"/>
              </w:rPr>
              <w:t>Trading y estabilidad</w:t>
            </w:r>
          </w:p>
        </w:tc>
        <w:tc>
          <w:tcPr>
            <w:tcW w:type="dxa" w:w="2376"/>
            <w:shd w:fill="F8FAFC"/>
            <w:vAlign w:val="center"/>
          </w:tcPr>
          <w:p>
            <w:r>
              <w:rPr>
                <w:color w:val="1E293B"/>
                <w:sz w:val="17"/>
              </w:rPr>
              <w:t>No</w:t>
            </w:r>
          </w:p>
        </w:tc>
      </w:tr>
      <w:tr>
        <w:tc>
          <w:tcPr>
            <w:tcW w:type="dxa" w:w="2088"/>
            <w:vAlign w:val="center"/>
          </w:tcPr>
          <w:p>
            <w:r>
              <w:rPr>
                <w:color w:val="1E293B"/>
                <w:sz w:val="17"/>
              </w:rPr>
              <w:t>Operación</w:t>
            </w:r>
          </w:p>
        </w:tc>
        <w:tc>
          <w:tcPr>
            <w:tcW w:type="dxa" w:w="4896"/>
            <w:vAlign w:val="center"/>
          </w:tcPr>
          <w:p>
            <w:r>
              <w:rPr>
                <w:color w:val="1E293B"/>
                <w:sz w:val="17"/>
              </w:rPr>
              <w:t>Servidores, soporte, marketing, legal</w:t>
            </w:r>
          </w:p>
        </w:tc>
        <w:tc>
          <w:tcPr>
            <w:tcW w:type="dxa" w:w="2376"/>
            <w:vAlign w:val="center"/>
          </w:tcPr>
          <w:p>
            <w:r>
              <w:rPr>
                <w:color w:val="1E293B"/>
                <w:sz w:val="17"/>
              </w:rPr>
              <w:t>Solo por gastos documentados</w:t>
            </w:r>
          </w:p>
        </w:tc>
      </w:tr>
      <w:tr>
        <w:tc>
          <w:tcPr>
            <w:tcW w:type="dxa" w:w="2088"/>
            <w:shd w:fill="F8FAFC"/>
            <w:vAlign w:val="center"/>
          </w:tcPr>
          <w:p>
            <w:r>
              <w:rPr>
                <w:color w:val="1E293B"/>
                <w:sz w:val="17"/>
              </w:rPr>
              <w:t>Seguridad</w:t>
            </w:r>
          </w:p>
        </w:tc>
        <w:tc>
          <w:tcPr>
            <w:tcW w:type="dxa" w:w="4896"/>
            <w:shd w:fill="F8FAFC"/>
            <w:vAlign w:val="center"/>
          </w:tcPr>
          <w:p>
            <w:r>
              <w:rPr>
                <w:color w:val="1E293B"/>
                <w:sz w:val="17"/>
              </w:rPr>
              <w:t>Fraude, reversos y contingencias</w:t>
            </w:r>
          </w:p>
        </w:tc>
        <w:tc>
          <w:tcPr>
            <w:tcW w:type="dxa" w:w="2376"/>
            <w:shd w:fill="F8FAFC"/>
            <w:vAlign w:val="center"/>
          </w:tcPr>
          <w:p>
            <w:r>
              <w:rPr>
                <w:color w:val="1E293B"/>
                <w:sz w:val="17"/>
              </w:rPr>
              <w:t>No</w:t>
            </w:r>
          </w:p>
        </w:tc>
      </w:tr>
      <w:tr>
        <w:tc>
          <w:tcPr>
            <w:tcW w:type="dxa" w:w="2088"/>
            <w:vAlign w:val="center"/>
          </w:tcPr>
          <w:p>
            <w:r>
              <w:rPr>
                <w:color w:val="1E293B"/>
                <w:sz w:val="17"/>
              </w:rPr>
              <w:t>Propietario</w:t>
            </w:r>
          </w:p>
        </w:tc>
        <w:tc>
          <w:tcPr>
            <w:tcW w:type="dxa" w:w="4896"/>
            <w:vAlign w:val="center"/>
          </w:tcPr>
          <w:p>
            <w:r>
              <w:rPr>
                <w:color w:val="1E293B"/>
                <w:sz w:val="17"/>
              </w:rPr>
              <w:t>Utilidad aprobada y disponible</w:t>
            </w:r>
          </w:p>
        </w:tc>
        <w:tc>
          <w:tcPr>
            <w:tcW w:type="dxa" w:w="2376"/>
            <w:vAlign w:val="center"/>
          </w:tcPr>
          <w:p>
            <w:r>
              <w:rPr>
                <w:color w:val="1E293B"/>
                <w:sz w:val="17"/>
              </w:rPr>
              <w:t>Sí</w:t>
            </w:r>
          </w:p>
        </w:tc>
      </w:tr>
    </w:tbl>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39FF88"/>
              <w:bottom w:val="single" w:sz="2" w:color="DDE3EA"/>
              <w:right w:val="single" w:sz="2" w:color="DDE3EA"/>
            </w:tcBorders>
          </w:tcPr>
          <w:p>
            <w:r>
              <w:rPr>
                <w:b/>
                <w:color w:val="39FF88"/>
                <w:sz w:val="22"/>
              </w:rPr>
              <w:t>Cobertura mínima</w:t>
              <w:br/>
            </w:r>
            <w:r>
              <w:rPr>
                <w:color w:val="334155"/>
                <w:sz w:val="19"/>
              </w:rPr>
              <w:t>Objetivo inicial: tres meses de costos operativos y entre tres y seis meses de retiros esperados antes de liberar utilidad completa al Owner Wallet.</w:t>
            </w:r>
          </w:p>
        </w:tc>
      </w:tr>
    </w:tbl>
    <w:p/>
    <w:p>
      <w:pPr>
        <w:pStyle w:val="Heading1"/>
      </w:pPr>
      <w:r>
        <w:t>16. Panel administrativo y Owner Wallet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080B12"/>
            <w:vAlign w:val="center"/>
          </w:tcPr>
          <w:p>
            <w:pPr>
              <w:jc w:val="center"/>
            </w:pPr>
            <w:r>
              <w:rPr>
                <w:b/>
                <w:color w:val="39FF88"/>
                <w:sz w:val="18"/>
              </w:rPr>
              <w:t>Módulo</w:t>
            </w:r>
          </w:p>
        </w:tc>
        <w:tc>
          <w:tcPr>
            <w:tcW w:type="dxa" w:w="6984"/>
            <w:shd w:fill="080B12"/>
            <w:vAlign w:val="center"/>
          </w:tcPr>
          <w:p>
            <w:pPr>
              <w:jc w:val="center"/>
            </w:pPr>
            <w:r>
              <w:rPr>
                <w:b/>
                <w:color w:val="39FF88"/>
                <w:sz w:val="18"/>
              </w:rPr>
              <w:t>Información / acciones</w:t>
            </w:r>
          </w:p>
        </w:tc>
      </w:tr>
      <w:tr>
        <w:tc>
          <w:tcPr>
            <w:tcW w:type="dxa" w:w="2376"/>
            <w:shd w:fill="F8FAFC"/>
            <w:vAlign w:val="center"/>
          </w:tcPr>
          <w:p>
            <w:r>
              <w:rPr>
                <w:color w:val="1E293B"/>
                <w:sz w:val="17"/>
              </w:rPr>
              <w:t>Dashboard ejecutivo</w:t>
            </w:r>
          </w:p>
        </w:tc>
        <w:tc>
          <w:tcPr>
            <w:tcW w:type="dxa" w:w="6984"/>
            <w:shd w:fill="F8FAFC"/>
            <w:vAlign w:val="center"/>
          </w:tcPr>
          <w:p>
            <w:r>
              <w:rPr>
                <w:color w:val="1E293B"/>
                <w:sz w:val="17"/>
              </w:rPr>
              <w:t>Ingresos, costos, utilidad, DAU/MAU, reservas y alertas</w:t>
            </w:r>
          </w:p>
        </w:tc>
      </w:tr>
      <w:tr>
        <w:tc>
          <w:tcPr>
            <w:tcW w:type="dxa" w:w="2376"/>
            <w:vAlign w:val="center"/>
          </w:tcPr>
          <w:p>
            <w:r>
              <w:rPr>
                <w:color w:val="1E293B"/>
                <w:sz w:val="17"/>
              </w:rPr>
              <w:t>Usuarios</w:t>
            </w:r>
          </w:p>
        </w:tc>
        <w:tc>
          <w:tcPr>
            <w:tcW w:type="dxa" w:w="6984"/>
            <w:vAlign w:val="center"/>
          </w:tcPr>
          <w:p>
            <w:r>
              <w:rPr>
                <w:color w:val="1E293B"/>
                <w:sz w:val="17"/>
              </w:rPr>
              <w:t>Registro, país, dispositivo, IP, estado, balances y referidos</w:t>
            </w:r>
          </w:p>
        </w:tc>
      </w:tr>
      <w:tr>
        <w:tc>
          <w:tcPr>
            <w:tcW w:type="dxa" w:w="2376"/>
            <w:shd w:fill="F8FAFC"/>
            <w:vAlign w:val="center"/>
          </w:tcPr>
          <w:p>
            <w:r>
              <w:rPr>
                <w:color w:val="1E293B"/>
                <w:sz w:val="17"/>
              </w:rPr>
              <w:t>Economía ZYXE</w:t>
            </w:r>
          </w:p>
        </w:tc>
        <w:tc>
          <w:tcPr>
            <w:tcW w:type="dxa" w:w="6984"/>
            <w:shd w:fill="F8FAFC"/>
            <w:vAlign w:val="center"/>
          </w:tcPr>
          <w:p>
            <w:r>
              <w:rPr>
                <w:color w:val="1E293B"/>
                <w:sz w:val="17"/>
              </w:rPr>
              <w:t>Emitidos, gastados, quemados, bloqueados, retirables y concentración</w:t>
            </w:r>
          </w:p>
        </w:tc>
      </w:tr>
      <w:tr>
        <w:tc>
          <w:tcPr>
            <w:tcW w:type="dxa" w:w="2376"/>
            <w:vAlign w:val="center"/>
          </w:tcPr>
          <w:p>
            <w:r>
              <w:rPr>
                <w:color w:val="1E293B"/>
                <w:sz w:val="17"/>
              </w:rPr>
              <w:t>Ingresos</w:t>
            </w:r>
          </w:p>
        </w:tc>
        <w:tc>
          <w:tcPr>
            <w:tcW w:type="dxa" w:w="6984"/>
            <w:vAlign w:val="center"/>
          </w:tcPr>
          <w:p>
            <w:r>
              <w:rPr>
                <w:color w:val="1E293B"/>
                <w:sz w:val="17"/>
              </w:rPr>
              <w:t>Ads, offerwalls, compras, premium, afiliados, trading y fees</w:t>
            </w:r>
          </w:p>
        </w:tc>
      </w:tr>
      <w:tr>
        <w:tc>
          <w:tcPr>
            <w:tcW w:type="dxa" w:w="2376"/>
            <w:shd w:fill="F8FAFC"/>
            <w:vAlign w:val="center"/>
          </w:tcPr>
          <w:p>
            <w:r>
              <w:rPr>
                <w:color w:val="1E293B"/>
                <w:sz w:val="17"/>
              </w:rPr>
              <w:t>Costos</w:t>
            </w:r>
          </w:p>
        </w:tc>
        <w:tc>
          <w:tcPr>
            <w:tcW w:type="dxa" w:w="6984"/>
            <w:shd w:fill="F8FAFC"/>
            <w:vAlign w:val="center"/>
          </w:tcPr>
          <w:p>
            <w:r>
              <w:rPr>
                <w:color w:val="1E293B"/>
                <w:sz w:val="17"/>
              </w:rPr>
              <w:t>Rewards, referidos, retiros, infraestructura, fraude y marketing</w:t>
            </w:r>
          </w:p>
        </w:tc>
      </w:tr>
      <w:tr>
        <w:tc>
          <w:tcPr>
            <w:tcW w:type="dxa" w:w="2376"/>
            <w:vAlign w:val="center"/>
          </w:tcPr>
          <w:p>
            <w:r>
              <w:rPr>
                <w:color w:val="1E293B"/>
                <w:sz w:val="17"/>
              </w:rPr>
              <w:t>Tesorería</w:t>
            </w:r>
          </w:p>
        </w:tc>
        <w:tc>
          <w:tcPr>
            <w:tcW w:type="dxa" w:w="6984"/>
            <w:vAlign w:val="center"/>
          </w:tcPr>
          <w:p>
            <w:r>
              <w:rPr>
                <w:color w:val="1E293B"/>
                <w:sz w:val="17"/>
              </w:rPr>
              <w:t>Saldos por fondo, cobertura y proyecciones</w:t>
            </w:r>
          </w:p>
        </w:tc>
      </w:tr>
      <w:tr>
        <w:tc>
          <w:tcPr>
            <w:tcW w:type="dxa" w:w="2376"/>
            <w:shd w:fill="F8FAFC"/>
            <w:vAlign w:val="center"/>
          </w:tcPr>
          <w:p>
            <w:r>
              <w:rPr>
                <w:color w:val="1E293B"/>
                <w:sz w:val="17"/>
              </w:rPr>
              <w:t>Owner Wallet</w:t>
            </w:r>
          </w:p>
        </w:tc>
        <w:tc>
          <w:tcPr>
            <w:tcW w:type="dxa" w:w="6984"/>
            <w:shd w:fill="F8FAFC"/>
            <w:vAlign w:val="center"/>
          </w:tcPr>
          <w:p>
            <w:r>
              <w:rPr>
                <w:color w:val="1E293B"/>
                <w:sz w:val="17"/>
              </w:rPr>
              <w:t>Utilidad aprobada, saldo retirable e historial</w:t>
            </w:r>
          </w:p>
        </w:tc>
      </w:tr>
      <w:tr>
        <w:tc>
          <w:tcPr>
            <w:tcW w:type="dxa" w:w="2376"/>
            <w:vAlign w:val="center"/>
          </w:tcPr>
          <w:p>
            <w:r>
              <w:rPr>
                <w:color w:val="1E293B"/>
                <w:sz w:val="17"/>
              </w:rPr>
              <w:t>Retiros usuarios</w:t>
            </w:r>
          </w:p>
        </w:tc>
        <w:tc>
          <w:tcPr>
            <w:tcW w:type="dxa" w:w="6984"/>
            <w:vAlign w:val="center"/>
          </w:tcPr>
          <w:p>
            <w:r>
              <w:rPr>
                <w:color w:val="1E293B"/>
                <w:sz w:val="17"/>
              </w:rPr>
              <w:t>Cola, revisión, aprobación, rechazo y evidencias</w:t>
            </w:r>
          </w:p>
        </w:tc>
      </w:tr>
      <w:tr>
        <w:tc>
          <w:tcPr>
            <w:tcW w:type="dxa" w:w="2376"/>
            <w:shd w:fill="F8FAFC"/>
            <w:vAlign w:val="center"/>
          </w:tcPr>
          <w:p>
            <w:r>
              <w:rPr>
                <w:color w:val="1E293B"/>
                <w:sz w:val="17"/>
              </w:rPr>
              <w:t>Fraude</w:t>
            </w:r>
          </w:p>
        </w:tc>
        <w:tc>
          <w:tcPr>
            <w:tcW w:type="dxa" w:w="6984"/>
            <w:shd w:fill="F8FAFC"/>
            <w:vAlign w:val="center"/>
          </w:tcPr>
          <w:p>
            <w:r>
              <w:rPr>
                <w:color w:val="1E293B"/>
                <w:sz w:val="17"/>
              </w:rPr>
              <w:t>Reglas, casos, risk score y bloqueos</w:t>
            </w:r>
          </w:p>
        </w:tc>
      </w:tr>
      <w:tr>
        <w:tc>
          <w:tcPr>
            <w:tcW w:type="dxa" w:w="2376"/>
            <w:vAlign w:val="center"/>
          </w:tcPr>
          <w:p>
            <w:r>
              <w:rPr>
                <w:color w:val="1E293B"/>
                <w:sz w:val="17"/>
              </w:rPr>
              <w:t>Contenido</w:t>
            </w:r>
          </w:p>
        </w:tc>
        <w:tc>
          <w:tcPr>
            <w:tcW w:type="dxa" w:w="6984"/>
            <w:vAlign w:val="center"/>
          </w:tcPr>
          <w:p>
            <w:r>
              <w:rPr>
                <w:color w:val="1E293B"/>
                <w:sz w:val="17"/>
              </w:rPr>
              <w:t>Juegos, misiones, eventos, boosts y precios</w:t>
            </w:r>
          </w:p>
        </w:tc>
      </w:tr>
      <w:tr>
        <w:tc>
          <w:tcPr>
            <w:tcW w:type="dxa" w:w="2376"/>
            <w:shd w:fill="F8FAFC"/>
            <w:vAlign w:val="center"/>
          </w:tcPr>
          <w:p>
            <w:r>
              <w:rPr>
                <w:color w:val="1E293B"/>
                <w:sz w:val="17"/>
              </w:rPr>
              <w:t>Auditoría</w:t>
            </w:r>
          </w:p>
        </w:tc>
        <w:tc>
          <w:tcPr>
            <w:tcW w:type="dxa" w:w="6984"/>
            <w:shd w:fill="F8FAFC"/>
            <w:vAlign w:val="center"/>
          </w:tcPr>
          <w:p>
            <w:r>
              <w:rPr>
                <w:color w:val="1E293B"/>
                <w:sz w:val="17"/>
              </w:rPr>
              <w:t>Acciones administrativas y cambios de reglas</w:t>
            </w:r>
          </w:p>
        </w:tc>
      </w:tr>
    </w:tbl>
    <w:p/>
    <w:p>
      <w:pPr>
        <w:pStyle w:val="Heading2"/>
      </w:pPr>
      <w:r>
        <w:t>16.1 Retiro del propietario</w:t>
      </w:r>
    </w:p>
    <w:p>
      <w:pPr>
        <w:pStyle w:val="ListBullet"/>
      </w:pPr>
      <w:r>
        <w:t>Solo desde el fondo Propietario.</w:t>
      </w:r>
    </w:p>
    <w:p>
      <w:pPr>
        <w:pStyle w:val="ListBullet"/>
      </w:pPr>
      <w:r>
        <w:t>Wallets de destino en lista blanca.</w:t>
      </w:r>
    </w:p>
    <w:p>
      <w:pPr>
        <w:pStyle w:val="ListBullet"/>
      </w:pPr>
      <w:r>
        <w:t>2FA y espera de seguridad para cambios.</w:t>
      </w:r>
    </w:p>
    <w:p>
      <w:pPr>
        <w:pStyle w:val="ListBullet"/>
      </w:pPr>
      <w:r>
        <w:t>Límites diarios y registro de aprobación.</w:t>
      </w:r>
    </w:p>
    <w:p>
      <w:pPr>
        <w:pStyle w:val="ListBullet"/>
      </w:pPr>
      <w:r>
        <w:t>Conciliación contable antes y después del retiro.</w:t>
      </w:r>
    </w:p>
    <w:p>
      <w:pPr>
        <w:pStyle w:val="Heading1"/>
      </w:pPr>
      <w:r>
        <w:t>17. Ledger, contabilidad y auditoría</w:t>
      </w:r>
    </w:p>
    <w:p>
      <w:r>
        <w:t>El saldo no debe existir únicamente como un número editable en la tabla de usuarios. Cada cambio debe generar un asiento de ledger con trazabilidad y referencia al evento que lo originó.</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080B12"/>
            <w:vAlign w:val="center"/>
          </w:tcPr>
          <w:p>
            <w:pPr>
              <w:jc w:val="center"/>
            </w:pPr>
            <w:r>
              <w:rPr>
                <w:b/>
                <w:color w:val="39FF88"/>
                <w:sz w:val="18"/>
              </w:rPr>
              <w:t>Campo mínimo</w:t>
            </w:r>
          </w:p>
        </w:tc>
        <w:tc>
          <w:tcPr>
            <w:tcW w:type="dxa" w:w="6768"/>
            <w:shd w:fill="080B12"/>
            <w:vAlign w:val="center"/>
          </w:tcPr>
          <w:p>
            <w:pPr>
              <w:jc w:val="center"/>
            </w:pPr>
            <w:r>
              <w:rPr>
                <w:b/>
                <w:color w:val="39FF88"/>
                <w:sz w:val="18"/>
              </w:rPr>
              <w:t>Descripción</w:t>
            </w:r>
          </w:p>
        </w:tc>
      </w:tr>
      <w:tr>
        <w:tc>
          <w:tcPr>
            <w:tcW w:type="dxa" w:w="2592"/>
            <w:shd w:fill="F8FAFC"/>
            <w:vAlign w:val="center"/>
          </w:tcPr>
          <w:p>
            <w:r>
              <w:rPr>
                <w:color w:val="1E293B"/>
                <w:sz w:val="17"/>
              </w:rPr>
              <w:t>transaction_id</w:t>
            </w:r>
          </w:p>
        </w:tc>
        <w:tc>
          <w:tcPr>
            <w:tcW w:type="dxa" w:w="6768"/>
            <w:shd w:fill="F8FAFC"/>
            <w:vAlign w:val="center"/>
          </w:tcPr>
          <w:p>
            <w:r>
              <w:rPr>
                <w:color w:val="1E293B"/>
                <w:sz w:val="17"/>
              </w:rPr>
              <w:t>Identificador único e idempotente</w:t>
            </w:r>
          </w:p>
        </w:tc>
      </w:tr>
      <w:tr>
        <w:tc>
          <w:tcPr>
            <w:tcW w:type="dxa" w:w="2592"/>
            <w:vAlign w:val="center"/>
          </w:tcPr>
          <w:p>
            <w:r>
              <w:rPr>
                <w:color w:val="1E293B"/>
                <w:sz w:val="17"/>
              </w:rPr>
              <w:t>user_id</w:t>
            </w:r>
          </w:p>
        </w:tc>
        <w:tc>
          <w:tcPr>
            <w:tcW w:type="dxa" w:w="6768"/>
            <w:vAlign w:val="center"/>
          </w:tcPr>
          <w:p>
            <w:r>
              <w:rPr>
                <w:color w:val="1E293B"/>
                <w:sz w:val="17"/>
              </w:rPr>
              <w:t>Titular del movimiento</w:t>
            </w:r>
          </w:p>
        </w:tc>
      </w:tr>
      <w:tr>
        <w:tc>
          <w:tcPr>
            <w:tcW w:type="dxa" w:w="2592"/>
            <w:shd w:fill="F8FAFC"/>
            <w:vAlign w:val="center"/>
          </w:tcPr>
          <w:p>
            <w:r>
              <w:rPr>
                <w:color w:val="1E293B"/>
                <w:sz w:val="17"/>
              </w:rPr>
              <w:t>wallet/fund</w:t>
            </w:r>
          </w:p>
        </w:tc>
        <w:tc>
          <w:tcPr>
            <w:tcW w:type="dxa" w:w="6768"/>
            <w:shd w:fill="F8FAFC"/>
            <w:vAlign w:val="center"/>
          </w:tcPr>
          <w:p>
            <w:r>
              <w:rPr>
                <w:color w:val="1E293B"/>
                <w:sz w:val="17"/>
              </w:rPr>
              <w:t>Cuenta o fondo afectado</w:t>
            </w:r>
          </w:p>
        </w:tc>
      </w:tr>
      <w:tr>
        <w:tc>
          <w:tcPr>
            <w:tcW w:type="dxa" w:w="2592"/>
            <w:vAlign w:val="center"/>
          </w:tcPr>
          <w:p>
            <w:r>
              <w:rPr>
                <w:color w:val="1E293B"/>
                <w:sz w:val="17"/>
              </w:rPr>
              <w:t>type</w:t>
            </w:r>
          </w:p>
        </w:tc>
        <w:tc>
          <w:tcPr>
            <w:tcW w:type="dxa" w:w="6768"/>
            <w:vAlign w:val="center"/>
          </w:tcPr>
          <w:p>
            <w:r>
              <w:rPr>
                <w:color w:val="1E293B"/>
                <w:sz w:val="17"/>
              </w:rPr>
              <w:t>Claim, juego, compra, fee, referral, vault, retiro, ajuste</w:t>
            </w:r>
          </w:p>
        </w:tc>
      </w:tr>
      <w:tr>
        <w:tc>
          <w:tcPr>
            <w:tcW w:type="dxa" w:w="2592"/>
            <w:shd w:fill="F8FAFC"/>
            <w:vAlign w:val="center"/>
          </w:tcPr>
          <w:p>
            <w:r>
              <w:rPr>
                <w:color w:val="1E293B"/>
                <w:sz w:val="17"/>
              </w:rPr>
              <w:t>amount</w:t>
            </w:r>
          </w:p>
        </w:tc>
        <w:tc>
          <w:tcPr>
            <w:tcW w:type="dxa" w:w="6768"/>
            <w:shd w:fill="F8FAFC"/>
            <w:vAlign w:val="center"/>
          </w:tcPr>
          <w:p>
            <w:r>
              <w:rPr>
                <w:color w:val="1E293B"/>
                <w:sz w:val="17"/>
              </w:rPr>
              <w:t>Débito o crédito</w:t>
            </w:r>
          </w:p>
        </w:tc>
      </w:tr>
      <w:tr>
        <w:tc>
          <w:tcPr>
            <w:tcW w:type="dxa" w:w="2592"/>
            <w:vAlign w:val="center"/>
          </w:tcPr>
          <w:p>
            <w:r>
              <w:rPr>
                <w:color w:val="1E293B"/>
                <w:sz w:val="17"/>
              </w:rPr>
              <w:t>balance_after</w:t>
            </w:r>
          </w:p>
        </w:tc>
        <w:tc>
          <w:tcPr>
            <w:tcW w:type="dxa" w:w="6768"/>
            <w:vAlign w:val="center"/>
          </w:tcPr>
          <w:p>
            <w:r>
              <w:rPr>
                <w:color w:val="1E293B"/>
                <w:sz w:val="17"/>
              </w:rPr>
              <w:t>Saldo resultante</w:t>
            </w:r>
          </w:p>
        </w:tc>
      </w:tr>
      <w:tr>
        <w:tc>
          <w:tcPr>
            <w:tcW w:type="dxa" w:w="2592"/>
            <w:shd w:fill="F8FAFC"/>
            <w:vAlign w:val="center"/>
          </w:tcPr>
          <w:p>
            <w:r>
              <w:rPr>
                <w:color w:val="1E293B"/>
                <w:sz w:val="17"/>
              </w:rPr>
              <w:t>status</w:t>
            </w:r>
          </w:p>
        </w:tc>
        <w:tc>
          <w:tcPr>
            <w:tcW w:type="dxa" w:w="6768"/>
            <w:shd w:fill="F8FAFC"/>
            <w:vAlign w:val="center"/>
          </w:tcPr>
          <w:p>
            <w:r>
              <w:rPr>
                <w:color w:val="1E293B"/>
                <w:sz w:val="17"/>
              </w:rPr>
              <w:t>Pendiente, confirmado, revertido, bloqueado</w:t>
            </w:r>
          </w:p>
        </w:tc>
      </w:tr>
      <w:tr>
        <w:tc>
          <w:tcPr>
            <w:tcW w:type="dxa" w:w="2592"/>
            <w:vAlign w:val="center"/>
          </w:tcPr>
          <w:p>
            <w:r>
              <w:rPr>
                <w:color w:val="1E293B"/>
                <w:sz w:val="17"/>
              </w:rPr>
              <w:t>source_reference</w:t>
            </w:r>
          </w:p>
        </w:tc>
        <w:tc>
          <w:tcPr>
            <w:tcW w:type="dxa" w:w="6768"/>
            <w:vAlign w:val="center"/>
          </w:tcPr>
          <w:p>
            <w:r>
              <w:rPr>
                <w:color w:val="1E293B"/>
                <w:sz w:val="17"/>
              </w:rPr>
              <w:t>Juego, campaña, orden o payout asociado</w:t>
            </w:r>
          </w:p>
        </w:tc>
      </w:tr>
      <w:tr>
        <w:tc>
          <w:tcPr>
            <w:tcW w:type="dxa" w:w="2592"/>
            <w:shd w:fill="F8FAFC"/>
            <w:vAlign w:val="center"/>
          </w:tcPr>
          <w:p>
            <w:r>
              <w:rPr>
                <w:color w:val="1E293B"/>
                <w:sz w:val="17"/>
              </w:rPr>
              <w:t>metadata</w:t>
            </w:r>
          </w:p>
        </w:tc>
        <w:tc>
          <w:tcPr>
            <w:tcW w:type="dxa" w:w="6768"/>
            <w:shd w:fill="F8FAFC"/>
            <w:vAlign w:val="center"/>
          </w:tcPr>
          <w:p>
            <w:r>
              <w:rPr>
                <w:color w:val="1E293B"/>
                <w:sz w:val="17"/>
              </w:rPr>
              <w:t>IP, dispositivo, reglas y evidencia</w:t>
            </w:r>
          </w:p>
        </w:tc>
      </w:tr>
      <w:tr>
        <w:tc>
          <w:tcPr>
            <w:tcW w:type="dxa" w:w="2592"/>
            <w:vAlign w:val="center"/>
          </w:tcPr>
          <w:p>
            <w:r>
              <w:rPr>
                <w:color w:val="1E293B"/>
                <w:sz w:val="17"/>
              </w:rPr>
              <w:t>created_at</w:t>
            </w:r>
          </w:p>
        </w:tc>
        <w:tc>
          <w:tcPr>
            <w:tcW w:type="dxa" w:w="6768"/>
            <w:vAlign w:val="center"/>
          </w:tcPr>
          <w:p>
            <w:r>
              <w:rPr>
                <w:color w:val="1E293B"/>
                <w:sz w:val="17"/>
              </w:rPr>
              <w:t>Fecha y hora</w:t>
            </w:r>
          </w:p>
        </w:tc>
      </w:tr>
      <w:tr>
        <w:tc>
          <w:tcPr>
            <w:tcW w:type="dxa" w:w="2592"/>
            <w:shd w:fill="F8FAFC"/>
            <w:vAlign w:val="center"/>
          </w:tcPr>
          <w:p>
            <w:r>
              <w:rPr>
                <w:color w:val="1E293B"/>
                <w:sz w:val="17"/>
              </w:rPr>
              <w:t>admin_actor</w:t>
            </w:r>
          </w:p>
        </w:tc>
        <w:tc>
          <w:tcPr>
            <w:tcW w:type="dxa" w:w="6768"/>
            <w:shd w:fill="F8FAFC"/>
            <w:vAlign w:val="center"/>
          </w:tcPr>
          <w:p>
            <w:r>
              <w:rPr>
                <w:color w:val="1E293B"/>
                <w:sz w:val="17"/>
              </w:rPr>
              <w:t>Administrador, cuando aplique</w:t>
            </w:r>
          </w:p>
        </w:tc>
      </w:tr>
      <w:tr>
        <w:tc>
          <w:tcPr>
            <w:tcW w:type="dxa" w:w="2592"/>
            <w:vAlign w:val="center"/>
          </w:tcPr>
          <w:p>
            <w:r>
              <w:rPr>
                <w:color w:val="1E293B"/>
                <w:sz w:val="17"/>
              </w:rPr>
              <w:t>reason</w:t>
            </w:r>
          </w:p>
        </w:tc>
        <w:tc>
          <w:tcPr>
            <w:tcW w:type="dxa" w:w="6768"/>
            <w:vAlign w:val="center"/>
          </w:tcPr>
          <w:p>
            <w:r>
              <w:rPr>
                <w:color w:val="1E293B"/>
                <w:sz w:val="17"/>
              </w:rPr>
              <w:t>Motivo obligatorio de ajustes</w:t>
            </w:r>
          </w:p>
        </w:tc>
      </w:tr>
    </w:tbl>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22D3EE"/>
              <w:bottom w:val="single" w:sz="2" w:color="DDE3EA"/>
              <w:right w:val="single" w:sz="2" w:color="DDE3EA"/>
            </w:tcBorders>
          </w:tcPr>
          <w:p>
            <w:r>
              <w:rPr>
                <w:b/>
                <w:color w:val="22D3EE"/>
                <w:sz w:val="22"/>
              </w:rPr>
              <w:t>Principio de idempotencia</w:t>
              <w:br/>
            </w:r>
            <w:r>
              <w:rPr>
                <w:color w:val="334155"/>
                <w:sz w:val="19"/>
              </w:rPr>
              <w:t>Un mismo claim, resultado de juego, callback de offerwall o retiro no puede acreditarse dos veces aunque se repita la solicitud.</w:t>
            </w:r>
          </w:p>
        </w:tc>
      </w:tr>
    </w:tbl>
    <w:p/>
    <w:p>
      <w:pPr>
        <w:pStyle w:val="Heading1"/>
      </w:pPr>
      <w:r>
        <w:t>18. Seguridad y antifraude</w:t>
      </w:r>
    </w:p>
    <w:p>
      <w:pPr>
        <w:pStyle w:val="ListBullet"/>
      </w:pPr>
      <w:r>
        <w:t>Rate limits por usuario, IP y dispositivo</w:t>
      </w:r>
    </w:p>
    <w:p>
      <w:pPr>
        <w:pStyle w:val="ListBullet"/>
      </w:pPr>
      <w:r>
        <w:t>Detección de VPN, proxy, TOR y datacenter</w:t>
      </w:r>
    </w:p>
    <w:p>
      <w:pPr>
        <w:pStyle w:val="ListBullet"/>
      </w:pPr>
      <w:r>
        <w:t>Huella de dispositivo con enfoque de privacidad</w:t>
      </w:r>
    </w:p>
    <w:p>
      <w:pPr>
        <w:pStyle w:val="ListBullet"/>
      </w:pPr>
      <w:r>
        <w:t>Captcha adaptativo</w:t>
      </w:r>
    </w:p>
    <w:p>
      <w:pPr>
        <w:pStyle w:val="ListBullet"/>
      </w:pPr>
      <w:r>
        <w:t>Detección de multicuentas y autocadenas</w:t>
      </w:r>
    </w:p>
    <w:p>
      <w:pPr>
        <w:pStyle w:val="ListBullet"/>
      </w:pPr>
      <w:r>
        <w:t>Risk score por comportamiento</w:t>
      </w:r>
    </w:p>
    <w:p>
      <w:pPr>
        <w:pStyle w:val="ListBullet"/>
      </w:pPr>
      <w:r>
        <w:t>Límites dinámicos por país y antigüedad</w:t>
      </w:r>
    </w:p>
    <w:p>
      <w:pPr>
        <w:pStyle w:val="ListBullet"/>
      </w:pPr>
      <w:r>
        <w:t>Hold de recompensas sospechosas</w:t>
      </w:r>
    </w:p>
    <w:p>
      <w:pPr>
        <w:pStyle w:val="ListBullet"/>
      </w:pPr>
      <w:r>
        <w:t>Callbacks server-to-server firmados</w:t>
      </w:r>
    </w:p>
    <w:p>
      <w:pPr>
        <w:pStyle w:val="ListBullet"/>
      </w:pPr>
      <w:r>
        <w:t>2FA para usuarios sensibles y administradores</w:t>
      </w:r>
    </w:p>
    <w:p>
      <w:pPr>
        <w:pStyle w:val="ListBullet"/>
      </w:pPr>
      <w:r>
        <w:t>Cifrado de secretos y rotación de llaves</w:t>
      </w:r>
    </w:p>
    <w:p>
      <w:pPr>
        <w:pStyle w:val="ListBullet"/>
      </w:pPr>
      <w:r>
        <w:t>Hot wallet limitada y reservas separadas</w:t>
      </w:r>
    </w:p>
    <w:p>
      <w:pPr>
        <w:pStyle w:val="ListBullet"/>
      </w:pPr>
      <w:r>
        <w:t>Backups cifrados y pruebas de restauración</w:t>
      </w:r>
    </w:p>
    <w:p>
      <w:pPr>
        <w:pStyle w:val="ListBullet"/>
      </w:pPr>
      <w:r>
        <w:t>Monitoreo y alertas</w:t>
      </w:r>
    </w:p>
    <w:p>
      <w:pPr>
        <w:pStyle w:val="ListBullet"/>
      </w:pPr>
      <w:r>
        <w:t>Programa de respuesta a incidentes</w:t>
      </w:r>
    </w:p>
    <w:p>
      <w:pPr>
        <w:pStyle w:val="Heading1"/>
      </w:pPr>
      <w:r>
        <w:t>19. Arquitectura técnica propuesta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080B12"/>
            <w:vAlign w:val="center"/>
          </w:tcPr>
          <w:p>
            <w:pPr>
              <w:jc w:val="center"/>
            </w:pPr>
            <w:r>
              <w:rPr>
                <w:b/>
                <w:color w:val="39FF88"/>
                <w:sz w:val="18"/>
              </w:rPr>
              <w:t>Capa</w:t>
            </w:r>
          </w:p>
        </w:tc>
        <w:tc>
          <w:tcPr>
            <w:tcW w:type="dxa" w:w="7056"/>
            <w:shd w:fill="080B12"/>
            <w:vAlign w:val="center"/>
          </w:tcPr>
          <w:p>
            <w:pPr>
              <w:jc w:val="center"/>
            </w:pPr>
            <w:r>
              <w:rPr>
                <w:b/>
                <w:color w:val="39FF88"/>
                <w:sz w:val="18"/>
              </w:rPr>
              <w:t>Componentes</w:t>
            </w:r>
          </w:p>
        </w:tc>
      </w:tr>
      <w:tr>
        <w:tc>
          <w:tcPr>
            <w:tcW w:type="dxa" w:w="2304"/>
            <w:shd w:fill="F8FAFC"/>
            <w:vAlign w:val="center"/>
          </w:tcPr>
          <w:p>
            <w:r>
              <w:rPr>
                <w:color w:val="1E293B"/>
                <w:sz w:val="17"/>
              </w:rPr>
              <w:t>Frontend</w:t>
            </w:r>
          </w:p>
        </w:tc>
        <w:tc>
          <w:tcPr>
            <w:tcW w:type="dxa" w:w="7056"/>
            <w:shd w:fill="F8FAFC"/>
            <w:vAlign w:val="center"/>
          </w:tcPr>
          <w:p>
            <w:r>
              <w:rPr>
                <w:color w:val="1E293B"/>
                <w:sz w:val="17"/>
              </w:rPr>
              <w:t>Landing, autenticación, dashboard, faucet, juegos, wallet, mercado y perfil</w:t>
            </w:r>
          </w:p>
        </w:tc>
      </w:tr>
      <w:tr>
        <w:tc>
          <w:tcPr>
            <w:tcW w:type="dxa" w:w="2304"/>
            <w:vAlign w:val="center"/>
          </w:tcPr>
          <w:p>
            <w:r>
              <w:rPr>
                <w:color w:val="1E293B"/>
                <w:sz w:val="17"/>
              </w:rPr>
              <w:t>API Backend</w:t>
            </w:r>
          </w:p>
        </w:tc>
        <w:tc>
          <w:tcPr>
            <w:tcW w:type="dxa" w:w="7056"/>
            <w:vAlign w:val="center"/>
          </w:tcPr>
          <w:p>
            <w:r>
              <w:rPr>
                <w:color w:val="1E293B"/>
                <w:sz w:val="17"/>
              </w:rPr>
              <w:t>Usuarios, economía, reglas, ledger, referidos, vault, trading y admin</w:t>
            </w:r>
          </w:p>
        </w:tc>
      </w:tr>
      <w:tr>
        <w:tc>
          <w:tcPr>
            <w:tcW w:type="dxa" w:w="2304"/>
            <w:shd w:fill="F8FAFC"/>
            <w:vAlign w:val="center"/>
          </w:tcPr>
          <w:p>
            <w:r>
              <w:rPr>
                <w:color w:val="1E293B"/>
                <w:sz w:val="17"/>
              </w:rPr>
              <w:t>Base de datos</w:t>
            </w:r>
          </w:p>
        </w:tc>
        <w:tc>
          <w:tcPr>
            <w:tcW w:type="dxa" w:w="7056"/>
            <w:shd w:fill="F8FAFC"/>
            <w:vAlign w:val="center"/>
          </w:tcPr>
          <w:p>
            <w:r>
              <w:rPr>
                <w:color w:val="1E293B"/>
                <w:sz w:val="17"/>
              </w:rPr>
              <w:t>PostgreSQL con constraints, transacciones y réplicas/backups</w:t>
            </w:r>
          </w:p>
        </w:tc>
      </w:tr>
      <w:tr>
        <w:tc>
          <w:tcPr>
            <w:tcW w:type="dxa" w:w="2304"/>
            <w:vAlign w:val="center"/>
          </w:tcPr>
          <w:p>
            <w:r>
              <w:rPr>
                <w:color w:val="1E293B"/>
                <w:sz w:val="17"/>
              </w:rPr>
              <w:t>Cache/colas</w:t>
            </w:r>
          </w:p>
        </w:tc>
        <w:tc>
          <w:tcPr>
            <w:tcW w:type="dxa" w:w="7056"/>
            <w:vAlign w:val="center"/>
          </w:tcPr>
          <w:p>
            <w:r>
              <w:rPr>
                <w:color w:val="1E293B"/>
                <w:sz w:val="17"/>
              </w:rPr>
              <w:t>Redis para cooldowns, locks, rate limits, jobs e idempotencia</w:t>
            </w:r>
          </w:p>
        </w:tc>
      </w:tr>
      <w:tr>
        <w:tc>
          <w:tcPr>
            <w:tcW w:type="dxa" w:w="2304"/>
            <w:shd w:fill="F8FAFC"/>
            <w:vAlign w:val="center"/>
          </w:tcPr>
          <w:p>
            <w:r>
              <w:rPr>
                <w:color w:val="1E293B"/>
                <w:sz w:val="17"/>
              </w:rPr>
              <w:t>Admin</w:t>
            </w:r>
          </w:p>
        </w:tc>
        <w:tc>
          <w:tcPr>
            <w:tcW w:type="dxa" w:w="7056"/>
            <w:shd w:fill="F8FAFC"/>
            <w:vAlign w:val="center"/>
          </w:tcPr>
          <w:p>
            <w:r>
              <w:rPr>
                <w:color w:val="1E293B"/>
                <w:sz w:val="17"/>
              </w:rPr>
              <w:t>RBAC, auditoría, tesorería, fraude y contenidos</w:t>
            </w:r>
          </w:p>
        </w:tc>
      </w:tr>
      <w:tr>
        <w:tc>
          <w:tcPr>
            <w:tcW w:type="dxa" w:w="2304"/>
            <w:vAlign w:val="center"/>
          </w:tcPr>
          <w:p>
            <w:r>
              <w:rPr>
                <w:color w:val="1E293B"/>
                <w:sz w:val="17"/>
              </w:rPr>
              <w:t>Integraciones</w:t>
            </w:r>
          </w:p>
        </w:tc>
        <w:tc>
          <w:tcPr>
            <w:tcW w:type="dxa" w:w="7056"/>
            <w:vAlign w:val="center"/>
          </w:tcPr>
          <w:p>
            <w:r>
              <w:rPr>
                <w:color w:val="1E293B"/>
                <w:sz w:val="17"/>
              </w:rPr>
              <w:t>Ads, offerwalls, precios, correo, Telegram y wallets</w:t>
            </w:r>
          </w:p>
        </w:tc>
      </w:tr>
      <w:tr>
        <w:tc>
          <w:tcPr>
            <w:tcW w:type="dxa" w:w="2304"/>
            <w:shd w:fill="F8FAFC"/>
            <w:vAlign w:val="center"/>
          </w:tcPr>
          <w:p>
            <w:r>
              <w:rPr>
                <w:color w:val="1E293B"/>
                <w:sz w:val="17"/>
              </w:rPr>
              <w:t>Infraestructura</w:t>
            </w:r>
          </w:p>
        </w:tc>
        <w:tc>
          <w:tcPr>
            <w:tcW w:type="dxa" w:w="7056"/>
            <w:shd w:fill="F8FAFC"/>
            <w:vAlign w:val="center"/>
          </w:tcPr>
          <w:p>
            <w:r>
              <w:rPr>
                <w:color w:val="1E293B"/>
                <w:sz w:val="17"/>
              </w:rPr>
              <w:t>Docker, Nginx, TLS, CI/CD, observabilidad y secretos</w:t>
            </w:r>
          </w:p>
        </w:tc>
      </w:tr>
      <w:tr>
        <w:tc>
          <w:tcPr>
            <w:tcW w:type="dxa" w:w="2304"/>
            <w:vAlign w:val="center"/>
          </w:tcPr>
          <w:p>
            <w:r>
              <w:rPr>
                <w:color w:val="1E293B"/>
                <w:sz w:val="17"/>
              </w:rPr>
              <w:t>Futura blockchain</w:t>
            </w:r>
          </w:p>
        </w:tc>
        <w:tc>
          <w:tcPr>
            <w:tcW w:type="dxa" w:w="7056"/>
            <w:vAlign w:val="center"/>
          </w:tcPr>
          <w:p>
            <w:r>
              <w:rPr>
                <w:color w:val="1E293B"/>
                <w:sz w:val="17"/>
              </w:rPr>
              <w:t>Contrato token en red existente, indexador y wallet service</w:t>
            </w:r>
          </w:p>
        </w:tc>
      </w:tr>
    </w:tbl>
    <w:p/>
    <w:p>
      <w:pPr>
        <w:pStyle w:val="Heading2"/>
      </w:pPr>
      <w:r>
        <w:t>19.1 Roles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080B12"/>
            <w:vAlign w:val="center"/>
          </w:tcPr>
          <w:p>
            <w:pPr>
              <w:jc w:val="center"/>
            </w:pPr>
            <w:r>
              <w:rPr>
                <w:b/>
                <w:color w:val="39FF88"/>
                <w:sz w:val="18"/>
              </w:rPr>
              <w:t>Rol</w:t>
            </w:r>
          </w:p>
        </w:tc>
        <w:tc>
          <w:tcPr>
            <w:tcW w:type="dxa" w:w="7200"/>
            <w:shd w:fill="080B12"/>
            <w:vAlign w:val="center"/>
          </w:tcPr>
          <w:p>
            <w:pPr>
              <w:jc w:val="center"/>
            </w:pPr>
            <w:r>
              <w:rPr>
                <w:b/>
                <w:color w:val="39FF88"/>
                <w:sz w:val="18"/>
              </w:rPr>
              <w:t>Alcance</w:t>
            </w:r>
          </w:p>
        </w:tc>
      </w:tr>
      <w:tr>
        <w:tc>
          <w:tcPr>
            <w:tcW w:type="dxa" w:w="2160"/>
            <w:shd w:fill="F8FAFC"/>
            <w:vAlign w:val="center"/>
          </w:tcPr>
          <w:p>
            <w:r>
              <w:rPr>
                <w:color w:val="1E293B"/>
                <w:sz w:val="17"/>
              </w:rPr>
              <w:t>Owner</w:t>
            </w:r>
          </w:p>
        </w:tc>
        <w:tc>
          <w:tcPr>
            <w:tcW w:type="dxa" w:w="7200"/>
            <w:shd w:fill="F8FAFC"/>
            <w:vAlign w:val="center"/>
          </w:tcPr>
          <w:p>
            <w:r>
              <w:rPr>
                <w:color w:val="1E293B"/>
                <w:sz w:val="17"/>
              </w:rPr>
              <w:t>Finanzas completas y retiro de utilidad</w:t>
            </w:r>
          </w:p>
        </w:tc>
      </w:tr>
      <w:tr>
        <w:tc>
          <w:tcPr>
            <w:tcW w:type="dxa" w:w="2160"/>
            <w:vAlign w:val="center"/>
          </w:tcPr>
          <w:p>
            <w:r>
              <w:rPr>
                <w:color w:val="1E293B"/>
                <w:sz w:val="17"/>
              </w:rPr>
              <w:t>Superadmin</w:t>
            </w:r>
          </w:p>
        </w:tc>
        <w:tc>
          <w:tcPr>
            <w:tcW w:type="dxa" w:w="7200"/>
            <w:vAlign w:val="center"/>
          </w:tcPr>
          <w:p>
            <w:r>
              <w:rPr>
                <w:color w:val="1E293B"/>
                <w:sz w:val="17"/>
              </w:rPr>
              <w:t>Economía y usuarios; sin retiro de Owner</w:t>
            </w:r>
          </w:p>
        </w:tc>
      </w:tr>
      <w:tr>
        <w:tc>
          <w:tcPr>
            <w:tcW w:type="dxa" w:w="2160"/>
            <w:shd w:fill="F8FAFC"/>
            <w:vAlign w:val="center"/>
          </w:tcPr>
          <w:p>
            <w:r>
              <w:rPr>
                <w:color w:val="1E293B"/>
                <w:sz w:val="17"/>
              </w:rPr>
              <w:t>Finanzas</w:t>
            </w:r>
          </w:p>
        </w:tc>
        <w:tc>
          <w:tcPr>
            <w:tcW w:type="dxa" w:w="7200"/>
            <w:shd w:fill="F8FAFC"/>
            <w:vAlign w:val="center"/>
          </w:tcPr>
          <w:p>
            <w:r>
              <w:rPr>
                <w:color w:val="1E293B"/>
                <w:sz w:val="17"/>
              </w:rPr>
              <w:t>Tesorería, conciliación y payouts</w:t>
            </w:r>
          </w:p>
        </w:tc>
      </w:tr>
      <w:tr>
        <w:tc>
          <w:tcPr>
            <w:tcW w:type="dxa" w:w="2160"/>
            <w:vAlign w:val="center"/>
          </w:tcPr>
          <w:p>
            <w:r>
              <w:rPr>
                <w:color w:val="1E293B"/>
                <w:sz w:val="17"/>
              </w:rPr>
              <w:t>Fraude</w:t>
            </w:r>
          </w:p>
        </w:tc>
        <w:tc>
          <w:tcPr>
            <w:tcW w:type="dxa" w:w="7200"/>
            <w:vAlign w:val="center"/>
          </w:tcPr>
          <w:p>
            <w:r>
              <w:rPr>
                <w:color w:val="1E293B"/>
                <w:sz w:val="17"/>
              </w:rPr>
              <w:t>Casos, bloqueos y reglas</w:t>
            </w:r>
          </w:p>
        </w:tc>
      </w:tr>
      <w:tr>
        <w:tc>
          <w:tcPr>
            <w:tcW w:type="dxa" w:w="2160"/>
            <w:shd w:fill="F8FAFC"/>
            <w:vAlign w:val="center"/>
          </w:tcPr>
          <w:p>
            <w:r>
              <w:rPr>
                <w:color w:val="1E293B"/>
                <w:sz w:val="17"/>
              </w:rPr>
              <w:t>Soporte</w:t>
            </w:r>
          </w:p>
        </w:tc>
        <w:tc>
          <w:tcPr>
            <w:tcW w:type="dxa" w:w="7200"/>
            <w:shd w:fill="F8FAFC"/>
            <w:vAlign w:val="center"/>
          </w:tcPr>
          <w:p>
            <w:r>
              <w:rPr>
                <w:color w:val="1E293B"/>
                <w:sz w:val="17"/>
              </w:rPr>
              <w:t>Consulta y tickets con permisos limitados</w:t>
            </w:r>
          </w:p>
        </w:tc>
      </w:tr>
      <w:tr>
        <w:tc>
          <w:tcPr>
            <w:tcW w:type="dxa" w:w="2160"/>
            <w:vAlign w:val="center"/>
          </w:tcPr>
          <w:p>
            <w:r>
              <w:rPr>
                <w:color w:val="1E293B"/>
                <w:sz w:val="17"/>
              </w:rPr>
              <w:t>Contenido</w:t>
            </w:r>
          </w:p>
        </w:tc>
        <w:tc>
          <w:tcPr>
            <w:tcW w:type="dxa" w:w="7200"/>
            <w:vAlign w:val="center"/>
          </w:tcPr>
          <w:p>
            <w:r>
              <w:rPr>
                <w:color w:val="1E293B"/>
                <w:sz w:val="17"/>
              </w:rPr>
              <w:t>Juegos, misiones y promociones</w:t>
            </w:r>
          </w:p>
        </w:tc>
      </w:tr>
      <w:tr>
        <w:tc>
          <w:tcPr>
            <w:tcW w:type="dxa" w:w="2160"/>
            <w:shd w:fill="F8FAFC"/>
            <w:vAlign w:val="center"/>
          </w:tcPr>
          <w:p>
            <w:r>
              <w:rPr>
                <w:color w:val="1E293B"/>
                <w:sz w:val="17"/>
              </w:rPr>
              <w:t>Auditor</w:t>
            </w:r>
          </w:p>
        </w:tc>
        <w:tc>
          <w:tcPr>
            <w:tcW w:type="dxa" w:w="7200"/>
            <w:shd w:fill="F8FAFC"/>
            <w:vAlign w:val="center"/>
          </w:tcPr>
          <w:p>
            <w:r>
              <w:rPr>
                <w:color w:val="1E293B"/>
                <w:sz w:val="17"/>
              </w:rPr>
              <w:t>Solo lectura y exportación</w:t>
            </w:r>
          </w:p>
        </w:tc>
      </w:tr>
    </w:tbl>
    <w:p/>
    <w:p>
      <w:pPr>
        <w:pStyle w:val="Heading1"/>
      </w:pPr>
      <w:r>
        <w:t>20. MVP y flujo de prueba</w:t>
      </w:r>
    </w:p>
    <w:p>
      <w:r>
        <w:t>La primera versión para Mateo debe ser una beta cerrada sin dinero real. Su propósito es validar claridad, diversión, retención, errores de saldo y percepción de confianza.</w:t>
      </w:r>
    </w:p>
    <w:p>
      <w:pPr>
        <w:pStyle w:val="ListNumber"/>
      </w:pPr>
      <w:r>
        <w:t>Mateo abre la landing y entiende la propuesta.</w:t>
      </w:r>
    </w:p>
    <w:p>
      <w:pPr>
        <w:pStyle w:val="ListNumber"/>
      </w:pPr>
      <w:r>
        <w:t>Crea cuenta e inicia sesión.</w:t>
      </w:r>
    </w:p>
    <w:p>
      <w:pPr>
        <w:pStyle w:val="ListNumber"/>
      </w:pPr>
      <w:r>
        <w:t>Ve saldo inicial en 0 ZYXEs.</w:t>
      </w:r>
    </w:p>
    <w:p>
      <w:pPr>
        <w:pStyle w:val="ListNumber"/>
      </w:pPr>
      <w:r>
        <w:t>Realiza un claim y recibe ZYXE interno.</w:t>
      </w:r>
    </w:p>
    <w:p>
      <w:pPr>
        <w:pStyle w:val="ListNumber"/>
      </w:pPr>
      <w:r>
        <w:t>Juega Tap Miner y Memory Drops.</w:t>
      </w:r>
    </w:p>
    <w:p>
      <w:pPr>
        <w:pStyle w:val="ListNumber"/>
      </w:pPr>
      <w:r>
        <w:t>Consulta historial y saldo actualizado.</w:t>
      </w:r>
    </w:p>
    <w:p>
      <w:pPr>
        <w:pStyle w:val="ListNumber"/>
      </w:pPr>
      <w:r>
        <w:t>Compra o activa un boost de prueba.</w:t>
      </w:r>
    </w:p>
    <w:p>
      <w:pPr>
        <w:pStyle w:val="ListNumber"/>
      </w:pPr>
      <w:r>
        <w:t>Revisa su crew de referidos en modo demo.</w:t>
      </w:r>
    </w:p>
    <w:p>
      <w:pPr>
        <w:pStyle w:val="ListNumber"/>
      </w:pPr>
      <w:r>
        <w:t>Reporta confusiones, errores y percepción de valor.</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5184"/>
            <w:shd w:fill="080B12"/>
            <w:vAlign w:val="center"/>
          </w:tcPr>
          <w:p>
            <w:pPr>
              <w:jc w:val="center"/>
            </w:pPr>
            <w:r>
              <w:rPr>
                <w:b/>
                <w:color w:val="39FF88"/>
                <w:sz w:val="18"/>
              </w:rPr>
              <w:t>Función MVP</w:t>
            </w:r>
          </w:p>
        </w:tc>
        <w:tc>
          <w:tcPr>
            <w:tcW w:type="dxa" w:w="4176"/>
            <w:shd w:fill="080B12"/>
            <w:vAlign w:val="center"/>
          </w:tcPr>
          <w:p>
            <w:pPr>
              <w:jc w:val="center"/>
            </w:pPr>
            <w:r>
              <w:rPr>
                <w:b/>
                <w:color w:val="39FF88"/>
                <w:sz w:val="18"/>
              </w:rPr>
              <w:t>Estado esperado</w:t>
            </w:r>
          </w:p>
        </w:tc>
      </w:tr>
      <w:tr>
        <w:tc>
          <w:tcPr>
            <w:tcW w:type="dxa" w:w="5184"/>
            <w:shd w:fill="F8FAFC"/>
            <w:vAlign w:val="center"/>
          </w:tcPr>
          <w:p>
            <w:r>
              <w:rPr>
                <w:color w:val="1E293B"/>
                <w:sz w:val="17"/>
              </w:rPr>
              <w:t>Landing y branding</w:t>
            </w:r>
          </w:p>
        </w:tc>
        <w:tc>
          <w:tcPr>
            <w:tcW w:type="dxa" w:w="4176"/>
            <w:shd w:fill="F8FAFC"/>
            <w:vAlign w:val="center"/>
          </w:tcPr>
          <w:p>
            <w:r>
              <w:rPr>
                <w:color w:val="1E293B"/>
                <w:sz w:val="17"/>
              </w:rPr>
              <w:t>Completo</w:t>
            </w:r>
          </w:p>
        </w:tc>
      </w:tr>
      <w:tr>
        <w:tc>
          <w:tcPr>
            <w:tcW w:type="dxa" w:w="5184"/>
            <w:vAlign w:val="center"/>
          </w:tcPr>
          <w:p>
            <w:r>
              <w:rPr>
                <w:color w:val="1E293B"/>
                <w:sz w:val="17"/>
              </w:rPr>
              <w:t>Registro/login</w:t>
            </w:r>
          </w:p>
        </w:tc>
        <w:tc>
          <w:tcPr>
            <w:tcW w:type="dxa" w:w="4176"/>
            <w:vAlign w:val="center"/>
          </w:tcPr>
          <w:p>
            <w:r>
              <w:rPr>
                <w:color w:val="1E293B"/>
                <w:sz w:val="17"/>
              </w:rPr>
              <w:t>Completo</w:t>
            </w:r>
          </w:p>
        </w:tc>
      </w:tr>
      <w:tr>
        <w:tc>
          <w:tcPr>
            <w:tcW w:type="dxa" w:w="5184"/>
            <w:shd w:fill="F8FAFC"/>
            <w:vAlign w:val="center"/>
          </w:tcPr>
          <w:p>
            <w:r>
              <w:rPr>
                <w:color w:val="1E293B"/>
                <w:sz w:val="17"/>
              </w:rPr>
              <w:t>Dashboard</w:t>
            </w:r>
          </w:p>
        </w:tc>
        <w:tc>
          <w:tcPr>
            <w:tcW w:type="dxa" w:w="4176"/>
            <w:shd w:fill="F8FAFC"/>
            <w:vAlign w:val="center"/>
          </w:tcPr>
          <w:p>
            <w:r>
              <w:rPr>
                <w:color w:val="1E293B"/>
                <w:sz w:val="17"/>
              </w:rPr>
              <w:t>Completo</w:t>
            </w:r>
          </w:p>
        </w:tc>
      </w:tr>
      <w:tr>
        <w:tc>
          <w:tcPr>
            <w:tcW w:type="dxa" w:w="5184"/>
            <w:vAlign w:val="center"/>
          </w:tcPr>
          <w:p>
            <w:r>
              <w:rPr>
                <w:color w:val="1E293B"/>
                <w:sz w:val="17"/>
              </w:rPr>
              <w:t>Ledger</w:t>
            </w:r>
          </w:p>
        </w:tc>
        <w:tc>
          <w:tcPr>
            <w:tcW w:type="dxa" w:w="4176"/>
            <w:vAlign w:val="center"/>
          </w:tcPr>
          <w:p>
            <w:r>
              <w:rPr>
                <w:color w:val="1E293B"/>
                <w:sz w:val="17"/>
              </w:rPr>
              <w:t>Completo</w:t>
            </w:r>
          </w:p>
        </w:tc>
      </w:tr>
      <w:tr>
        <w:tc>
          <w:tcPr>
            <w:tcW w:type="dxa" w:w="5184"/>
            <w:shd w:fill="F8FAFC"/>
            <w:vAlign w:val="center"/>
          </w:tcPr>
          <w:p>
            <w:r>
              <w:rPr>
                <w:color w:val="1E293B"/>
                <w:sz w:val="17"/>
              </w:rPr>
              <w:t>Faucet</w:t>
            </w:r>
          </w:p>
        </w:tc>
        <w:tc>
          <w:tcPr>
            <w:tcW w:type="dxa" w:w="4176"/>
            <w:shd w:fill="F8FAFC"/>
            <w:vAlign w:val="center"/>
          </w:tcPr>
          <w:p>
            <w:r>
              <w:rPr>
                <w:color w:val="1E293B"/>
                <w:sz w:val="17"/>
              </w:rPr>
              <w:t>Completo</w:t>
            </w:r>
          </w:p>
        </w:tc>
      </w:tr>
      <w:tr>
        <w:tc>
          <w:tcPr>
            <w:tcW w:type="dxa" w:w="5184"/>
            <w:vAlign w:val="center"/>
          </w:tcPr>
          <w:p>
            <w:r>
              <w:rPr>
                <w:color w:val="1E293B"/>
                <w:sz w:val="17"/>
              </w:rPr>
              <w:t>Dos minijuegos</w:t>
            </w:r>
          </w:p>
        </w:tc>
        <w:tc>
          <w:tcPr>
            <w:tcW w:type="dxa" w:w="4176"/>
            <w:vAlign w:val="center"/>
          </w:tcPr>
          <w:p>
            <w:r>
              <w:rPr>
                <w:color w:val="1E293B"/>
                <w:sz w:val="17"/>
              </w:rPr>
              <w:t>Completo</w:t>
            </w:r>
          </w:p>
        </w:tc>
      </w:tr>
      <w:tr>
        <w:tc>
          <w:tcPr>
            <w:tcW w:type="dxa" w:w="5184"/>
            <w:shd w:fill="F8FAFC"/>
            <w:vAlign w:val="center"/>
          </w:tcPr>
          <w:p>
            <w:r>
              <w:rPr>
                <w:color w:val="1E293B"/>
                <w:sz w:val="17"/>
              </w:rPr>
              <w:t>Wallet/historial</w:t>
            </w:r>
          </w:p>
        </w:tc>
        <w:tc>
          <w:tcPr>
            <w:tcW w:type="dxa" w:w="4176"/>
            <w:shd w:fill="F8FAFC"/>
            <w:vAlign w:val="center"/>
          </w:tcPr>
          <w:p>
            <w:r>
              <w:rPr>
                <w:color w:val="1E293B"/>
                <w:sz w:val="17"/>
              </w:rPr>
              <w:t>Completo</w:t>
            </w:r>
          </w:p>
        </w:tc>
      </w:tr>
      <w:tr>
        <w:tc>
          <w:tcPr>
            <w:tcW w:type="dxa" w:w="5184"/>
            <w:vAlign w:val="center"/>
          </w:tcPr>
          <w:p>
            <w:r>
              <w:rPr>
                <w:color w:val="1E293B"/>
                <w:sz w:val="17"/>
              </w:rPr>
              <w:t>Admin básico</w:t>
            </w:r>
          </w:p>
        </w:tc>
        <w:tc>
          <w:tcPr>
            <w:tcW w:type="dxa" w:w="4176"/>
            <w:vAlign w:val="center"/>
          </w:tcPr>
          <w:p>
            <w:r>
              <w:rPr>
                <w:color w:val="1E293B"/>
                <w:sz w:val="17"/>
              </w:rPr>
              <w:t>Completo</w:t>
            </w:r>
          </w:p>
        </w:tc>
      </w:tr>
      <w:tr>
        <w:tc>
          <w:tcPr>
            <w:tcW w:type="dxa" w:w="5184"/>
            <w:shd w:fill="F8FAFC"/>
            <w:vAlign w:val="center"/>
          </w:tcPr>
          <w:p>
            <w:r>
              <w:rPr>
                <w:color w:val="1E293B"/>
                <w:sz w:val="17"/>
              </w:rPr>
              <w:t>Referidos nivel 1 demo</w:t>
            </w:r>
          </w:p>
        </w:tc>
        <w:tc>
          <w:tcPr>
            <w:tcW w:type="dxa" w:w="4176"/>
            <w:shd w:fill="F8FAFC"/>
            <w:vAlign w:val="center"/>
          </w:tcPr>
          <w:p>
            <w:r>
              <w:rPr>
                <w:color w:val="1E293B"/>
                <w:sz w:val="17"/>
              </w:rPr>
              <w:t>Opcional</w:t>
            </w:r>
          </w:p>
        </w:tc>
      </w:tr>
      <w:tr>
        <w:tc>
          <w:tcPr>
            <w:tcW w:type="dxa" w:w="5184"/>
            <w:vAlign w:val="center"/>
          </w:tcPr>
          <w:p>
            <w:r>
              <w:rPr>
                <w:color w:val="1E293B"/>
                <w:sz w:val="17"/>
              </w:rPr>
              <w:t>Vault simulado</w:t>
            </w:r>
          </w:p>
        </w:tc>
        <w:tc>
          <w:tcPr>
            <w:tcW w:type="dxa" w:w="4176"/>
            <w:vAlign w:val="center"/>
          </w:tcPr>
          <w:p>
            <w:r>
              <w:rPr>
                <w:color w:val="1E293B"/>
                <w:sz w:val="17"/>
              </w:rPr>
              <w:t>Opcional</w:t>
            </w:r>
          </w:p>
        </w:tc>
      </w:tr>
      <w:tr>
        <w:tc>
          <w:tcPr>
            <w:tcW w:type="dxa" w:w="5184"/>
            <w:shd w:fill="F8FAFC"/>
            <w:vAlign w:val="center"/>
          </w:tcPr>
          <w:p>
            <w:r>
              <w:rPr>
                <w:color w:val="1E293B"/>
                <w:sz w:val="17"/>
              </w:rPr>
              <w:t>Retiros reales</w:t>
            </w:r>
          </w:p>
        </w:tc>
        <w:tc>
          <w:tcPr>
            <w:tcW w:type="dxa" w:w="4176"/>
            <w:shd w:fill="F8FAFC"/>
            <w:vAlign w:val="center"/>
          </w:tcPr>
          <w:p>
            <w:r>
              <w:rPr>
                <w:color w:val="1E293B"/>
                <w:sz w:val="17"/>
              </w:rPr>
              <w:t>Deshabilitado</w:t>
            </w:r>
          </w:p>
        </w:tc>
      </w:tr>
      <w:tr>
        <w:tc>
          <w:tcPr>
            <w:tcW w:type="dxa" w:w="5184"/>
            <w:vAlign w:val="center"/>
          </w:tcPr>
          <w:p>
            <w:r>
              <w:rPr>
                <w:color w:val="1E293B"/>
                <w:sz w:val="17"/>
              </w:rPr>
              <w:t>Trading real</w:t>
            </w:r>
          </w:p>
        </w:tc>
        <w:tc>
          <w:tcPr>
            <w:tcW w:type="dxa" w:w="4176"/>
            <w:vAlign w:val="center"/>
          </w:tcPr>
          <w:p>
            <w:r>
              <w:rPr>
                <w:color w:val="1E293B"/>
                <w:sz w:val="17"/>
              </w:rPr>
              <w:t>Deshabilitado</w:t>
            </w:r>
          </w:p>
        </w:tc>
      </w:tr>
    </w:tbl>
    <w:p/>
    <w:p>
      <w:pPr>
        <w:pStyle w:val="Heading1"/>
      </w:pPr>
      <w:r>
        <w:t>21. Roadmap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080B12"/>
            <w:vAlign w:val="center"/>
          </w:tcPr>
          <w:p>
            <w:pPr>
              <w:jc w:val="center"/>
            </w:pPr>
            <w:r>
              <w:rPr>
                <w:b/>
                <w:color w:val="39FF88"/>
                <w:sz w:val="18"/>
              </w:rPr>
              <w:t>Fase</w:t>
            </w:r>
          </w:p>
        </w:tc>
        <w:tc>
          <w:tcPr>
            <w:tcW w:type="dxa" w:w="3024"/>
            <w:shd w:fill="080B12"/>
            <w:vAlign w:val="center"/>
          </w:tcPr>
          <w:p>
            <w:pPr>
              <w:jc w:val="center"/>
            </w:pPr>
            <w:r>
              <w:rPr>
                <w:b/>
                <w:color w:val="39FF88"/>
                <w:sz w:val="18"/>
              </w:rPr>
              <w:t>Objetivo</w:t>
            </w:r>
          </w:p>
        </w:tc>
        <w:tc>
          <w:tcPr>
            <w:tcW w:type="dxa" w:w="4680"/>
            <w:shd w:fill="080B12"/>
            <w:vAlign w:val="center"/>
          </w:tcPr>
          <w:p>
            <w:pPr>
              <w:jc w:val="center"/>
            </w:pPr>
            <w:r>
              <w:rPr>
                <w:b/>
                <w:color w:val="39FF88"/>
                <w:sz w:val="18"/>
              </w:rPr>
              <w:t>Entregables</w:t>
            </w:r>
          </w:p>
        </w:tc>
      </w:tr>
      <w:tr>
        <w:tc>
          <w:tcPr>
            <w:tcW w:type="dxa" w:w="1656"/>
            <w:shd w:fill="F8FAFC"/>
            <w:vAlign w:val="center"/>
          </w:tcPr>
          <w:p>
            <w:r>
              <w:rPr>
                <w:color w:val="1E293B"/>
                <w:sz w:val="17"/>
              </w:rPr>
              <w:t>0 - Diseño</w:t>
            </w:r>
          </w:p>
        </w:tc>
        <w:tc>
          <w:tcPr>
            <w:tcW w:type="dxa" w:w="3024"/>
            <w:shd w:fill="F8FAFC"/>
            <w:vAlign w:val="center"/>
          </w:tcPr>
          <w:p>
            <w:r>
              <w:rPr>
                <w:color w:val="1E293B"/>
                <w:sz w:val="17"/>
              </w:rPr>
              <w:t>Cerrar reglas y prototipo</w:t>
            </w:r>
          </w:p>
        </w:tc>
        <w:tc>
          <w:tcPr>
            <w:tcW w:type="dxa" w:w="4680"/>
            <w:shd w:fill="F8FAFC"/>
            <w:vAlign w:val="center"/>
          </w:tcPr>
          <w:p>
            <w:r>
              <w:rPr>
                <w:color w:val="1E293B"/>
                <w:sz w:val="17"/>
              </w:rPr>
              <w:t>Documento v0.1, UX, arquitectura y simulaciones</w:t>
            </w:r>
          </w:p>
        </w:tc>
      </w:tr>
      <w:tr>
        <w:tc>
          <w:tcPr>
            <w:tcW w:type="dxa" w:w="1656"/>
            <w:vAlign w:val="center"/>
          </w:tcPr>
          <w:p>
            <w:r>
              <w:rPr>
                <w:color w:val="1E293B"/>
                <w:sz w:val="17"/>
              </w:rPr>
              <w:t>1 - Beta cerrada</w:t>
            </w:r>
          </w:p>
        </w:tc>
        <w:tc>
          <w:tcPr>
            <w:tcW w:type="dxa" w:w="3024"/>
            <w:vAlign w:val="center"/>
          </w:tcPr>
          <w:p>
            <w:r>
              <w:rPr>
                <w:color w:val="1E293B"/>
                <w:sz w:val="17"/>
              </w:rPr>
              <w:t>Validar experiencia</w:t>
            </w:r>
          </w:p>
        </w:tc>
        <w:tc>
          <w:tcPr>
            <w:tcW w:type="dxa" w:w="4680"/>
            <w:vAlign w:val="center"/>
          </w:tcPr>
          <w:p>
            <w:r>
              <w:rPr>
                <w:color w:val="1E293B"/>
                <w:sz w:val="17"/>
              </w:rPr>
              <w:t>Faucet, juegos, ledger, admin y ZYXE interno</w:t>
            </w:r>
          </w:p>
        </w:tc>
      </w:tr>
      <w:tr>
        <w:tc>
          <w:tcPr>
            <w:tcW w:type="dxa" w:w="1656"/>
            <w:shd w:fill="F8FAFC"/>
            <w:vAlign w:val="center"/>
          </w:tcPr>
          <w:p>
            <w:r>
              <w:rPr>
                <w:color w:val="1E293B"/>
                <w:sz w:val="17"/>
              </w:rPr>
              <w:t>2 - Monetización</w:t>
            </w:r>
          </w:p>
        </w:tc>
        <w:tc>
          <w:tcPr>
            <w:tcW w:type="dxa" w:w="3024"/>
            <w:shd w:fill="F8FAFC"/>
            <w:vAlign w:val="center"/>
          </w:tcPr>
          <w:p>
            <w:r>
              <w:rPr>
                <w:color w:val="1E293B"/>
                <w:sz w:val="17"/>
              </w:rPr>
              <w:t>Probar unit economics</w:t>
            </w:r>
          </w:p>
        </w:tc>
        <w:tc>
          <w:tcPr>
            <w:tcW w:type="dxa" w:w="4680"/>
            <w:shd w:fill="F8FAFC"/>
            <w:vAlign w:val="center"/>
          </w:tcPr>
          <w:p>
            <w:r>
              <w:rPr>
                <w:color w:val="1E293B"/>
                <w:sz w:val="17"/>
              </w:rPr>
              <w:t>Ads, offerwalls, boosts, premium y referidos</w:t>
            </w:r>
          </w:p>
        </w:tc>
      </w:tr>
      <w:tr>
        <w:tc>
          <w:tcPr>
            <w:tcW w:type="dxa" w:w="1656"/>
            <w:vAlign w:val="center"/>
          </w:tcPr>
          <w:p>
            <w:r>
              <w:rPr>
                <w:color w:val="1E293B"/>
                <w:sz w:val="17"/>
              </w:rPr>
              <w:t>3 - Economía controlada</w:t>
            </w:r>
          </w:p>
        </w:tc>
        <w:tc>
          <w:tcPr>
            <w:tcW w:type="dxa" w:w="3024"/>
            <w:vAlign w:val="center"/>
          </w:tcPr>
          <w:p>
            <w:r>
              <w:rPr>
                <w:color w:val="1E293B"/>
                <w:sz w:val="17"/>
              </w:rPr>
              <w:t>Activar valor externo limitado</w:t>
            </w:r>
          </w:p>
        </w:tc>
        <w:tc>
          <w:tcPr>
            <w:tcW w:type="dxa" w:w="4680"/>
            <w:vAlign w:val="center"/>
          </w:tcPr>
          <w:p>
            <w:r>
              <w:rPr>
                <w:color w:val="1E293B"/>
                <w:sz w:val="17"/>
              </w:rPr>
              <w:t>Tesorería, retiros, Vault y antifraude avanzado</w:t>
            </w:r>
          </w:p>
        </w:tc>
      </w:tr>
      <w:tr>
        <w:tc>
          <w:tcPr>
            <w:tcW w:type="dxa" w:w="1656"/>
            <w:shd w:fill="F8FAFC"/>
            <w:vAlign w:val="center"/>
          </w:tcPr>
          <w:p>
            <w:r>
              <w:rPr>
                <w:color w:val="1E293B"/>
                <w:sz w:val="17"/>
              </w:rPr>
              <w:t>4 - Mercado interno</w:t>
            </w:r>
          </w:p>
        </w:tc>
        <w:tc>
          <w:tcPr>
            <w:tcW w:type="dxa" w:w="3024"/>
            <w:shd w:fill="F8FAFC"/>
            <w:vAlign w:val="center"/>
          </w:tcPr>
          <w:p>
            <w:r>
              <w:rPr>
                <w:color w:val="1E293B"/>
                <w:sz w:val="17"/>
              </w:rPr>
              <w:t>Profundizar utilidad</w:t>
            </w:r>
          </w:p>
        </w:tc>
        <w:tc>
          <w:tcPr>
            <w:tcW w:type="dxa" w:w="4680"/>
            <w:shd w:fill="F8FAFC"/>
            <w:vAlign w:val="center"/>
          </w:tcPr>
          <w:p>
            <w:r>
              <w:rPr>
                <w:color w:val="1E293B"/>
                <w:sz w:val="17"/>
              </w:rPr>
              <w:t>Microtrading, marketplace, temporadas y crews</w:t>
            </w:r>
          </w:p>
        </w:tc>
      </w:tr>
      <w:tr>
        <w:tc>
          <w:tcPr>
            <w:tcW w:type="dxa" w:w="1656"/>
            <w:vAlign w:val="center"/>
          </w:tcPr>
          <w:p>
            <w:r>
              <w:rPr>
                <w:color w:val="1E293B"/>
                <w:sz w:val="17"/>
              </w:rPr>
              <w:t>5 - Token público</w:t>
            </w:r>
          </w:p>
        </w:tc>
        <w:tc>
          <w:tcPr>
            <w:tcW w:type="dxa" w:w="3024"/>
            <w:vAlign w:val="center"/>
          </w:tcPr>
          <w:p>
            <w:r>
              <w:rPr>
                <w:color w:val="1E293B"/>
                <w:sz w:val="17"/>
              </w:rPr>
              <w:t>Tokenizar ZYXE</w:t>
            </w:r>
          </w:p>
        </w:tc>
        <w:tc>
          <w:tcPr>
            <w:tcW w:type="dxa" w:w="4680"/>
            <w:vAlign w:val="center"/>
          </w:tcPr>
          <w:p>
            <w:r>
              <w:rPr>
                <w:color w:val="1E293B"/>
                <w:sz w:val="17"/>
              </w:rPr>
              <w:t>Legal, auditoría, contrato, liquidez y documentación pública</w:t>
            </w:r>
          </w:p>
        </w:tc>
      </w:tr>
      <w:tr>
        <w:tc>
          <w:tcPr>
            <w:tcW w:type="dxa" w:w="1656"/>
            <w:shd w:fill="F8FAFC"/>
            <w:vAlign w:val="center"/>
          </w:tcPr>
          <w:p>
            <w:r>
              <w:rPr>
                <w:color w:val="1E293B"/>
                <w:sz w:val="17"/>
              </w:rPr>
              <w:t>6 - Escala</w:t>
            </w:r>
          </w:p>
        </w:tc>
        <w:tc>
          <w:tcPr>
            <w:tcW w:type="dxa" w:w="3024"/>
            <w:shd w:fill="F8FAFC"/>
            <w:vAlign w:val="center"/>
          </w:tcPr>
          <w:p>
            <w:r>
              <w:rPr>
                <w:color w:val="1E293B"/>
                <w:sz w:val="17"/>
              </w:rPr>
              <w:t>Expansión</w:t>
            </w:r>
          </w:p>
        </w:tc>
        <w:tc>
          <w:tcPr>
            <w:tcW w:type="dxa" w:w="4680"/>
            <w:shd w:fill="F8FAFC"/>
            <w:vAlign w:val="center"/>
          </w:tcPr>
          <w:p>
            <w:r>
              <w:rPr>
                <w:color w:val="1E293B"/>
                <w:sz w:val="17"/>
              </w:rPr>
              <w:t>Apps, alianzas, mercados y posible appchain</w:t>
            </w:r>
          </w:p>
        </w:tc>
      </w:tr>
    </w:tbl>
    <w:p/>
    <w:p>
      <w:pPr>
        <w:pStyle w:val="Heading1"/>
      </w:pPr>
      <w:r>
        <w:t>22. Indicadores y alertas</w:t>
      </w:r>
    </w:p>
    <w:p>
      <w:pPr>
        <w:pStyle w:val="ListBullet"/>
      </w:pPr>
      <w:r>
        <w:t>DAU, MAU y retención D1/D7/D30</w:t>
      </w:r>
    </w:p>
    <w:p>
      <w:pPr>
        <w:pStyle w:val="ListBullet"/>
      </w:pPr>
      <w:r>
        <w:t>Ingreso por usuario y por fuente</w:t>
      </w:r>
    </w:p>
    <w:p>
      <w:pPr>
        <w:pStyle w:val="ListBullet"/>
      </w:pPr>
      <w:r>
        <w:t>Costo de recompensa por usuario</w:t>
      </w:r>
    </w:p>
    <w:p>
      <w:pPr>
        <w:pStyle w:val="ListBullet"/>
      </w:pPr>
      <w:r>
        <w:t>ZYXE emitidos, gastados, quemados y retirados</w:t>
      </w:r>
    </w:p>
    <w:p>
      <w:pPr>
        <w:pStyle w:val="ListBullet"/>
      </w:pPr>
      <w:r>
        <w:t>Inflación neta y velocidad de circulación</w:t>
      </w:r>
    </w:p>
    <w:p>
      <w:pPr>
        <w:pStyle w:val="ListBullet"/>
      </w:pPr>
      <w:r>
        <w:t>Porcentaje de saldo elegible para retiro</w:t>
      </w:r>
    </w:p>
    <w:p>
      <w:pPr>
        <w:pStyle w:val="ListBullet"/>
      </w:pPr>
      <w:r>
        <w:t>Cobertura de tesorería</w:t>
      </w:r>
    </w:p>
    <w:p>
      <w:pPr>
        <w:pStyle w:val="ListBullet"/>
      </w:pPr>
      <w:r>
        <w:t>Concentración por cuenta y top 1%</w:t>
      </w:r>
    </w:p>
    <w:p>
      <w:pPr>
        <w:pStyle w:val="ListBullet"/>
      </w:pPr>
      <w:r>
        <w:t>Tasa de fraude y reversos</w:t>
      </w:r>
    </w:p>
    <w:p>
      <w:pPr>
        <w:pStyle w:val="ListBullet"/>
      </w:pPr>
      <w:r>
        <w:t>Conversión de faucet a actividades monetizables</w:t>
      </w:r>
    </w:p>
    <w:p>
      <w:pPr>
        <w:pStyle w:val="ListBullet"/>
      </w:pPr>
      <w:r>
        <w:t>LTV, CAC y periodo de recuperación</w:t>
      </w:r>
    </w:p>
    <w:p>
      <w:pPr>
        <w:pStyle w:val="ListBullet"/>
      </w:pPr>
      <w:r>
        <w:t>Comisiones de referidos por nivel</w:t>
      </w:r>
    </w:p>
    <w:p>
      <w:pPr>
        <w:pStyle w:val="ListBullet"/>
      </w:pPr>
      <w:r>
        <w:t>Utilización y costo del Vault</w:t>
      </w:r>
    </w:p>
    <w:p>
      <w:pPr>
        <w:pStyle w:val="ListBullet"/>
      </w:pPr>
      <w:r>
        <w:t>Utilidad bruta y neta del propietario</w:t>
      </w:r>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EF4444"/>
              <w:bottom w:val="single" w:sz="2" w:color="DDE3EA"/>
              <w:right w:val="single" w:sz="2" w:color="DDE3EA"/>
            </w:tcBorders>
          </w:tcPr>
          <w:p>
            <w:r>
              <w:rPr>
                <w:b/>
                <w:color w:val="EF4444"/>
                <w:sz w:val="22"/>
              </w:rPr>
              <w:t>Ratio de sostenibilidad</w:t>
              <w:br/>
            </w:r>
            <w:r>
              <w:rPr>
                <w:color w:val="334155"/>
                <w:sz w:val="19"/>
              </w:rPr>
              <w:t>Ingresos netos disponibles / valor económico de recompensas emitidas. Si es menor que 1 durante periodos sostenidos, la economía entrega más valor del que produce.</w:t>
            </w:r>
          </w:p>
        </w:tc>
      </w:tr>
    </w:tbl>
    <w:p/>
    <w:p>
      <w:pPr>
        <w:pStyle w:val="Heading1"/>
      </w:pPr>
      <w:r>
        <w:t>23. Riesgos y controles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080B12"/>
            <w:vAlign w:val="center"/>
          </w:tcPr>
          <w:p>
            <w:pPr>
              <w:jc w:val="center"/>
            </w:pPr>
            <w:r>
              <w:rPr>
                <w:b/>
                <w:color w:val="39FF88"/>
                <w:sz w:val="18"/>
              </w:rPr>
              <w:t>Riesgo</w:t>
            </w:r>
          </w:p>
        </w:tc>
        <w:tc>
          <w:tcPr>
            <w:tcW w:type="dxa" w:w="2304"/>
            <w:shd w:fill="080B12"/>
            <w:vAlign w:val="center"/>
          </w:tcPr>
          <w:p>
            <w:pPr>
              <w:jc w:val="center"/>
            </w:pPr>
            <w:r>
              <w:rPr>
                <w:b/>
                <w:color w:val="39FF88"/>
                <w:sz w:val="18"/>
              </w:rPr>
              <w:t>Impacto</w:t>
            </w:r>
          </w:p>
        </w:tc>
        <w:tc>
          <w:tcPr>
            <w:tcW w:type="dxa" w:w="4680"/>
            <w:shd w:fill="080B12"/>
            <w:vAlign w:val="center"/>
          </w:tcPr>
          <w:p>
            <w:pPr>
              <w:jc w:val="center"/>
            </w:pPr>
            <w:r>
              <w:rPr>
                <w:b/>
                <w:color w:val="39FF88"/>
                <w:sz w:val="18"/>
              </w:rPr>
              <w:t>Control</w:t>
            </w:r>
          </w:p>
        </w:tc>
      </w:tr>
      <w:tr>
        <w:tc>
          <w:tcPr>
            <w:tcW w:type="dxa" w:w="2376"/>
            <w:shd w:fill="F8FAFC"/>
            <w:vAlign w:val="center"/>
          </w:tcPr>
          <w:p>
            <w:r>
              <w:rPr>
                <w:color w:val="1E293B"/>
                <w:sz w:val="17"/>
              </w:rPr>
              <w:t>Inflación de ZYXE</w:t>
            </w:r>
          </w:p>
        </w:tc>
        <w:tc>
          <w:tcPr>
            <w:tcW w:type="dxa" w:w="2304"/>
            <w:shd w:fill="F8FAFC"/>
            <w:vAlign w:val="center"/>
          </w:tcPr>
          <w:p>
            <w:r>
              <w:rPr>
                <w:color w:val="1E293B"/>
                <w:sz w:val="17"/>
              </w:rPr>
              <w:t>Pérdida de utilidad y presión de retiro</w:t>
            </w:r>
          </w:p>
        </w:tc>
        <w:tc>
          <w:tcPr>
            <w:tcW w:type="dxa" w:w="4680"/>
            <w:shd w:fill="F8FAFC"/>
            <w:vAlign w:val="center"/>
          </w:tcPr>
          <w:p>
            <w:r>
              <w:rPr>
                <w:color w:val="1E293B"/>
                <w:sz w:val="17"/>
              </w:rPr>
              <w:t>Pools, sinks, quema y límites</w:t>
            </w:r>
          </w:p>
        </w:tc>
      </w:tr>
      <w:tr>
        <w:tc>
          <w:tcPr>
            <w:tcW w:type="dxa" w:w="2376"/>
            <w:vAlign w:val="center"/>
          </w:tcPr>
          <w:p>
            <w:r>
              <w:rPr>
                <w:color w:val="1E293B"/>
                <w:sz w:val="17"/>
              </w:rPr>
              <w:t>Bots/multicuentas</w:t>
            </w:r>
          </w:p>
        </w:tc>
        <w:tc>
          <w:tcPr>
            <w:tcW w:type="dxa" w:w="2304"/>
            <w:vAlign w:val="center"/>
          </w:tcPr>
          <w:p>
            <w:r>
              <w:rPr>
                <w:color w:val="1E293B"/>
                <w:sz w:val="17"/>
              </w:rPr>
              <w:t>Pérdida directa</w:t>
            </w:r>
          </w:p>
        </w:tc>
        <w:tc>
          <w:tcPr>
            <w:tcW w:type="dxa" w:w="4680"/>
            <w:vAlign w:val="center"/>
          </w:tcPr>
          <w:p>
            <w:r>
              <w:rPr>
                <w:color w:val="1E293B"/>
                <w:sz w:val="17"/>
              </w:rPr>
              <w:t>Risk score, device/IP y holds</w:t>
            </w:r>
          </w:p>
        </w:tc>
      </w:tr>
      <w:tr>
        <w:tc>
          <w:tcPr>
            <w:tcW w:type="dxa" w:w="2376"/>
            <w:shd w:fill="F8FAFC"/>
            <w:vAlign w:val="center"/>
          </w:tcPr>
          <w:p>
            <w:r>
              <w:rPr>
                <w:color w:val="1E293B"/>
                <w:sz w:val="17"/>
              </w:rPr>
              <w:t>Referidos abusivos</w:t>
            </w:r>
          </w:p>
        </w:tc>
        <w:tc>
          <w:tcPr>
            <w:tcW w:type="dxa" w:w="2304"/>
            <w:shd w:fill="F8FAFC"/>
            <w:vAlign w:val="center"/>
          </w:tcPr>
          <w:p>
            <w:r>
              <w:rPr>
                <w:color w:val="1E293B"/>
                <w:sz w:val="17"/>
              </w:rPr>
              <w:t>Costos y riesgo reputacional</w:t>
            </w:r>
          </w:p>
        </w:tc>
        <w:tc>
          <w:tcPr>
            <w:tcW w:type="dxa" w:w="4680"/>
            <w:shd w:fill="F8FAFC"/>
            <w:vAlign w:val="center"/>
          </w:tcPr>
          <w:p>
            <w:r>
              <w:rPr>
                <w:color w:val="1E293B"/>
                <w:sz w:val="17"/>
              </w:rPr>
              <w:t>Actividad monetizable, topes y auditoría</w:t>
            </w:r>
          </w:p>
        </w:tc>
      </w:tr>
      <w:tr>
        <w:tc>
          <w:tcPr>
            <w:tcW w:type="dxa" w:w="2376"/>
            <w:vAlign w:val="center"/>
          </w:tcPr>
          <w:p>
            <w:r>
              <w:rPr>
                <w:color w:val="1E293B"/>
                <w:sz w:val="17"/>
              </w:rPr>
              <w:t>Falta de liquidez</w:t>
            </w:r>
          </w:p>
        </w:tc>
        <w:tc>
          <w:tcPr>
            <w:tcW w:type="dxa" w:w="2304"/>
            <w:vAlign w:val="center"/>
          </w:tcPr>
          <w:p>
            <w:r>
              <w:rPr>
                <w:color w:val="1E293B"/>
                <w:sz w:val="17"/>
              </w:rPr>
              <w:t>Pausa de retiros</w:t>
            </w:r>
          </w:p>
        </w:tc>
        <w:tc>
          <w:tcPr>
            <w:tcW w:type="dxa" w:w="4680"/>
            <w:vAlign w:val="center"/>
          </w:tcPr>
          <w:p>
            <w:r>
              <w:rPr>
                <w:color w:val="1E293B"/>
                <w:sz w:val="17"/>
              </w:rPr>
              <w:t>Cobertura, límites y reservas</w:t>
            </w:r>
          </w:p>
        </w:tc>
      </w:tr>
      <w:tr>
        <w:tc>
          <w:tcPr>
            <w:tcW w:type="dxa" w:w="2376"/>
            <w:shd w:fill="F8FAFC"/>
            <w:vAlign w:val="center"/>
          </w:tcPr>
          <w:p>
            <w:r>
              <w:rPr>
                <w:color w:val="1E293B"/>
                <w:sz w:val="17"/>
              </w:rPr>
              <w:t>Hackeo de wallets</w:t>
            </w:r>
          </w:p>
        </w:tc>
        <w:tc>
          <w:tcPr>
            <w:tcW w:type="dxa" w:w="2304"/>
            <w:shd w:fill="F8FAFC"/>
            <w:vAlign w:val="center"/>
          </w:tcPr>
          <w:p>
            <w:r>
              <w:rPr>
                <w:color w:val="1E293B"/>
                <w:sz w:val="17"/>
              </w:rPr>
              <w:t>Pérdida crítica</w:t>
            </w:r>
          </w:p>
        </w:tc>
        <w:tc>
          <w:tcPr>
            <w:tcW w:type="dxa" w:w="4680"/>
            <w:shd w:fill="F8FAFC"/>
            <w:vAlign w:val="center"/>
          </w:tcPr>
          <w:p>
            <w:r>
              <w:rPr>
                <w:color w:val="1E293B"/>
                <w:sz w:val="17"/>
              </w:rPr>
              <w:t>Hot wallet mínima, multisig y whitelists</w:t>
            </w:r>
          </w:p>
        </w:tc>
      </w:tr>
      <w:tr>
        <w:tc>
          <w:tcPr>
            <w:tcW w:type="dxa" w:w="2376"/>
            <w:vAlign w:val="center"/>
          </w:tcPr>
          <w:p>
            <w:r>
              <w:rPr>
                <w:color w:val="1E293B"/>
                <w:sz w:val="17"/>
              </w:rPr>
              <w:t>Errores de ledger</w:t>
            </w:r>
          </w:p>
        </w:tc>
        <w:tc>
          <w:tcPr>
            <w:tcW w:type="dxa" w:w="2304"/>
            <w:vAlign w:val="center"/>
          </w:tcPr>
          <w:p>
            <w:r>
              <w:rPr>
                <w:color w:val="1E293B"/>
                <w:sz w:val="17"/>
              </w:rPr>
              <w:t>Saldos incorrectos</w:t>
            </w:r>
          </w:p>
        </w:tc>
        <w:tc>
          <w:tcPr>
            <w:tcW w:type="dxa" w:w="4680"/>
            <w:vAlign w:val="center"/>
          </w:tcPr>
          <w:p>
            <w:r>
              <w:rPr>
                <w:color w:val="1E293B"/>
                <w:sz w:val="17"/>
              </w:rPr>
              <w:t>Transacciones, idempotencia y conciliación</w:t>
            </w:r>
          </w:p>
        </w:tc>
      </w:tr>
      <w:tr>
        <w:tc>
          <w:tcPr>
            <w:tcW w:type="dxa" w:w="2376"/>
            <w:shd w:fill="F8FAFC"/>
            <w:vAlign w:val="center"/>
          </w:tcPr>
          <w:p>
            <w:r>
              <w:rPr>
                <w:color w:val="1E293B"/>
                <w:sz w:val="17"/>
              </w:rPr>
              <w:t>Promesas financieras</w:t>
            </w:r>
          </w:p>
        </w:tc>
        <w:tc>
          <w:tcPr>
            <w:tcW w:type="dxa" w:w="2304"/>
            <w:shd w:fill="F8FAFC"/>
            <w:vAlign w:val="center"/>
          </w:tcPr>
          <w:p>
            <w:r>
              <w:rPr>
                <w:color w:val="1E293B"/>
                <w:sz w:val="17"/>
              </w:rPr>
              <w:t>Riesgo legal</w:t>
            </w:r>
          </w:p>
        </w:tc>
        <w:tc>
          <w:tcPr>
            <w:tcW w:type="dxa" w:w="4680"/>
            <w:shd w:fill="F8FAFC"/>
            <w:vAlign w:val="center"/>
          </w:tcPr>
          <w:p>
            <w:r>
              <w:rPr>
                <w:color w:val="1E293B"/>
                <w:sz w:val="17"/>
              </w:rPr>
              <w:t>Marketing controlado y revisión jurídica</w:t>
            </w:r>
          </w:p>
        </w:tc>
      </w:tr>
      <w:tr>
        <w:tc>
          <w:tcPr>
            <w:tcW w:type="dxa" w:w="2376"/>
            <w:vAlign w:val="center"/>
          </w:tcPr>
          <w:p>
            <w:r>
              <w:rPr>
                <w:color w:val="1E293B"/>
                <w:sz w:val="17"/>
              </w:rPr>
              <w:t>Manipulación de mercado</w:t>
            </w:r>
          </w:p>
        </w:tc>
        <w:tc>
          <w:tcPr>
            <w:tcW w:type="dxa" w:w="2304"/>
            <w:vAlign w:val="center"/>
          </w:tcPr>
          <w:p>
            <w:r>
              <w:rPr>
                <w:color w:val="1E293B"/>
                <w:sz w:val="17"/>
              </w:rPr>
              <w:t>Pérdidas y desconfianza</w:t>
            </w:r>
          </w:p>
        </w:tc>
        <w:tc>
          <w:tcPr>
            <w:tcW w:type="dxa" w:w="4680"/>
            <w:vAlign w:val="center"/>
          </w:tcPr>
          <w:p>
            <w:r>
              <w:rPr>
                <w:color w:val="1E293B"/>
                <w:sz w:val="17"/>
              </w:rPr>
              <w:t>Mercado simulado, límites y monitoreo</w:t>
            </w:r>
          </w:p>
        </w:tc>
      </w:tr>
      <w:tr>
        <w:tc>
          <w:tcPr>
            <w:tcW w:type="dxa" w:w="2376"/>
            <w:shd w:fill="F8FAFC"/>
            <w:vAlign w:val="center"/>
          </w:tcPr>
          <w:p>
            <w:r>
              <w:rPr>
                <w:color w:val="1E293B"/>
                <w:sz w:val="17"/>
              </w:rPr>
              <w:t>Dependencia de proveedores</w:t>
            </w:r>
          </w:p>
        </w:tc>
        <w:tc>
          <w:tcPr>
            <w:tcW w:type="dxa" w:w="2304"/>
            <w:shd w:fill="F8FAFC"/>
            <w:vAlign w:val="center"/>
          </w:tcPr>
          <w:p>
            <w:r>
              <w:rPr>
                <w:color w:val="1E293B"/>
                <w:sz w:val="17"/>
              </w:rPr>
              <w:t>Interrupciones</w:t>
            </w:r>
          </w:p>
        </w:tc>
        <w:tc>
          <w:tcPr>
            <w:tcW w:type="dxa" w:w="4680"/>
            <w:shd w:fill="F8FAFC"/>
            <w:vAlign w:val="center"/>
          </w:tcPr>
          <w:p>
            <w:r>
              <w:rPr>
                <w:color w:val="1E293B"/>
                <w:sz w:val="17"/>
              </w:rPr>
              <w:t>Múltiples proveedores y fallback</w:t>
            </w:r>
          </w:p>
        </w:tc>
      </w:tr>
      <w:tr>
        <w:tc>
          <w:tcPr>
            <w:tcW w:type="dxa" w:w="2376"/>
            <w:vAlign w:val="center"/>
          </w:tcPr>
          <w:p>
            <w:r>
              <w:rPr>
                <w:color w:val="1E293B"/>
                <w:sz w:val="17"/>
              </w:rPr>
              <w:t>Utilidad insuficiente</w:t>
            </w:r>
          </w:p>
        </w:tc>
        <w:tc>
          <w:tcPr>
            <w:tcW w:type="dxa" w:w="2304"/>
            <w:vAlign w:val="center"/>
          </w:tcPr>
          <w:p>
            <w:r>
              <w:rPr>
                <w:color w:val="1E293B"/>
                <w:sz w:val="17"/>
              </w:rPr>
              <w:t>Abandono del producto</w:t>
            </w:r>
          </w:p>
        </w:tc>
        <w:tc>
          <w:tcPr>
            <w:tcW w:type="dxa" w:w="4680"/>
            <w:vAlign w:val="center"/>
          </w:tcPr>
          <w:p>
            <w:r>
              <w:rPr>
                <w:color w:val="1E293B"/>
                <w:sz w:val="17"/>
              </w:rPr>
              <w:t>Más sinks, eventos y contenido</w:t>
            </w:r>
          </w:p>
        </w:tc>
      </w:tr>
    </w:tbl>
    <w:p/>
    <w:p>
      <w:pPr>
        <w:pStyle w:val="Heading1"/>
      </w:pPr>
      <w:r>
        <w:t>24. Marco de cumplimiento preliminar</w:t>
      </w:r>
    </w:p>
    <w:p>
      <w:r>
        <w:t>Esta sección no sustituye asesoría jurídica. Debe revisarse antes de habilitar depósitos, custodia, transferencias, retiros, trading real, token público o campañas de ingresos por referidos.</w:t>
      </w:r>
    </w:p>
    <w:p>
      <w:pPr>
        <w:pStyle w:val="ListBullet"/>
      </w:pPr>
      <w:r>
        <w:t>En Colombia, la Resolución UIAF 314 de 2021 impone obligaciones de reporte a determinadas personas y empresas que proveen servicios de activos virtuales.</w:t>
      </w:r>
    </w:p>
    <w:p>
      <w:pPr>
        <w:pStyle w:val="ListBullet"/>
      </w:pPr>
      <w:r>
        <w:t>La UIAF y los estándares FATF consideran actividades como intercambio, transferencia y custodia dentro del ámbito de proveedores de servicios de activos virtuales, según condiciones aplicables.</w:t>
      </w:r>
    </w:p>
    <w:p>
      <w:pPr>
        <w:pStyle w:val="ListBullet"/>
      </w:pPr>
      <w:r>
        <w:t>La Superintendencia Financiera advierte que los criptoactivos no son moneda de curso legal en Colombia y ha publicado alertas sobre captación no autorizada y ofertas fraudulentas.</w:t>
      </w:r>
    </w:p>
    <w:p>
      <w:pPr>
        <w:pStyle w:val="ListBullet"/>
      </w:pPr>
      <w:r>
        <w:t>Los sistemas multinivel deben evitar que la compensación dependa principalmente del reclutamiento; la FTC destaca el foco en ventas/uso real y advierte sobre promesas engañosas de ingresos.</w:t>
      </w:r>
    </w:p>
    <w:p>
      <w:pPr>
        <w:pStyle w:val="ListBullet"/>
      </w:pPr>
      <w:r>
        <w:t>Si los juegos incorporan azar, entradas pagas o premios convertibles, debe revisarse la regulación de juegos de suerte y azar en los territorios objetivo.</w:t>
      </w:r>
    </w:p>
    <w:p>
      <w:pPr>
        <w:pStyle w:val="ListBullet"/>
      </w:pPr>
      <w:r>
        <w:t>La privacidad, protección de datos, menores de edad, publicidad, impuestos y derechos del consumidor deben tratarse como líneas de trabajo separadas.</w:t>
      </w:r>
    </w:p>
    <w:tbl>
      <w:tblPr>
        <w:tblW w:type="auto" w:w="0"/>
        <w:jc w:val="center"/>
        <w:tblLayout w:type="fixed"/>
        <w:tblLook w:firstColumn="1" w:firstRow="1" w:lastColumn="0" w:lastRow="0" w:noHBand="0" w:noVBand="1" w:val="04A0"/>
      </w:tblPr>
      <w:tblGrid>
        <w:gridCol w:w="9216"/>
      </w:tblGrid>
      <w:tr>
        <w:tc>
          <w:tcPr>
            <w:tcW w:type="dxa" w:w="10080"/>
            <w:shd w:fill="F7FAFC"/>
            <w:tcBorders>
              <w:top w:val="single" w:sz="2" w:color="DDE3EA"/>
              <w:left w:val="single" w:sz="18" w:color="EF4444"/>
              <w:bottom w:val="single" w:sz="2" w:color="DDE3EA"/>
              <w:right w:val="single" w:sz="2" w:color="DDE3EA"/>
            </w:tcBorders>
          </w:tcPr>
          <w:p>
            <w:r>
              <w:rPr>
                <w:b/>
                <w:color w:val="EF4444"/>
                <w:sz w:val="22"/>
              </w:rPr>
              <w:t>Gate legal obligatorio</w:t>
              <w:br/>
            </w:r>
            <w:r>
              <w:rPr>
                <w:color w:val="334155"/>
                <w:sz w:val="19"/>
              </w:rPr>
              <w:t>No habilitar token público, Vault con valor externo, trading real, depósitos ni cuatro niveles con recompensas monetarias sin concepto jurídico escrito y análisis de jurisdicciones.</w:t>
            </w:r>
          </w:p>
        </w:tc>
      </w:tr>
    </w:tbl>
    <w:p/>
    <w:p>
      <w:pPr>
        <w:pStyle w:val="Heading1"/>
      </w:pPr>
      <w:r>
        <w:t>25. Parámetros abiertos y decisiones pendientes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168"/>
            <w:shd w:fill="080B12"/>
            <w:vAlign w:val="center"/>
          </w:tcPr>
          <w:p>
            <w:pPr>
              <w:jc w:val="center"/>
            </w:pPr>
            <w:r>
              <w:rPr>
                <w:b/>
                <w:color w:val="39FF88"/>
                <w:sz w:val="18"/>
              </w:rPr>
              <w:t>Parámetro</w:t>
            </w:r>
          </w:p>
        </w:tc>
        <w:tc>
          <w:tcPr>
            <w:tcW w:type="dxa" w:w="2160"/>
            <w:shd w:fill="080B12"/>
            <w:vAlign w:val="center"/>
          </w:tcPr>
          <w:p>
            <w:pPr>
              <w:jc w:val="center"/>
            </w:pPr>
            <w:r>
              <w:rPr>
                <w:b/>
                <w:color w:val="39FF88"/>
                <w:sz w:val="18"/>
              </w:rPr>
              <w:t>Estado</w:t>
            </w:r>
          </w:p>
        </w:tc>
        <w:tc>
          <w:tcPr>
            <w:tcW w:type="dxa" w:w="4032"/>
            <w:shd w:fill="080B12"/>
            <w:vAlign w:val="center"/>
          </w:tcPr>
          <w:p>
            <w:pPr>
              <w:jc w:val="center"/>
            </w:pPr>
            <w:r>
              <w:rPr>
                <w:b/>
                <w:color w:val="39FF88"/>
                <w:sz w:val="18"/>
              </w:rPr>
              <w:t>Cómo decidir</w:t>
            </w:r>
          </w:p>
        </w:tc>
      </w:tr>
      <w:tr>
        <w:tc>
          <w:tcPr>
            <w:tcW w:type="dxa" w:w="3168"/>
            <w:shd w:fill="F8FAFC"/>
            <w:vAlign w:val="center"/>
          </w:tcPr>
          <w:p>
            <w:r>
              <w:rPr>
                <w:color w:val="1E293B"/>
                <w:sz w:val="17"/>
              </w:rPr>
              <w:t>Suministro final</w:t>
            </w:r>
          </w:p>
        </w:tc>
        <w:tc>
          <w:tcPr>
            <w:tcW w:type="dxa" w:w="2160"/>
            <w:shd w:fill="F8FAFC"/>
            <w:vAlign w:val="center"/>
          </w:tcPr>
          <w:p>
            <w:r>
              <w:rPr>
                <w:color w:val="1E293B"/>
                <w:sz w:val="17"/>
              </w:rPr>
              <w:t>Hipótesis: 1.000 millones</w:t>
            </w:r>
          </w:p>
        </w:tc>
        <w:tc>
          <w:tcPr>
            <w:tcW w:type="dxa" w:w="4032"/>
            <w:shd w:fill="F8FAFC"/>
            <w:vAlign w:val="center"/>
          </w:tcPr>
          <w:p>
            <w:r>
              <w:rPr>
                <w:color w:val="1E293B"/>
                <w:sz w:val="17"/>
              </w:rPr>
              <w:t>Simulación y estrategia de tokenización</w:t>
            </w:r>
          </w:p>
        </w:tc>
      </w:tr>
      <w:tr>
        <w:tc>
          <w:tcPr>
            <w:tcW w:type="dxa" w:w="3168"/>
            <w:vAlign w:val="center"/>
          </w:tcPr>
          <w:p>
            <w:r>
              <w:rPr>
                <w:color w:val="1E293B"/>
                <w:sz w:val="17"/>
              </w:rPr>
              <w:t>Red blockchain</w:t>
            </w:r>
          </w:p>
        </w:tc>
        <w:tc>
          <w:tcPr>
            <w:tcW w:type="dxa" w:w="2160"/>
            <w:vAlign w:val="center"/>
          </w:tcPr>
          <w:p>
            <w:r>
              <w:rPr>
                <w:color w:val="1E293B"/>
                <w:sz w:val="17"/>
              </w:rPr>
              <w:t>Pendiente</w:t>
            </w:r>
          </w:p>
        </w:tc>
        <w:tc>
          <w:tcPr>
            <w:tcW w:type="dxa" w:w="4032"/>
            <w:vAlign w:val="center"/>
          </w:tcPr>
          <w:p>
            <w:r>
              <w:rPr>
                <w:color w:val="1E293B"/>
                <w:sz w:val="17"/>
              </w:rPr>
              <w:t>Costos, seguridad, wallets y cumplimiento</w:t>
            </w:r>
          </w:p>
        </w:tc>
      </w:tr>
      <w:tr>
        <w:tc>
          <w:tcPr>
            <w:tcW w:type="dxa" w:w="3168"/>
            <w:shd w:fill="F8FAFC"/>
            <w:vAlign w:val="center"/>
          </w:tcPr>
          <w:p>
            <w:r>
              <w:rPr>
                <w:color w:val="1E293B"/>
                <w:sz w:val="17"/>
              </w:rPr>
              <w:t>Valor de referencia</w:t>
            </w:r>
          </w:p>
        </w:tc>
        <w:tc>
          <w:tcPr>
            <w:tcW w:type="dxa" w:w="2160"/>
            <w:shd w:fill="F8FAFC"/>
            <w:vAlign w:val="center"/>
          </w:tcPr>
          <w:p>
            <w:r>
              <w:rPr>
                <w:color w:val="1E293B"/>
                <w:sz w:val="17"/>
              </w:rPr>
              <w:t>Pendiente</w:t>
            </w:r>
          </w:p>
        </w:tc>
        <w:tc>
          <w:tcPr>
            <w:tcW w:type="dxa" w:w="4032"/>
            <w:shd w:fill="F8FAFC"/>
            <w:vAlign w:val="center"/>
          </w:tcPr>
          <w:p>
            <w:r>
              <w:rPr>
                <w:color w:val="1E293B"/>
                <w:sz w:val="17"/>
              </w:rPr>
              <w:t>Reservas, demanda y fase</w:t>
            </w:r>
          </w:p>
        </w:tc>
      </w:tr>
      <w:tr>
        <w:tc>
          <w:tcPr>
            <w:tcW w:type="dxa" w:w="3168"/>
            <w:vAlign w:val="center"/>
          </w:tcPr>
          <w:p>
            <w:r>
              <w:rPr>
                <w:color w:val="1E293B"/>
                <w:sz w:val="17"/>
              </w:rPr>
              <w:t>Emisión diaria</w:t>
            </w:r>
          </w:p>
        </w:tc>
        <w:tc>
          <w:tcPr>
            <w:tcW w:type="dxa" w:w="2160"/>
            <w:vAlign w:val="center"/>
          </w:tcPr>
          <w:p>
            <w:r>
              <w:rPr>
                <w:color w:val="1E293B"/>
                <w:sz w:val="17"/>
              </w:rPr>
              <w:t>Dinámica</w:t>
            </w:r>
          </w:p>
        </w:tc>
        <w:tc>
          <w:tcPr>
            <w:tcW w:type="dxa" w:w="4032"/>
            <w:vAlign w:val="center"/>
          </w:tcPr>
          <w:p>
            <w:r>
              <w:rPr>
                <w:color w:val="1E293B"/>
                <w:sz w:val="17"/>
              </w:rPr>
              <w:t>Ingresos, inflación y DAU</w:t>
            </w:r>
          </w:p>
        </w:tc>
      </w:tr>
      <w:tr>
        <w:tc>
          <w:tcPr>
            <w:tcW w:type="dxa" w:w="3168"/>
            <w:shd w:fill="F8FAFC"/>
            <w:vAlign w:val="center"/>
          </w:tcPr>
          <w:p>
            <w:r>
              <w:rPr>
                <w:color w:val="1E293B"/>
                <w:sz w:val="17"/>
              </w:rPr>
              <w:t>Pool Vault</w:t>
            </w:r>
          </w:p>
        </w:tc>
        <w:tc>
          <w:tcPr>
            <w:tcW w:type="dxa" w:w="2160"/>
            <w:shd w:fill="F8FAFC"/>
            <w:vAlign w:val="center"/>
          </w:tcPr>
          <w:p>
            <w:r>
              <w:rPr>
                <w:color w:val="1E293B"/>
                <w:sz w:val="17"/>
              </w:rPr>
              <w:t>Pendiente</w:t>
            </w:r>
          </w:p>
        </w:tc>
        <w:tc>
          <w:tcPr>
            <w:tcW w:type="dxa" w:w="4032"/>
            <w:shd w:fill="F8FAFC"/>
            <w:vAlign w:val="center"/>
          </w:tcPr>
          <w:p>
            <w:r>
              <w:rPr>
                <w:color w:val="1E293B"/>
                <w:sz w:val="17"/>
              </w:rPr>
              <w:t>Presupuesto y pruebas</w:t>
            </w:r>
          </w:p>
        </w:tc>
      </w:tr>
      <w:tr>
        <w:tc>
          <w:tcPr>
            <w:tcW w:type="dxa" w:w="3168"/>
            <w:vAlign w:val="center"/>
          </w:tcPr>
          <w:p>
            <w:r>
              <w:rPr>
                <w:color w:val="1E293B"/>
                <w:sz w:val="17"/>
              </w:rPr>
              <w:t>Retiros</w:t>
            </w:r>
          </w:p>
        </w:tc>
        <w:tc>
          <w:tcPr>
            <w:tcW w:type="dxa" w:w="2160"/>
            <w:vAlign w:val="center"/>
          </w:tcPr>
          <w:p>
            <w:r>
              <w:rPr>
                <w:color w:val="1E293B"/>
                <w:sz w:val="17"/>
              </w:rPr>
              <w:t>Deshabilitados</w:t>
            </w:r>
          </w:p>
        </w:tc>
        <w:tc>
          <w:tcPr>
            <w:tcW w:type="dxa" w:w="4032"/>
            <w:vAlign w:val="center"/>
          </w:tcPr>
          <w:p>
            <w:r>
              <w:rPr>
                <w:color w:val="1E293B"/>
                <w:sz w:val="17"/>
              </w:rPr>
              <w:t>Tesorería y antifraude</w:t>
            </w:r>
          </w:p>
        </w:tc>
      </w:tr>
      <w:tr>
        <w:tc>
          <w:tcPr>
            <w:tcW w:type="dxa" w:w="3168"/>
            <w:shd w:fill="F8FAFC"/>
            <w:vAlign w:val="center"/>
          </w:tcPr>
          <w:p>
            <w:r>
              <w:rPr>
                <w:color w:val="1E293B"/>
                <w:sz w:val="17"/>
              </w:rPr>
              <w:t>Cripto inicial de retiro</w:t>
            </w:r>
          </w:p>
        </w:tc>
        <w:tc>
          <w:tcPr>
            <w:tcW w:type="dxa" w:w="2160"/>
            <w:shd w:fill="F8FAFC"/>
            <w:vAlign w:val="center"/>
          </w:tcPr>
          <w:p>
            <w:r>
              <w:rPr>
                <w:color w:val="1E293B"/>
                <w:sz w:val="17"/>
              </w:rPr>
              <w:t>Pendiente</w:t>
            </w:r>
          </w:p>
        </w:tc>
        <w:tc>
          <w:tcPr>
            <w:tcW w:type="dxa" w:w="4032"/>
            <w:shd w:fill="F8FAFC"/>
            <w:vAlign w:val="center"/>
          </w:tcPr>
          <w:p>
            <w:r>
              <w:rPr>
                <w:color w:val="1E293B"/>
                <w:sz w:val="17"/>
              </w:rPr>
              <w:t>Costos, soporte y liquidez</w:t>
            </w:r>
          </w:p>
        </w:tc>
      </w:tr>
      <w:tr>
        <w:tc>
          <w:tcPr>
            <w:tcW w:type="dxa" w:w="3168"/>
            <w:vAlign w:val="center"/>
          </w:tcPr>
          <w:p>
            <w:r>
              <w:rPr>
                <w:color w:val="1E293B"/>
                <w:sz w:val="17"/>
              </w:rPr>
              <w:t>Porcentajes de referidos</w:t>
            </w:r>
          </w:p>
        </w:tc>
        <w:tc>
          <w:tcPr>
            <w:tcW w:type="dxa" w:w="2160"/>
            <w:vAlign w:val="center"/>
          </w:tcPr>
          <w:p>
            <w:r>
              <w:rPr>
                <w:color w:val="1E293B"/>
                <w:sz w:val="17"/>
              </w:rPr>
              <w:t>Propuesta 5/2/1/0,5</w:t>
            </w:r>
          </w:p>
        </w:tc>
        <w:tc>
          <w:tcPr>
            <w:tcW w:type="dxa" w:w="4032"/>
            <w:vAlign w:val="center"/>
          </w:tcPr>
          <w:p>
            <w:r>
              <w:rPr>
                <w:color w:val="1E293B"/>
                <w:sz w:val="17"/>
              </w:rPr>
              <w:t>Unit economics y revisión legal</w:t>
            </w:r>
          </w:p>
        </w:tc>
      </w:tr>
      <w:tr>
        <w:tc>
          <w:tcPr>
            <w:tcW w:type="dxa" w:w="3168"/>
            <w:shd w:fill="F8FAFC"/>
            <w:vAlign w:val="center"/>
          </w:tcPr>
          <w:p>
            <w:r>
              <w:rPr>
                <w:color w:val="1E293B"/>
                <w:sz w:val="17"/>
              </w:rPr>
              <w:t>Quema/reciclaje</w:t>
            </w:r>
          </w:p>
        </w:tc>
        <w:tc>
          <w:tcPr>
            <w:tcW w:type="dxa" w:w="2160"/>
            <w:shd w:fill="F8FAFC"/>
            <w:vAlign w:val="center"/>
          </w:tcPr>
          <w:p>
            <w:r>
              <w:rPr>
                <w:color w:val="1E293B"/>
                <w:sz w:val="17"/>
              </w:rPr>
              <w:t>Propuesta 40/40/20</w:t>
            </w:r>
          </w:p>
        </w:tc>
        <w:tc>
          <w:tcPr>
            <w:tcW w:type="dxa" w:w="4032"/>
            <w:shd w:fill="F8FAFC"/>
            <w:vAlign w:val="center"/>
          </w:tcPr>
          <w:p>
            <w:r>
              <w:rPr>
                <w:color w:val="1E293B"/>
                <w:sz w:val="17"/>
              </w:rPr>
              <w:t>Simulaciones</w:t>
            </w:r>
          </w:p>
        </w:tc>
      </w:tr>
      <w:tr>
        <w:tc>
          <w:tcPr>
            <w:tcW w:type="dxa" w:w="3168"/>
            <w:vAlign w:val="center"/>
          </w:tcPr>
          <w:p>
            <w:r>
              <w:rPr>
                <w:color w:val="1E293B"/>
                <w:sz w:val="17"/>
              </w:rPr>
              <w:t>Precios de boosts</w:t>
            </w:r>
          </w:p>
        </w:tc>
        <w:tc>
          <w:tcPr>
            <w:tcW w:type="dxa" w:w="2160"/>
            <w:vAlign w:val="center"/>
          </w:tcPr>
          <w:p>
            <w:r>
              <w:rPr>
                <w:color w:val="1E293B"/>
                <w:sz w:val="17"/>
              </w:rPr>
              <w:t>Pendiente</w:t>
            </w:r>
          </w:p>
        </w:tc>
        <w:tc>
          <w:tcPr>
            <w:tcW w:type="dxa" w:w="4032"/>
            <w:vAlign w:val="center"/>
          </w:tcPr>
          <w:p>
            <w:r>
              <w:rPr>
                <w:color w:val="1E293B"/>
                <w:sz w:val="17"/>
              </w:rPr>
              <w:t>Elasticidad y retención</w:t>
            </w:r>
          </w:p>
        </w:tc>
      </w:tr>
      <w:tr>
        <w:tc>
          <w:tcPr>
            <w:tcW w:type="dxa" w:w="3168"/>
            <w:shd w:fill="F8FAFC"/>
            <w:vAlign w:val="center"/>
          </w:tcPr>
          <w:p>
            <w:r>
              <w:rPr>
                <w:color w:val="1E293B"/>
                <w:sz w:val="17"/>
              </w:rPr>
              <w:t>Monetización</w:t>
            </w:r>
          </w:p>
        </w:tc>
        <w:tc>
          <w:tcPr>
            <w:tcW w:type="dxa" w:w="2160"/>
            <w:shd w:fill="F8FAFC"/>
            <w:vAlign w:val="center"/>
          </w:tcPr>
          <w:p>
            <w:r>
              <w:rPr>
                <w:color w:val="1E293B"/>
                <w:sz w:val="17"/>
              </w:rPr>
              <w:t>Por integrar</w:t>
            </w:r>
          </w:p>
        </w:tc>
        <w:tc>
          <w:tcPr>
            <w:tcW w:type="dxa" w:w="4032"/>
            <w:shd w:fill="F8FAFC"/>
            <w:vAlign w:val="center"/>
          </w:tcPr>
          <w:p>
            <w:r>
              <w:rPr>
                <w:color w:val="1E293B"/>
                <w:sz w:val="17"/>
              </w:rPr>
              <w:t>Acuerdos con proveedores</w:t>
            </w:r>
          </w:p>
        </w:tc>
      </w:tr>
    </w:tbl>
    <w:p/>
    <w:p>
      <w:pPr>
        <w:pStyle w:val="Heading1"/>
      </w:pPr>
      <w:r>
        <w:t>26. Anexos y fuentes de referencia</w:t>
      </w:r>
    </w:p>
    <w:p>
      <w:pPr>
        <w:pStyle w:val="Heading2"/>
      </w:pPr>
      <w:r>
        <w:t>26.1 Estructura mínima de base de datos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080B12"/>
            <w:vAlign w:val="center"/>
          </w:tcPr>
          <w:p>
            <w:pPr>
              <w:jc w:val="center"/>
            </w:pPr>
            <w:r>
              <w:rPr>
                <w:b/>
                <w:color w:val="39FF88"/>
                <w:sz w:val="18"/>
              </w:rPr>
              <w:t>Entidad</w:t>
            </w:r>
          </w:p>
        </w:tc>
        <w:tc>
          <w:tcPr>
            <w:tcW w:type="dxa" w:w="6480"/>
            <w:shd w:fill="080B12"/>
            <w:vAlign w:val="center"/>
          </w:tcPr>
          <w:p>
            <w:pPr>
              <w:jc w:val="center"/>
            </w:pPr>
            <w:r>
              <w:rPr>
                <w:b/>
                <w:color w:val="39FF88"/>
                <w:sz w:val="18"/>
              </w:rPr>
              <w:t>Campos/relaciones principales</w:t>
            </w:r>
          </w:p>
        </w:tc>
      </w:tr>
      <w:tr>
        <w:tc>
          <w:tcPr>
            <w:tcW w:type="dxa" w:w="2880"/>
            <w:shd w:fill="F8FAFC"/>
            <w:vAlign w:val="center"/>
          </w:tcPr>
          <w:p>
            <w:r>
              <w:rPr>
                <w:color w:val="1E293B"/>
                <w:sz w:val="17"/>
              </w:rPr>
              <w:t>users</w:t>
            </w:r>
          </w:p>
        </w:tc>
        <w:tc>
          <w:tcPr>
            <w:tcW w:type="dxa" w:w="6480"/>
            <w:shd w:fill="F8FAFC"/>
            <w:vAlign w:val="center"/>
          </w:tcPr>
          <w:p>
            <w:r>
              <w:rPr>
                <w:color w:val="1E293B"/>
                <w:sz w:val="17"/>
              </w:rPr>
              <w:t>Identidad, estado, riesgo, sponsor, nivel y configuración</w:t>
            </w:r>
          </w:p>
        </w:tc>
      </w:tr>
      <w:tr>
        <w:tc>
          <w:tcPr>
            <w:tcW w:type="dxa" w:w="2880"/>
            <w:vAlign w:val="center"/>
          </w:tcPr>
          <w:p>
            <w:r>
              <w:rPr>
                <w:color w:val="1E293B"/>
                <w:sz w:val="17"/>
              </w:rPr>
              <w:t>wallets</w:t>
            </w:r>
          </w:p>
        </w:tc>
        <w:tc>
          <w:tcPr>
            <w:tcW w:type="dxa" w:w="6480"/>
            <w:vAlign w:val="center"/>
          </w:tcPr>
          <w:p>
            <w:r>
              <w:rPr>
                <w:color w:val="1E293B"/>
                <w:sz w:val="17"/>
              </w:rPr>
              <w:t>Usuario, activo, tipo de saldo y estado</w:t>
            </w:r>
          </w:p>
        </w:tc>
      </w:tr>
      <w:tr>
        <w:tc>
          <w:tcPr>
            <w:tcW w:type="dxa" w:w="2880"/>
            <w:shd w:fill="F8FAFC"/>
            <w:vAlign w:val="center"/>
          </w:tcPr>
          <w:p>
            <w:r>
              <w:rPr>
                <w:color w:val="1E293B"/>
                <w:sz w:val="17"/>
              </w:rPr>
              <w:t>ledger_entries</w:t>
            </w:r>
          </w:p>
        </w:tc>
        <w:tc>
          <w:tcPr>
            <w:tcW w:type="dxa" w:w="6480"/>
            <w:shd w:fill="F8FAFC"/>
            <w:vAlign w:val="center"/>
          </w:tcPr>
          <w:p>
            <w:r>
              <w:rPr>
                <w:color w:val="1E293B"/>
                <w:sz w:val="17"/>
              </w:rPr>
              <w:t>Débito/crédito, referencia, status y metadata</w:t>
            </w:r>
          </w:p>
        </w:tc>
      </w:tr>
      <w:tr>
        <w:tc>
          <w:tcPr>
            <w:tcW w:type="dxa" w:w="2880"/>
            <w:vAlign w:val="center"/>
          </w:tcPr>
          <w:p>
            <w:r>
              <w:rPr>
                <w:color w:val="1E293B"/>
                <w:sz w:val="17"/>
              </w:rPr>
              <w:t>faucet_claims</w:t>
            </w:r>
          </w:p>
        </w:tc>
        <w:tc>
          <w:tcPr>
            <w:tcW w:type="dxa" w:w="6480"/>
            <w:vAlign w:val="center"/>
          </w:tcPr>
          <w:p>
            <w:r>
              <w:rPr>
                <w:color w:val="1E293B"/>
                <w:sz w:val="17"/>
              </w:rPr>
              <w:t>Cooldown, recompensa, IP, device y regla</w:t>
            </w:r>
          </w:p>
        </w:tc>
      </w:tr>
      <w:tr>
        <w:tc>
          <w:tcPr>
            <w:tcW w:type="dxa" w:w="2880"/>
            <w:shd w:fill="F8FAFC"/>
            <w:vAlign w:val="center"/>
          </w:tcPr>
          <w:p>
            <w:r>
              <w:rPr>
                <w:color w:val="1E293B"/>
                <w:sz w:val="17"/>
              </w:rPr>
              <w:t>game_sessions</w:t>
            </w:r>
          </w:p>
        </w:tc>
        <w:tc>
          <w:tcPr>
            <w:tcW w:type="dxa" w:w="6480"/>
            <w:shd w:fill="F8FAFC"/>
            <w:vAlign w:val="center"/>
          </w:tcPr>
          <w:p>
            <w:r>
              <w:rPr>
                <w:color w:val="1E293B"/>
                <w:sz w:val="17"/>
              </w:rPr>
              <w:t>Inicio, resultado, evidencia y reward</w:t>
            </w:r>
          </w:p>
        </w:tc>
      </w:tr>
      <w:tr>
        <w:tc>
          <w:tcPr>
            <w:tcW w:type="dxa" w:w="2880"/>
            <w:vAlign w:val="center"/>
          </w:tcPr>
          <w:p>
            <w:r>
              <w:rPr>
                <w:color w:val="1E293B"/>
                <w:sz w:val="17"/>
              </w:rPr>
              <w:t>miners</w:t>
            </w:r>
          </w:p>
        </w:tc>
        <w:tc>
          <w:tcPr>
            <w:tcW w:type="dxa" w:w="6480"/>
            <w:vAlign w:val="center"/>
          </w:tcPr>
          <w:p>
            <w:r>
              <w:rPr>
                <w:color w:val="1E293B"/>
                <w:sz w:val="17"/>
              </w:rPr>
              <w:t>Tipo, hashpower, energía, desgaste y propietario</w:t>
            </w:r>
          </w:p>
        </w:tc>
      </w:tr>
      <w:tr>
        <w:tc>
          <w:tcPr>
            <w:tcW w:type="dxa" w:w="2880"/>
            <w:shd w:fill="F8FAFC"/>
            <w:vAlign w:val="center"/>
          </w:tcPr>
          <w:p>
            <w:r>
              <w:rPr>
                <w:color w:val="1E293B"/>
                <w:sz w:val="17"/>
              </w:rPr>
              <w:t>referral_relations</w:t>
            </w:r>
          </w:p>
        </w:tc>
        <w:tc>
          <w:tcPr>
            <w:tcW w:type="dxa" w:w="6480"/>
            <w:shd w:fill="F8FAFC"/>
            <w:vAlign w:val="center"/>
          </w:tcPr>
          <w:p>
            <w:r>
              <w:rPr>
                <w:color w:val="1E293B"/>
                <w:sz w:val="17"/>
              </w:rPr>
              <w:t>Ancestros 1-4, estado y fechas</w:t>
            </w:r>
          </w:p>
        </w:tc>
      </w:tr>
      <w:tr>
        <w:tc>
          <w:tcPr>
            <w:tcW w:type="dxa" w:w="2880"/>
            <w:vAlign w:val="center"/>
          </w:tcPr>
          <w:p>
            <w:r>
              <w:rPr>
                <w:color w:val="1E293B"/>
                <w:sz w:val="17"/>
              </w:rPr>
              <w:t>referral_commissions</w:t>
            </w:r>
          </w:p>
        </w:tc>
        <w:tc>
          <w:tcPr>
            <w:tcW w:type="dxa" w:w="6480"/>
            <w:vAlign w:val="center"/>
          </w:tcPr>
          <w:p>
            <w:r>
              <w:rPr>
                <w:color w:val="1E293B"/>
                <w:sz w:val="17"/>
              </w:rPr>
              <w:t>Base, porcentaje, nivel, status y source</w:t>
            </w:r>
          </w:p>
        </w:tc>
      </w:tr>
      <w:tr>
        <w:tc>
          <w:tcPr>
            <w:tcW w:type="dxa" w:w="2880"/>
            <w:shd w:fill="F8FAFC"/>
            <w:vAlign w:val="center"/>
          </w:tcPr>
          <w:p>
            <w:r>
              <w:rPr>
                <w:color w:val="1E293B"/>
                <w:sz w:val="17"/>
              </w:rPr>
              <w:t>vault_positions</w:t>
            </w:r>
          </w:p>
        </w:tc>
        <w:tc>
          <w:tcPr>
            <w:tcW w:type="dxa" w:w="6480"/>
            <w:shd w:fill="F8FAFC"/>
            <w:vAlign w:val="center"/>
          </w:tcPr>
          <w:p>
            <w:r>
              <w:rPr>
                <w:color w:val="1E293B"/>
                <w:sz w:val="17"/>
              </w:rPr>
              <w:t>Monto, plazo, peso, rewards y estado</w:t>
            </w:r>
          </w:p>
        </w:tc>
      </w:tr>
      <w:tr>
        <w:tc>
          <w:tcPr>
            <w:tcW w:type="dxa" w:w="2880"/>
            <w:vAlign w:val="center"/>
          </w:tcPr>
          <w:p>
            <w:r>
              <w:rPr>
                <w:color w:val="1E293B"/>
                <w:sz w:val="17"/>
              </w:rPr>
              <w:t>trades/orders</w:t>
            </w:r>
          </w:p>
        </w:tc>
        <w:tc>
          <w:tcPr>
            <w:tcW w:type="dxa" w:w="6480"/>
            <w:vAlign w:val="center"/>
          </w:tcPr>
          <w:p>
            <w:r>
              <w:rPr>
                <w:color w:val="1E293B"/>
                <w:sz w:val="17"/>
              </w:rPr>
              <w:t>Par, lado, precio, cantidad, fee y status</w:t>
            </w:r>
          </w:p>
        </w:tc>
      </w:tr>
      <w:tr>
        <w:tc>
          <w:tcPr>
            <w:tcW w:type="dxa" w:w="2880"/>
            <w:shd w:fill="F8FAFC"/>
            <w:vAlign w:val="center"/>
          </w:tcPr>
          <w:p>
            <w:r>
              <w:rPr>
                <w:color w:val="1E293B"/>
                <w:sz w:val="17"/>
              </w:rPr>
              <w:t>withdrawals</w:t>
            </w:r>
          </w:p>
        </w:tc>
        <w:tc>
          <w:tcPr>
            <w:tcW w:type="dxa" w:w="6480"/>
            <w:shd w:fill="F8FAFC"/>
            <w:vAlign w:val="center"/>
          </w:tcPr>
          <w:p>
            <w:r>
              <w:rPr>
                <w:color w:val="1E293B"/>
                <w:sz w:val="17"/>
              </w:rPr>
              <w:t>Activo, destino, fee, risk, status y txid</w:t>
            </w:r>
          </w:p>
        </w:tc>
      </w:tr>
      <w:tr>
        <w:tc>
          <w:tcPr>
            <w:tcW w:type="dxa" w:w="2880"/>
            <w:vAlign w:val="center"/>
          </w:tcPr>
          <w:p>
            <w:r>
              <w:rPr>
                <w:color w:val="1E293B"/>
                <w:sz w:val="17"/>
              </w:rPr>
              <w:t>treasury_accounts</w:t>
            </w:r>
          </w:p>
        </w:tc>
        <w:tc>
          <w:tcPr>
            <w:tcW w:type="dxa" w:w="6480"/>
            <w:vAlign w:val="center"/>
          </w:tcPr>
          <w:p>
            <w:r>
              <w:rPr>
                <w:color w:val="1E293B"/>
                <w:sz w:val="17"/>
              </w:rPr>
              <w:t>Fondo, activo, saldo y conciliación</w:t>
            </w:r>
          </w:p>
        </w:tc>
      </w:tr>
      <w:tr>
        <w:tc>
          <w:tcPr>
            <w:tcW w:type="dxa" w:w="2880"/>
            <w:shd w:fill="F8FAFC"/>
            <w:vAlign w:val="center"/>
          </w:tcPr>
          <w:p>
            <w:r>
              <w:rPr>
                <w:color w:val="1E293B"/>
                <w:sz w:val="17"/>
              </w:rPr>
              <w:t>admin_audit_log</w:t>
            </w:r>
          </w:p>
        </w:tc>
        <w:tc>
          <w:tcPr>
            <w:tcW w:type="dxa" w:w="6480"/>
            <w:shd w:fill="F8FAFC"/>
            <w:vAlign w:val="center"/>
          </w:tcPr>
          <w:p>
            <w:r>
              <w:rPr>
                <w:color w:val="1E293B"/>
                <w:sz w:val="17"/>
              </w:rPr>
              <w:t>Actor, acción, objeto, antes/después y razón</w:t>
            </w:r>
          </w:p>
        </w:tc>
      </w:tr>
    </w:tbl>
    <w:p/>
    <w:p>
      <w:pPr>
        <w:pStyle w:val="Heading2"/>
      </w:pPr>
      <w:r>
        <w:t>26.2 Fuentes oficiales consultadas</w:t>
      </w:r>
    </w:p>
    <w:p>
      <w:r>
        <w:rPr>
          <w:b/>
          <w:color w:val="7C3AED"/>
        </w:rPr>
        <w:t>UIAF - Resolución 314 de 2021</w:t>
      </w:r>
      <w:r>
        <w:br/>
        <w:t>https://www.uiaf.gov.co/resolucion-314-de-2021</w:t>
      </w:r>
    </w:p>
    <w:p>
      <w:r>
        <w:rPr>
          <w:b/>
          <w:color w:val="7C3AED"/>
        </w:rPr>
        <w:t>UIAF - Reportes a proveedores de activos virtuales</w:t>
      </w:r>
      <w:r>
        <w:br/>
        <w:t>https://www.uiaf.gov.co/Reportes-a-proveedores-de-activos-virtuales</w:t>
      </w:r>
    </w:p>
    <w:p>
      <w:r>
        <w:rPr>
          <w:b/>
          <w:color w:val="7C3AED"/>
        </w:rPr>
        <w:t>Superintendencia Financiera de Colombia - Qué son los criptoactivos</w:t>
      </w:r>
      <w:r>
        <w:br/>
        <w:t>https://www.superfinanciera.gov.co/publicaciones/10115324/que-son-los-activos-digitales-o-criptoactivos/</w:t>
      </w:r>
    </w:p>
    <w:p>
      <w:r>
        <w:rPr>
          <w:b/>
          <w:color w:val="7C3AED"/>
        </w:rPr>
        <w:t>Superintendencia Financiera de Colombia - Criptoactivos</w:t>
      </w:r>
      <w:r>
        <w:br/>
        <w:t>https://www.superfinanciera.gov.co/publicaciones/10090492/sala-de-prensapublicaciones-criptoactivos-10090492/</w:t>
      </w:r>
    </w:p>
    <w:p>
      <w:r>
        <w:rPr>
          <w:b/>
          <w:color w:val="7C3AED"/>
        </w:rPr>
        <w:t>FATF - Virtual Assets</w:t>
      </w:r>
      <w:r>
        <w:br/>
        <w:t>https://www.fatf-gafi.org/en/topics/virtual-assets.html</w:t>
      </w:r>
    </w:p>
    <w:p>
      <w:r>
        <w:rPr>
          <w:b/>
          <w:color w:val="7C3AED"/>
        </w:rPr>
        <w:t>FATF - Updated Guidance for Virtual Assets and VASPs</w:t>
      </w:r>
      <w:r>
        <w:br/>
        <w:t>https://www.fatf-gafi.org/en/publications/Fatfrecommendations/Guidance-rba-virtual-assets-2021.html</w:t>
      </w:r>
    </w:p>
    <w:p>
      <w:r>
        <w:rPr>
          <w:b/>
          <w:color w:val="7C3AED"/>
        </w:rPr>
        <w:t>FTC - Multi-Level Marketing Businesses and Pyramid Schemes</w:t>
      </w:r>
      <w:r>
        <w:br/>
        <w:t>https://consumer.ftc.gov/articles/multi-level-marketing-businesses-and-pyramid-schemes</w:t>
      </w:r>
    </w:p>
    <w:p>
      <w:r>
        <w:rPr>
          <w:b/>
          <w:color w:val="7C3AED"/>
        </w:rPr>
        <w:t>FTC - Business Guidance Concerning Multi-Level Marketing</w:t>
      </w:r>
      <w:r>
        <w:br/>
        <w:t>https://www.ftc.gov/business-guidance/resources/business-guidance-concerning-multi-level-marketing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Documento de trabajo confidencial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auzetCaption"/>
      <w:jc w:val="left"/>
    </w:pPr>
    <w:r>
      <w:t>FAUZET / ZYXE  •  DOCUMENTACIÓN TÉCNICA, ECONÓMICA Y FUNCIONAL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530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80B12"/>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7C3AE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80B1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i/>
      <w:iCs/>
      <w:color w:val="7C3AE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auzetCaption">
    <w:name w:val="Fauzet Caption"/>
    <w:pPr>
      <w:jc w:val="center"/>
    </w:pPr>
    <w:rPr>
      <w:rFonts w:ascii="Aptos" w:hAnsi="Aptos"/>
      <w:i/>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Fauzet &amp; ZYXE - Documentación Técnica, Económica y Funcional v0.1</dc:title>
  <dc:subject>Definición del producto, economía interna, minería virtual, referidos, Vault, trading, tesorería y administración.</dc:subject>
  <dc:creator>Edison Múnera / Fauzet</dc:creator>
  <cp:keywords>Fauzet, ZYXE, Zyxe, crypto rewards, faucet, tokenomics, minería virtual</cp:keywords>
  <dc:description>Documento de trabajo. No constituye oferta pública ni asesoría legal.</dc:description>
  <cp:lastModifiedBy/>
  <cp:revision>1</cp:revision>
  <dcterms:created xsi:type="dcterms:W3CDTF">2013-12-23T23:15:00Z</dcterms:created>
  <dcterms:modified xsi:type="dcterms:W3CDTF">2013-12-23T23:15:00Z</dcterms:modified>
  <cp:category/>
</cp:coreProperties>
</file>