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权利要求书</w:t>
      </w:r>
    </w:p>
    <w:p>
      <w:pPr>
        <w:pStyle w:val="Claim"/>
      </w:pPr>
      <w:r>
        <w:t xml:space="preserve">1. 一种基于语义感知的多图时空融合交通流预测方法，其特征在于，包括如下步骤：S1，获取交通数据与节点静态元数据，所述交通数据包括交通传感器网络的历史交通观测数据，所述节点静态元数据经自然语言模板转换后用于语义编码，且道路连通关系用于构建物理拓扑图；S2，对所述历史交通观测数据进行数据预处理与时空嵌入，生成基础时空嵌入，并保留用于后续逆归一化的统计量；S3，执行语义增强与图构建，根据道路物理连接关系构建物理拓扑图，根据历史交通观测数据在滑动时间窗口内的相关性构建动态流量交互图，并根据节点静态元数据构建语义功能图，其中，将节点静态元数据转换为自然语言描述文本，通过轻量化预训练语言模型提取节点通用语义嵌入，并经可学习领域映射层得到交通领域语义特征，基于交通领域语义特征之间的相似度生成语义邻接矩阵；S4，执行时间感知多图融合，将交通领域语义特征经线性投影后在时间维度上广播，并与基础时空嵌入融合得到初始节点表征，将初始节点表征分别输入基于物理拓扑图、动态流量交互图和语义功能图的并行多头图注意力卷积分支，得到物理空间特征、流量交互特征和语义关联特征，并根据时间上下文编码生成门控融合权重，对三路特征进行加权融合，得到时间感知的多图融合特征；S5，执行时空解耦精炼，将所述时间感知的多图融合特征输入时空解耦精炼模块，通过固有模式编码器提取固有模式特征，通过突发干扰编码器提取突发干扰特征，并在训练阶段采用软正交约束损失降低固有模式特征与突发干扰特征之间的冗余相关性；S6，执行预测解码与逆归一化输出，将固有模式特征和突发干扰特征融合后输入预测解码模块，得到未来时间步的归一化交通流预测结果，并结合逆归一化旁路输出具有真实物理量纲的交通流预测结果。</w:t>
      </w:r>
    </w:p>
    <w:p>
      <w:pPr>
        <w:pStyle w:val="Claim"/>
      </w:pPr>
      <w:r>
        <w:t xml:space="preserve">2. 根据权利要求1所述的方法，其特征在于，所述历史交通观测数据包括交通流量、平均速度和道路占有率中的至少一种；所述节点静态元数据包括节点地理位置、道路等级、道路类型、周边兴趣点分布、土地利用或区域功能属性中的至少一种。</w:t>
      </w:r>
    </w:p>
    <w:p>
      <w:pPr>
        <w:pStyle w:val="Claim"/>
      </w:pPr>
      <w:r>
        <w:t xml:space="preserve">3. 根据权利要求1所述的方法，其特征在于，所述节点静态元数据中的传感器编号、经纬度、所属区域、道路名称、车道数、道路类型和行驶方向中的至少一种由交通数据集的节点元信息文件提供；节点周边道路等级、兴趣点类型及土地利用或区域功能信息基于传感器经纬度通过开放地图接口检索补充；道路上下游连接关系由道路拓扑文件、传感器邻接矩阵或路网连接文件确定。</w:t>
      </w:r>
    </w:p>
    <w:p>
      <w:pPr>
        <w:pStyle w:val="Claim"/>
      </w:pPr>
      <w:r>
        <w:t xml:space="preserve">4. 根据权利要求1所述的方法，其特征在于，构建所述语义功能图包括：将节点静态元数据按照预设模板转换为自然语言描述文本；将所述自然语言描述文本输入轻量化预训练语言模型，得到节点通用语义嵌入；将节点通用语义嵌入输入可学习领域映射层，得到交通领域语义特征；基于交通领域语义特征之间的相似度生成语义邻接矩阵，并对语义邻接矩阵进行阈值截断或稀疏化处理。</w:t>
      </w:r>
    </w:p>
    <w:p>
      <w:pPr>
        <w:pStyle w:val="Claim"/>
      </w:pPr>
      <w:r>
        <w:t xml:space="preserve">5. 根据权利要求4所述的方法，其特征在于，所述轻量化预训练语言模型采用经过知识蒸馏的BERT类语言模型；在训练过程中，所述轻量化预训练语言模型的主干参数保持冻结，所述可学习领域映射层的参数参与交通流预测任务的联合优化，以降低通用文本语义与交通动力学表征之间的领域偏差。</w:t>
      </w:r>
    </w:p>
    <w:p>
      <w:pPr>
        <w:pStyle w:val="Claim"/>
      </w:pPr>
      <w:r>
        <w:t xml:space="preserve">6. 根据权利要求4或5所述的方法，其特征在于，所述可学习领域映射层至少包括线性变换和非线性激活，用于将节点通用语义嵌入投影至交通流关联空间，得到交通领域语义特征；所述语义邻接矩阵的元素由交通领域语义特征之间的余弦相似度确定，对低于预设阈值的相似度置零，并对剩余边权进行归一化处理。</w:t>
      </w:r>
    </w:p>
    <w:p>
      <w:pPr>
        <w:pStyle w:val="Claim"/>
      </w:pPr>
      <w:r>
        <w:t xml:space="preserve">7. 根据权利要求1所述的方法，其特征在于，所述动态流量交互图根据历史时间窗口内不同节点交通序列之间的相关性、同步性或相似性生成，并通过阈值截断或Top-k选择保留主要交互边，以反映交通流交互关系的时变特征。</w:t>
      </w:r>
    </w:p>
    <w:p>
      <w:pPr>
        <w:pStyle w:val="Claim"/>
      </w:pPr>
      <w:r>
        <w:t xml:space="preserve">8. 根据权利要求1所述的方法，其特征在于，所述数据预处理与时空嵌入包括：对历史交通观测数据进行清洗和实例归一化；按照预设时间长度进行时间分块；对分块后的交通序列进行线性嵌入或线性投影；加入位置编码，生成基础时空嵌入；并生成包含一天中的时间段编码和一周中的日期编码的时间上下文编码。</w:t>
      </w:r>
    </w:p>
    <w:p>
      <w:pPr>
        <w:pStyle w:val="Claim"/>
      </w:pPr>
      <w:r>
        <w:t xml:space="preserve">9. 根据权利要求1或8所述的方法，其特征在于，将交通领域语义特征融入基础时空嵌入包括：将由各节点交通领域语义特征组成的矩阵经线性投影后对齐至基础时空嵌入的维度，并沿时间维度广播扩展，再与基础时空嵌入逐元素相加，得到初始节点表征。</w:t>
      </w:r>
    </w:p>
    <w:p>
      <w:pPr>
        <w:pStyle w:val="Claim"/>
      </w:pPr>
      <w:r>
        <w:t xml:space="preserve">10. 根据权利要求1所述的方法，其特征在于，所述并行多头图注意力卷积分支分别在物理拓扑图、动态流量交互图和语义功能图上执行邻居注意力聚合；在任一图结构中，每个注意力头根据当前节点特征和邻居节点特征计算注意力系数，并基于所述注意力系数对邻居节点特征进行加权聚合，以分别得到物理空间特征、流量交互特征和语义关联特征。</w:t>
      </w:r>
    </w:p>
    <w:p>
      <w:pPr>
        <w:pStyle w:val="Claim"/>
      </w:pPr>
      <w:r>
        <w:t xml:space="preserve">11. 根据权利要求1所述的方法，其特征在于，所述门控融合权重由以时间上下文编码为输入的双层前馈网络和Softmax归一化函数生成，所述门控融合权重包括物理拓扑图对应的权重、动态流量交互图对应的权重和语义功能图对应的权重，且三者之和为1。</w:t>
      </w:r>
    </w:p>
    <w:p>
      <w:pPr>
        <w:pStyle w:val="Claim"/>
      </w:pPr>
      <w:r>
        <w:t xml:space="preserve">12. 根据权利要求1或11所述的方法，其特征在于，对物理空间特征、流量交互特征和语义关联特征按照所述门控融合权重进行加权融合后，引入残差连接和均方根归一化，得到所述时间感知的多图融合特征。</w:t>
      </w:r>
    </w:p>
    <w:p>
      <w:pPr>
        <w:pStyle w:val="Claim"/>
      </w:pPr>
      <w:r>
        <w:t xml:space="preserve">13. 根据权利要求1所述的方法，其特征在于，所述时空解耦精炼模块包括固有模式编码器和突发干扰编码器；所述固有模式编码器接收时间感知的多图融合特征与时间上下文编码的拼接结果，用于提取由工作日规律、时段规律和道路功能属性共同决定的周期性和趋势性特征；所述突发干扰编码器接收时间感知的多图融合特征，用于提取偏离周期规律的非周期扰动特征。</w:t>
      </w:r>
    </w:p>
    <w:p>
      <w:pPr>
        <w:pStyle w:val="Claim"/>
      </w:pPr>
      <w:r>
        <w:t xml:space="preserve">14. 根据权利要求13所述的方法，其特征在于，在训练阶段对固有模式特征和突发干扰特征施加软正交约束损失，所述软正交约束损失通过最小化归一化固有模式特征与归一化突发干扰特征之间的相关矩阵的Frobenius范数平方，降低两类特征在深层表征空间中的冗余相关性，并保留交通状态非线性耦合场景下的拟合空间。</w:t>
      </w:r>
    </w:p>
    <w:p>
      <w:pPr>
        <w:pStyle w:val="Claim"/>
      </w:pPr>
      <w:r>
        <w:t xml:space="preserve">15. 根据权利要求14所述的方法，其特征在于，在训练所述预测模型时，训练目标包括预测误差损失、辅助重构损失和软正交约束损失；其中，预测误差损失用于约束预测交通状态与真实交通状态之间的差异，辅助重构损失用于约束解耦后的特征保留原始融合特征中的有效信息，软正交约束损失用于降低固有模式特征与突发干扰特征之间的重复表达。</w:t>
      </w:r>
    </w:p>
    <w:p>
      <w:pPr>
        <w:pStyle w:val="Claim"/>
      </w:pPr>
      <w:r>
        <w:t xml:space="preserve">16. 根据权利要求1所述的方法，其特征在于，所述预测解码模块为轻量化预测解码模块，所述轻量化预测解码模块将固有模式特征和突发干扰特征进行通道维度拼接或融合后，输出未来一个或多个时间步的交通流量、平均速度或道路占有率预测值，并通过逆归一化旁路将预测结果恢复为真实物理量纲。</w:t>
      </w:r>
    </w:p>
    <w:sectPr>
      <w:pgSz w:w="11906" w:h="16838"/>
      <w:pgMar w:top="1440" w:right="1440" w:bottom="1440" w:left="1440" w:header="720" w:footer="720" w:gutter="0"/>
      <w:cols w:space="720"/>
      <w:docGrid w:type="lines" w:linePitch="312"/>
    </w:sectPr>
  </w:body>
</w:document>
</file>

<file path=word/settings.xml><?xml version="1.0" encoding="utf-8"?>
<w:settings xmlns:w="http://schemas.openxmlformats.org/wordprocessingml/2006/main">
  <w:defaultTabStop w:val="420"/>
  <w:characterSpacingControl w:val="doNotCompress"/>
</w:settings>
</file>

<file path=word/styles.xml><?xml version="1.0" encoding="utf-8"?>
<w:styles xmlns:w="http://schemas.openxmlformats.org/wordprocessingml/2006/main">
  <w:docDefaults>
    <w:rPrDefault>
      <w:rPr>
        <w:rFonts w:ascii="Times New Roman" w:eastAsia="宋体" w:hAnsi="Times New Roman"/>
        <w:sz w:val="24"/>
        <w:szCs w:val="24"/>
      </w:rPr>
    </w:rPrDefault>
    <w:pPrDefault>
      <w:pPr>
        <w:spacing w:line="360" w:lineRule="auto" w:after="120"/>
      </w:pPr>
    </w:pPrDefault>
  </w:docDefaults>
  <w:style w:type="paragraph" w:default="1" w:styleId="Normal">
    <w:name w:val="Normal"/>
    <w:pPr>
      <w:spacing w:line="360" w:lineRule="auto" w:after="120"/>
    </w:pPr>
    <w:rPr>
      <w:rFonts w:ascii="Times New Roman" w:eastAsia="宋体" w:hAnsi="Times New Roman"/>
      <w:sz w:val="24"/>
      <w:szCs w:val="24"/>
    </w:rPr>
  </w:style>
  <w:style w:type="paragraph" w:styleId="Title">
    <w:name w:val="Title"/>
    <w:basedOn w:val="Normal"/>
    <w:pPr>
      <w:jc w:val="center"/>
      <w:spacing w:before="0" w:after="360"/>
    </w:pPr>
    <w:rPr>
      <w:rFonts w:ascii="Times New Roman" w:eastAsia="宋体" w:hAnsi="Times New Roman"/>
      <w:b/>
      <w:sz w:val="32"/>
      <w:szCs w:val="32"/>
    </w:rPr>
  </w:style>
  <w:style w:type="paragraph" w:styleId="Heading1">
    <w:name w:val="heading 1"/>
    <w:basedOn w:val="Normal"/>
    <w:next w:val="Normal"/>
    <w:pPr>
      <w:spacing w:before="240" w:after="180"/>
      <w:outlineLvl w:val="0"/>
    </w:pPr>
    <w:rPr>
      <w:rFonts w:ascii="Times New Roman" w:eastAsia="黑体" w:hAnsi="Times New Roman"/>
      <w:b/>
      <w:sz w:val="28"/>
      <w:szCs w:val="28"/>
    </w:rPr>
  </w:style>
  <w:style w:type="paragraph" w:styleId="BodyText">
    <w:name w:val="Body Text"/>
    <w:basedOn w:val="Normal"/>
    <w:pPr>
      <w:ind w:firstLine="480"/>
      <w:spacing w:line="360" w:lineRule="auto" w:after="120"/>
    </w:pPr>
    <w:rPr>
      <w:rFonts w:ascii="Times New Roman" w:eastAsia="宋体" w:hAnsi="Times New Roman"/>
      <w:sz w:val="24"/>
      <w:szCs w:val="24"/>
    </w:rPr>
  </w:style>
  <w:style w:type="paragraph" w:styleId="Claim">
    <w:name w:val="Claim"/>
    <w:basedOn w:val="Normal"/>
    <w:pPr>
      <w:spacing w:line="360" w:lineRule="auto" w:after="160"/>
    </w:pPr>
    <w:rPr>
      <w:rFonts w:ascii="Times New Roman" w:eastAsia="宋体" w:hAnsi="Times New Roman"/>
      <w:sz w:val="24"/>
      <w:szCs w:val="24"/>
    </w:rPr>
  </w:style>
  <w:style w:type="paragraph" w:styleId="Formula">
    <w:name w:val="Formula"/>
    <w:basedOn w:val="Normal"/>
    <w:pPr>
      <w:jc w:val="center"/>
      <w:spacing w:line="360" w:lineRule="auto" w:before="60" w:after="60"/>
    </w:pPr>
    <w:rPr>
      <w:rFonts w:ascii="Cambria Math" w:eastAsia="宋体" w:hAnsi="Cambria Math"/>
      <w:i/>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