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F0" w:rsidRDefault="006866F0" w:rsidP="006866F0">
      <w:pPr>
        <w:rPr>
          <w:rFonts w:ascii="Times New Roman" w:hAnsi="Times New Roman" w:cs="Times New Roman"/>
          <w:sz w:val="28"/>
          <w:szCs w:val="28"/>
        </w:rPr>
      </w:pPr>
      <w:r w:rsidRPr="003D1E2E">
        <w:rPr>
          <w:rFonts w:ascii="Times New Roman" w:hAnsi="Times New Roman" w:cs="Times New Roman"/>
          <w:sz w:val="28"/>
          <w:szCs w:val="28"/>
        </w:rPr>
        <w:t>12.09.2023</w:t>
      </w:r>
    </w:p>
    <w:p w:rsidR="006866F0" w:rsidRDefault="006866F0" w:rsidP="006866F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1</w:t>
      </w:r>
    </w:p>
    <w:p w:rsidR="006866F0" w:rsidRDefault="006866F0" w:rsidP="00686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фонды промышленного предприятия (ОПФ)</w:t>
      </w:r>
    </w:p>
    <w:p w:rsidR="006866F0" w:rsidRDefault="006866F0" w:rsidP="00686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ОПФ – совокупность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уда, многократно участвующих в производственном процессе и переносящие свою стоимость на себестоимость готовой продукции с целью реновации.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Выделяют следующие группы и подгруппы ОПФ: сооружения, передаточные устройства, машины и оборудование (силовые и рабочие машины, измерительные и регулирующие приборы и устройства и прочее), транспортные средства (кроме конвейеров и транспортёров в составе производственного оборудования), производственные инвентарь и принадлежности (рабочие столы, верстаки, вентиляторы, тара, стеллажи), хозяйственный инвентарь (предметы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предметного обеспечения).</w:t>
      </w:r>
      <w:proofErr w:type="gramEnd"/>
    </w:p>
    <w:p w:rsidR="006866F0" w:rsidRDefault="006866F0" w:rsidP="00686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структуре в зависимости от конкретной роли принято выделять активную и пассивную части. К активной части ОПФ относятся машины и оборудование, транспортные средства, инструменты, те,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неспосредственно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участвуют в процессе производства. К пассивной части ОПФ относятся все остальные группы ОПФ, которые создают условия для нормального течения производственного процесса.</w:t>
      </w:r>
    </w:p>
    <w:p w:rsidR="006866F0" w:rsidRDefault="006866F0" w:rsidP="006866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Виды стоимостной оценки ОПФ предприятия</w:t>
      </w:r>
    </w:p>
    <w:p w:rsidR="006866F0" w:rsidRDefault="006866F0" w:rsidP="006866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Основная оценка производственных фондов необходима для определения их общей величины, состава и структуры, динамики, величины амортизационных отчислений, а также экономической эффективности их использования. Существуют следующие виды стоимостной оценки фондов:</w:t>
      </w:r>
    </w:p>
    <w:p w:rsidR="006866F0" w:rsidRPr="00EA1943" w:rsidRDefault="006866F0" w:rsidP="006866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по первоначальной стоимости (по фактическим затратам в момент создания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приобритения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ценах того года, в котором они изготовлены или приобретены). Все основные производственные фонды,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приобетаемые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предприятием, заносятся на баланс по первоначальной стоимости, которую также называют балансовой. Первоначальная стоимость основных средств может меняться в случаях достройки, дооборудования, реконструкции, модернизации, технического перевооружения, частичной ликвидации соответствующих объектов и по иным аналогичным основаниям.  </w:t>
      </w:r>
    </w:p>
    <w:p w:rsidR="006866F0" w:rsidRPr="00236F09" w:rsidRDefault="006866F0" w:rsidP="006866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94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Оценка по восстановительной стоимости. Эта стоимость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сколько обошлось бы создание или приобретение на данный момент ранее созданных или приобретенных ОПФ. Переоценка 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путём индексации или прямым пересчётом по документально-подтверждённым рыночным ценам. Предприятиям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предоставлено не чаще раза в год право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переоценку. Результаты, проведённой по состоянию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конец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отчётчного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года переоценки объектов основных средств подлежат отражению в бухгалтерском балансе или учёте. Остаточная стоимость ОПФ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первоначальная (восстановительная) стоимость за вычетом начисленного износа (амортизация, амортизационные отчисления).</w:t>
      </w:r>
    </w:p>
    <w:p w:rsidR="006866F0" w:rsidRPr="00236F09" w:rsidRDefault="006866F0" w:rsidP="006866F0">
      <w:pPr>
        <w:pStyle w:val="a3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ост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пер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восстан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Ам</m:t>
          </m:r>
        </m:oMath>
      </m:oMathPara>
    </w:p>
    <w:p w:rsidR="006866F0" w:rsidRDefault="006866F0" w:rsidP="006866F0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Среднегодовая стоимость ОПФ рассчитывается при движении ОПФ: убытие, покупка или создание.</w:t>
      </w:r>
    </w:p>
    <w:p w:rsidR="006866F0" w:rsidRPr="006078CA" w:rsidRDefault="006866F0" w:rsidP="006866F0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ср. год.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нач.год.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ввод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</m:oMath>
      </m:oMathPara>
    </w:p>
    <w:p w:rsidR="006866F0" w:rsidRPr="00844F0C" w:rsidRDefault="006866F0" w:rsidP="006866F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нач. года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стоимость на начало года,</w:t>
      </w:r>
    </w:p>
    <w:p w:rsidR="006866F0" w:rsidRDefault="006866F0" w:rsidP="006866F0">
      <w:pPr>
        <w:pStyle w:val="a3"/>
        <w:ind w:firstLine="69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ввод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стоимость введённого на начало года,</w:t>
      </w:r>
    </w:p>
    <w:p w:rsidR="006866F0" w:rsidRDefault="006866F0" w:rsidP="006866F0">
      <w:pPr>
        <w:pStyle w:val="a3"/>
        <w:ind w:firstLine="69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полных месяцев до конца года введённых и выбывших ОПФ.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  <w:t>Износ ОПФ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процессе функционирования ОПФ подвергаются физическому и моральному износу. Под физическим износом понимается утрата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ОПФами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своих технических параметров. Физический износ бывает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эксплутационным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естественным.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Эксплутационный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износ является следствием производственного потребления. Естественный износ происходит под воздействием природных факторов. 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Моральный износ бывает двух видов: 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моральный износ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9168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типа (обесценивание машин той же конструкции, что выпускались и раньше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 следствие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удешевления их воспроизводства в современных условиях):</w:t>
      </w:r>
    </w:p>
    <w:p w:rsidR="006866F0" w:rsidRPr="00F16BCC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пер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вос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пер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100%</m:t>
          </m:r>
        </m:oMath>
      </m:oMathPara>
    </w:p>
    <w:p w:rsidR="006866F0" w:rsidRPr="003F1675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моральный износ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Pr="003F1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типа (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Отражает снижение эффективности существующего оборудования в следствие появление нового более прогрессивного.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6866F0" w:rsidRPr="003F1675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С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перн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С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перб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б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б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∙100%</m:t>
          </m:r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Q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F1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годовая производительность стоимость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новой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устаревшей (базовой),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пер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стоимость морально устаревшей (базовой) и новой машины,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3F1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F16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срок службы морально устаревшей (базовой) и новой машины.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Основные фонды в процессе их эксплуатации постоянно изнашиваются, а для поддержания их в работоспособном состоянии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переодически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 ремонт. Различают три вида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ремнота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восстановительный, текущий и капитальный. 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Восстановительный ремонт осуществляется за счёт специальных средств государства. 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Текущий ремонт производится в процессе функционирования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ОПФ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правило без длительного перерыва процесса производства. </w:t>
      </w:r>
    </w:p>
    <w:p w:rsidR="006866F0" w:rsidRPr="008954E6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Капитальный ремонт – существенный ремонт основных фондов, связанный с полной разборкой, заменой всех изношенных деталей и узлов оборудования. Все расходы, связанные с ремонтом ОПФ, включаются в состав затрат на производство и реализацию продукции. Затраты на ремонт зависят от физического состояния, износа ОПФ, качества производимых ремонтов, времени, уровня квалификации персонала.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54E6">
        <w:rPr>
          <w:rFonts w:ascii="Times New Roman" w:eastAsiaTheme="minorEastAsia" w:hAnsi="Times New Roman" w:cs="Times New Roman"/>
          <w:sz w:val="28"/>
          <w:szCs w:val="28"/>
        </w:rPr>
        <w:t>Варианты снижения затрат на ремонт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866F0" w:rsidRDefault="006866F0" w:rsidP="006866F0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954E6">
        <w:rPr>
          <w:rFonts w:ascii="Times New Roman" w:eastAsiaTheme="minorEastAsia" w:hAnsi="Times New Roman" w:cs="Times New Roman"/>
          <w:sz w:val="28"/>
          <w:szCs w:val="28"/>
        </w:rPr>
        <w:t>На предприятии должны своевременно и качественно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планово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предупредительные ремонты.</w:t>
      </w:r>
    </w:p>
    <w:p w:rsidR="006866F0" w:rsidRDefault="006866F0" w:rsidP="006866F0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Прежде чем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приступить к капитальному ремонту необходимо тщательно проанализировать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экономическом плане, что более выгодно: капитальный ремонт или приобретение новой техники.</w:t>
      </w:r>
    </w:p>
    <w:p w:rsidR="006866F0" w:rsidRDefault="006866F0" w:rsidP="006866F0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Восстановление изношенных деталей, особенно когда в них наблюдается существенный дефицит.</w:t>
      </w:r>
    </w:p>
    <w:p w:rsidR="006866F0" w:rsidRDefault="006866F0" w:rsidP="006866F0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Амортизация ОПФ</w:t>
      </w:r>
    </w:p>
    <w:p w:rsidR="006866F0" w:rsidRPr="002965E3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Амортизация – постепенное перенесение стоимости ОПФ на себестоимость продукции в целях накопления денежных сре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я их восстановления. В денежном выражении размером амортизации являются амортизационные начисления.</w:t>
      </w:r>
      <w:r w:rsidRPr="002965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Норма амортизации по каждому объекту амортизируемого имущества определяется по формуле:</w:t>
      </w:r>
    </w:p>
    <w:p w:rsidR="006866F0" w:rsidRPr="00AD2683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∙100%</m:t>
          </m:r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D2683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D2683">
        <w:rPr>
          <w:rFonts w:ascii="Times New Roman" w:eastAsiaTheme="minorEastAsia" w:hAnsi="Times New Roman" w:cs="Times New Roman"/>
          <w:sz w:val="28"/>
          <w:szCs w:val="28"/>
        </w:rPr>
        <w:t>срок полезного использования объекта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амортизируемого имущества (чаще всего в месяцах).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Сроком полезного использования признаётся период, в течение которого объект основных сре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дств сл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ужит для выполнения целей деятельности предприятия.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Начисление амортизации на объект основных сре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оизводится одним из методов: линейный метод, метод уменьшаемого остатка (нелинейный), метод списания стоимости (по сумме чисел лет срока полезного использования), метод списания стоимости пропорционально объёму продукции.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Выбранный метод начисления амортизации основных средств закрепляется в учётной политике предприятия. Учётная политика – совокупность основополагающих способов ведения бухгалтерского учёта, избранных предприятием, в качестве соответствующих условиям хозяйствования. Изменить метод начисления амортизации по конкретному объекту после его ввода в эксплуатацию нельзя. В налоговом учёте применяются два метода начисления амортизации: линейный и нелинейный. Изменение метода начисления амортизации допускается с начала нового налогового периода. Не подлежат амортизации объекты основных средств, потребительские свойства которых с течением времени не меняются (земельные участки, объекты природопользования и объекты, отнесённые к музейным ценностям).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Линейный метод начисления амортизации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использовании линейного метода годовая сумма амортизационных отчислений определяется, исходя из первоначальной стоимости объекта основных средств и нормы амортизации. Суть этого метода заключается в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равномерном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 годам, месяцам начислениям амортизации в течение всего срока полезного использования ОПФ.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Налогоплатильщик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обязан применять линейный метод начисления амортизации к зданиям, сооружениям и передаточным устройствам.</w:t>
      </w:r>
    </w:p>
    <w:p w:rsidR="006866F0" w:rsidRPr="00F03FDF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 год.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пер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(%)</m:t>
          </m:r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Приобретён объект основных сре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дств ст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оимостью 50 тысяч рублей. Срок полезного использования объекта – 5 лет.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Расчитать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ежегодные амортизационные отчисления.</w:t>
      </w:r>
    </w:p>
    <w:p w:rsidR="006866F0" w:rsidRPr="00713E9B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∙100%=20%</m:t>
          </m:r>
        </m:oMath>
      </m:oMathPara>
    </w:p>
    <w:p w:rsidR="006866F0" w:rsidRPr="00713E9B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=0,2*50=10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тыс. руб.)</m:t>
          </m:r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ab/>
      </w:r>
      <w:proofErr w:type="gramStart"/>
      <w:r>
        <w:rPr>
          <w:rFonts w:ascii="Times New Roman" w:eastAsiaTheme="minorEastAsia" w:hAnsi="Times New Roman" w:cs="Times New Roman"/>
          <w:b/>
          <w:sz w:val="28"/>
          <w:szCs w:val="28"/>
        </w:rPr>
        <w:t>Нелинейным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метод начисления амортизации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При использовании нелинейного метода годовая сумма амортизационных отчислений определяется, исходя из остаточной стоимости объекта основных средств на начало отчётного года и нормы амортизации (коэффициент устанавливается предприятием самостоятельно и его величина должна быть отражена в учётной политике).</w:t>
      </w:r>
    </w:p>
    <w:p w:rsidR="006866F0" w:rsidRPr="007078D9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 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уск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ост.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i</m:t>
              </m:r>
            </m:sub>
          </m:sSub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ост.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остаточная стоимость объектов основных средств.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Используя данные прошлой задачи, необходимо рассчитать сумму амортизационных отчислений по годам нелинейным методом, если коэффициент ускорения равен 2.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=2*0,2*50=20</m:t>
          </m:r>
        </m:oMath>
      </m:oMathPara>
    </w:p>
    <w:p w:rsidR="006866F0" w:rsidRPr="00834FD2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=2*0,2*30=12</m:t>
          </m:r>
        </m:oMath>
      </m:oMathPara>
    </w:p>
    <w:p w:rsidR="006866F0" w:rsidRPr="00B020C9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ам.год.3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=2*0,2*18=7,2</m:t>
          </m:r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Метод списания стоимости по сумме чисел лет срока полезного использования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Расчёт амортизационных отчислений данным методом производится, исходя из первоначальной (восстановительной) стоимости основного средства и соотношения числа лет</w:t>
      </w:r>
      <w:r w:rsidRPr="000A11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остающихся до конца срока полезного использования объекта, к стоимости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числа лет срока полезного использования объекта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66F0" w:rsidRPr="000A1105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пер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ост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ост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A110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лет до конца срока полезного использования</w:t>
      </w:r>
      <w:r w:rsidRPr="000A110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866F0" w:rsidRPr="000A1105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0A11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сумма чисел срока лет полезного использования.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данные прошлой задачи, необходимо рассчитать ежегодную сумму амортизационных отчислений данным методом: остаточную стоимость на начало года, сумму годовых амортизационных отчислений, остаточную стоимость на конец года.</w:t>
      </w:r>
    </w:p>
    <w:p w:rsidR="006866F0" w:rsidRPr="00C10A9D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 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=50∙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∙5=16,67</m:t>
          </m:r>
        </m:oMath>
      </m:oMathPara>
    </w:p>
    <w:p w:rsidR="006866F0" w:rsidRPr="00C10A9D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 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50∙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=13,33</m:t>
          </m:r>
        </m:oMath>
      </m:oMathPara>
    </w:p>
    <w:p w:rsidR="006866F0" w:rsidRPr="00C10A9D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 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=50∙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:rsidR="006866F0" w:rsidRPr="00C10A9D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 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=50∙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=6,67</m:t>
          </m:r>
        </m:oMath>
      </m:oMathPara>
    </w:p>
    <w:p w:rsidR="006866F0" w:rsidRPr="00C10A9D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ам.год 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=50∙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=3,34</m:t>
          </m:r>
        </m:oMath>
      </m:oMathPara>
    </w:p>
    <w:p w:rsidR="006866F0" w:rsidRPr="00C10A9D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50-16,67=33,33</m:t>
          </m:r>
        </m:oMath>
      </m:oMathPara>
    </w:p>
    <w:p w:rsidR="006866F0" w:rsidRPr="00C10A9D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33,33-13,33=20</m:t>
          </m:r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20-10=10</m:t>
          </m:r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26.09.2023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Показатели эффективности использования ОПФ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Основные показатели эффективности использования ОПФ можно объединить в две группы: фондоотдача,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фондоёмкость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Фондоотдача – финансовый коэффициент, характеризующий эффективность использования основных сре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едприятия. Фондоотдача показывает, сколько выручки приходится на один рубль стоимости ОПФ, т.е. какова общая отдача от использования каждого рубля,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вложеннного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ОПФ.</w:t>
      </w:r>
    </w:p>
    <w:p w:rsidR="006866F0" w:rsidRPr="001A1F9C" w:rsidRDefault="006866F0" w:rsidP="006866F0">
      <w:pPr>
        <w:ind w:firstLine="70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Фо=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ср.  год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866F0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</m:t>
        </m:r>
      </m:oMath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выручка,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ср. год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среднегодовая стоимость ОПФ.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Фондоёмкость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величина, обратная фондоотдаче, она показывает долю стоимости основных фондов, приходящуюся на каждый рубль, выпускаемой продукции, т.е. сколько средств необходимо вложить в ОПФ, чтобы получить необходимый объём выпуска продукции.</w:t>
      </w:r>
    </w:p>
    <w:p w:rsidR="006866F0" w:rsidRDefault="006866F0" w:rsidP="006866F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Фе=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Фо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ср.  год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Фондовооружённость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труда показывает, какой величиной стоимости основных средств располагает в процессе производства один работник и рассчитывается по формуле:</w:t>
      </w:r>
    </w:p>
    <w:p w:rsidR="006866F0" w:rsidRPr="00DE2A71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Фв=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ср.год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ср.год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ППП</m:t>
                  </m:r>
                </m:sub>
              </m:sSub>
            </m:den>
          </m:f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ср.год ППП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среднегодовая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числненность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промышленно-производственного предприятия.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Фондорентабельность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характеризует величину прибыли, получаемой с рубля ОПФ.</w:t>
      </w:r>
    </w:p>
    <w:p w:rsidR="006866F0" w:rsidRDefault="006866F0" w:rsidP="006866F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ср. год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6866F0" w:rsidRDefault="006866F0" w:rsidP="006866F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B13BB9">
        <w:rPr>
          <w:rFonts w:ascii="Times New Roman" w:eastAsiaTheme="minorEastAsia" w:hAnsi="Times New Roman" w:cs="Times New Roman"/>
          <w:sz w:val="28"/>
          <w:szCs w:val="28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прибыль за год.</w:t>
      </w:r>
    </w:p>
    <w:p w:rsidR="006866F0" w:rsidRDefault="006866F0" w:rsidP="006866F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Частные показатели отражают уровень использования ОПФ по времени и по мощности.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Коэффициент экстенсивного использования оборудования определяется как отношение фактического количества часов работы оборудования к количеству часов работы по норме. Коэффициент экстенсивности показывает уровень использования оборудования по времени.</w:t>
      </w:r>
    </w:p>
    <w:p w:rsidR="006866F0" w:rsidRPr="007D708A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дейст</m:t>
                  </m:r>
                </m:sub>
              </m:sSub>
            </m:den>
          </m:f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факт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фактический фонд времени работы оборудования,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действ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действительный фонд времени работы оборудования.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Продолжительность смены 8 часов, время ремонтно-профилактических работ 0,5 часа, фактическое время работы станка – 5 часов, рассчитать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66F0" w:rsidRPr="00475646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экст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=0,67</m:t>
          </m:r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сменности работы оборудования характеризует количество смен, отработанных каждой единицей оборудования за определённый период времени.</w:t>
      </w:r>
    </w:p>
    <w:p w:rsidR="006866F0" w:rsidRPr="005D1F61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5D1F61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фактически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отработанных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машиносмен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866F0" w:rsidRPr="005D1F61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общее количество станков.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цехе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установленно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55 станков, в первую смену работало 47 станков, во вторую – 42 станка, определить коэффициент сменности оборудования.</w:t>
      </w:r>
    </w:p>
    <w:p w:rsidR="006866F0" w:rsidRPr="006B7243" w:rsidRDefault="006866F0" w:rsidP="006866F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47+42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=1,62</m:t>
          </m:r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4126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интенсивного использования оборудования определяется как отношение фактической производительности оборудования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нормативной. Он показывает уровень использования оборудования по производительности.</w:t>
      </w:r>
    </w:p>
    <w:p w:rsidR="006866F0" w:rsidRPr="00BB629D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инт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факт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план</m:t>
                  </m:r>
                </m:sub>
              </m:sSub>
            </m:den>
          </m:f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Фактическая производительность в смену – 130 единиц изделий. Нормативная производительность – 190 единиц изделий.</w:t>
      </w:r>
    </w:p>
    <w:p w:rsidR="006866F0" w:rsidRPr="00A60919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инт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0,68</m:t>
          </m:r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Коэффициенты движения основных средств: коэффициент ввода, выбытия и обновления.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Коэффициент ввода показывает стоимость поступивших основных фондов по отношению к стоимости основных средств на конец отчётного периода.</w:t>
      </w:r>
    </w:p>
    <w:p w:rsidR="006866F0" w:rsidRPr="00413652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вв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кг</m:t>
                  </m:r>
                </m:sub>
              </m:sSub>
            </m:den>
          </m:f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вв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первоначальная стоимость введённых объектов основных средств,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основных средств на конец года.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Коэффициент выбытия показывает, какая часть основных фондов, с которыми предприятие начало деятельность в отчётном периоде, выбыло по разным причинам.</w:t>
      </w:r>
    </w:p>
    <w:p w:rsidR="006866F0" w:rsidRPr="00413652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нг</m:t>
                  </m:r>
                </m:sub>
              </m:sSub>
            </m:den>
          </m:f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вв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первоначальная стоимость выбывших объектов основных средств,</w:t>
      </w:r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нг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основных средств на начало года.</w:t>
      </w:r>
    </w:p>
    <w:p w:rsidR="006866F0" w:rsidRPr="00D652B8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выб</m:t>
              </m:r>
            </m:sub>
          </m:sSub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обновления показывает, какую часть от имеющихся основных фондов на конец отчётного периода составляют новые основные фонды.</w:t>
      </w:r>
    </w:p>
    <w:p w:rsidR="006866F0" w:rsidRPr="00D30D9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выб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кг</m:t>
                  </m:r>
                </m:sub>
              </m:sSub>
            </m:den>
          </m:f>
        </m:oMath>
      </m:oMathPara>
    </w:p>
    <w:p w:rsidR="006866F0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износа характеризует долю стоимости основных средств, списанных на затраты в предыдущий период. </w:t>
      </w:r>
    </w:p>
    <w:p w:rsidR="006866F0" w:rsidRPr="005C690F" w:rsidRDefault="006866F0" w:rsidP="006866F0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ам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пер</m:t>
                  </m:r>
                </m:sub>
              </m:sSub>
            </m:den>
          </m:f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годности показывает, какую часть составляет остаточная стоимость в общей начальной стоимости основных средств.</w:t>
      </w:r>
    </w:p>
    <w:p w:rsidR="006866F0" w:rsidRPr="00BA0A60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ам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пер</m:t>
                  </m:r>
                </m:sub>
              </m:sSub>
            </m:den>
          </m:f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 прироста основных фондов характеризует долю поступивших основных средств за анализируемый период в общем объёме всех имеющихся основных средств.</w:t>
      </w:r>
    </w:p>
    <w:p w:rsidR="006866F0" w:rsidRPr="00E728BB" w:rsidRDefault="006866F0" w:rsidP="006866F0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прироста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вв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выб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нг</m:t>
                  </m:r>
                </m:sub>
              </m:sSub>
            </m:den>
          </m:f>
        </m:oMath>
      </m:oMathPara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D671B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ab/>
      </w:r>
      <w:r w:rsidRPr="00CD671B">
        <w:rPr>
          <w:rFonts w:ascii="Times New Roman" w:eastAsiaTheme="minorEastAsia" w:hAnsi="Times New Roman" w:cs="Times New Roman"/>
          <w:b/>
          <w:sz w:val="28"/>
          <w:szCs w:val="28"/>
        </w:rPr>
        <w:t>Производственная мощность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Производственная мощность – максимально возможный объём выпуска продукции за единицу времени при заданной номенклатуре и ассортименте с учётом наилучшего использования всех ресурсов, с учётом прогрессивной технологии, передовой организации производства и труда, обеспечения высокого качества продукции, которая имеется на предприятии. Производственная мощность структурных единиц производства рассчитывается на год (реже квартал или месяц). Производственная мощность рассчитывается по всей номенклатуре предприятия и по каждому виду отдельно.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Оборотные средства промышленного предприятия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Оборотные средства предприятия – совокупность денежных средств, авансированных в средства производства, однократно участвующих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производтсвенном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цикле и полностью переносящих свою стоимость на готовый продукт. Имуществом предприятия являются оборотные средства, т.е. активы, которые представляют собой совокупность оборотных фондов и фондов обращения в стоимостной форме. Оборотные средства классифицируются по следующим признакам: по экономическому содержанию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оборотно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-производственные фонды и фонды обращения), по источникам формирования (собственные, заёмные и привлечённые), по особенностям контроля, планирования и управления (нормированные и ненормированные). Оборотные средства предприятия постоянно находятся в движении и совершают кругооборот и последовательно совершают следующие стадии: подготовительная, производственная, товарная. Время, в течение которого оборотные средства совершают полный кругооборот, называется периодом оборота оборотных средств. По источникам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формирования оборотные средства подразделяются на собственные (те средства, которые находятся у предприятия и формируются за счёт собственных ресурсов, нераспределённой прибыли), заёмные.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Уставной капитал – сумма средств первоначально инвестированных собственниками для обеспечения уставной деятельности предприятия.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Резервный капитал – средства, которые идут на покрытые убытков предприятия. Он образуется за счёт отчислений из чистой прибыли. Размер отчислений определяется деятельностью предприятия и уставом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предпиятия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Добавочный капитал – дополнительная сумма денежных средств, получаемая после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дооценки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имущества предприятия.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Дооценка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увеличение стоимости активов в результате их переоценки. Цели, на которые может быть израсходован дополнительный капитал, ограничены законодательством РФ. Средства добавочного капитала могут быть направлены на увеличение уставного капитала и могут быть распределены между учредителями.</w:t>
      </w:r>
    </w:p>
    <w:p w:rsidR="006866F0" w:rsidRDefault="006866F0" w:rsidP="00686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Заёмные средства служат для покрытия дополнительной потребности предприятия в оборотных средствах, создающиеся за счёт банковских кредитов. </w:t>
      </w:r>
    </w:p>
    <w:p w:rsidR="006866F0" w:rsidRPr="00353F77" w:rsidRDefault="006866F0" w:rsidP="006866F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Привлечённые оборотные средства – временно свободные средства предприятия, но другого назначения, используемые для пополнения оборотного капитала (все виды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кредиторской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задолжности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предприятия).</w:t>
      </w:r>
    </w:p>
    <w:p w:rsidR="00834FD2" w:rsidRPr="006866F0" w:rsidRDefault="00834FD2" w:rsidP="006866F0">
      <w:bookmarkStart w:id="0" w:name="_GoBack"/>
      <w:bookmarkEnd w:id="0"/>
    </w:p>
    <w:sectPr w:rsidR="00834FD2" w:rsidRPr="00686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C09FD"/>
    <w:multiLevelType w:val="hybridMultilevel"/>
    <w:tmpl w:val="5AD28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92E6C"/>
    <w:multiLevelType w:val="hybridMultilevel"/>
    <w:tmpl w:val="C0DAFBF8"/>
    <w:lvl w:ilvl="0" w:tplc="7DB034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AB"/>
    <w:rsid w:val="00041E75"/>
    <w:rsid w:val="0005036E"/>
    <w:rsid w:val="00075D44"/>
    <w:rsid w:val="00087111"/>
    <w:rsid w:val="000A007E"/>
    <w:rsid w:val="000A1105"/>
    <w:rsid w:val="000A2719"/>
    <w:rsid w:val="000B0F7F"/>
    <w:rsid w:val="000E77D3"/>
    <w:rsid w:val="000F06D1"/>
    <w:rsid w:val="00102C4C"/>
    <w:rsid w:val="0012514C"/>
    <w:rsid w:val="0013737C"/>
    <w:rsid w:val="00144824"/>
    <w:rsid w:val="001454CC"/>
    <w:rsid w:val="00146466"/>
    <w:rsid w:val="00160059"/>
    <w:rsid w:val="001B27FC"/>
    <w:rsid w:val="001F3845"/>
    <w:rsid w:val="001F60B7"/>
    <w:rsid w:val="00212A43"/>
    <w:rsid w:val="00217ED7"/>
    <w:rsid w:val="00222D52"/>
    <w:rsid w:val="00225B83"/>
    <w:rsid w:val="00236F09"/>
    <w:rsid w:val="00237310"/>
    <w:rsid w:val="00241FA6"/>
    <w:rsid w:val="00250DE3"/>
    <w:rsid w:val="002609B5"/>
    <w:rsid w:val="00283A33"/>
    <w:rsid w:val="002965E3"/>
    <w:rsid w:val="002C0FD5"/>
    <w:rsid w:val="002F5832"/>
    <w:rsid w:val="003419E7"/>
    <w:rsid w:val="00384E24"/>
    <w:rsid w:val="00392809"/>
    <w:rsid w:val="003A14F0"/>
    <w:rsid w:val="003A3D80"/>
    <w:rsid w:val="003A711E"/>
    <w:rsid w:val="003B4231"/>
    <w:rsid w:val="003D0A88"/>
    <w:rsid w:val="003D129F"/>
    <w:rsid w:val="003D1E2E"/>
    <w:rsid w:val="003F1675"/>
    <w:rsid w:val="00432E01"/>
    <w:rsid w:val="00435984"/>
    <w:rsid w:val="00455A8F"/>
    <w:rsid w:val="00490138"/>
    <w:rsid w:val="004D41E4"/>
    <w:rsid w:val="004D436D"/>
    <w:rsid w:val="004E758F"/>
    <w:rsid w:val="004F5CA2"/>
    <w:rsid w:val="004F774B"/>
    <w:rsid w:val="00540976"/>
    <w:rsid w:val="00550483"/>
    <w:rsid w:val="00552A48"/>
    <w:rsid w:val="005831B8"/>
    <w:rsid w:val="005A51A2"/>
    <w:rsid w:val="005A5DF7"/>
    <w:rsid w:val="005B7061"/>
    <w:rsid w:val="005C3D3D"/>
    <w:rsid w:val="005E4B99"/>
    <w:rsid w:val="006078CA"/>
    <w:rsid w:val="006123A5"/>
    <w:rsid w:val="00612BA2"/>
    <w:rsid w:val="0062093A"/>
    <w:rsid w:val="006728C8"/>
    <w:rsid w:val="006866F0"/>
    <w:rsid w:val="006A1117"/>
    <w:rsid w:val="006A32A4"/>
    <w:rsid w:val="006D69AA"/>
    <w:rsid w:val="00702D49"/>
    <w:rsid w:val="007078D9"/>
    <w:rsid w:val="00713E9B"/>
    <w:rsid w:val="00735E3F"/>
    <w:rsid w:val="00753F1F"/>
    <w:rsid w:val="007723BD"/>
    <w:rsid w:val="0079119A"/>
    <w:rsid w:val="00794E5D"/>
    <w:rsid w:val="007A7635"/>
    <w:rsid w:val="007C44AB"/>
    <w:rsid w:val="007C4979"/>
    <w:rsid w:val="007F636A"/>
    <w:rsid w:val="007F6D0E"/>
    <w:rsid w:val="00807F2F"/>
    <w:rsid w:val="008167FF"/>
    <w:rsid w:val="00834FD2"/>
    <w:rsid w:val="00844F0C"/>
    <w:rsid w:val="00860D7F"/>
    <w:rsid w:val="00864AB3"/>
    <w:rsid w:val="00882464"/>
    <w:rsid w:val="008826FD"/>
    <w:rsid w:val="00893AC3"/>
    <w:rsid w:val="008954E6"/>
    <w:rsid w:val="008A7E81"/>
    <w:rsid w:val="008C27D3"/>
    <w:rsid w:val="008E50BE"/>
    <w:rsid w:val="008F5AB3"/>
    <w:rsid w:val="00910BFD"/>
    <w:rsid w:val="00916822"/>
    <w:rsid w:val="00941581"/>
    <w:rsid w:val="009435A9"/>
    <w:rsid w:val="009460D0"/>
    <w:rsid w:val="009565B4"/>
    <w:rsid w:val="00971D3F"/>
    <w:rsid w:val="00981910"/>
    <w:rsid w:val="00987965"/>
    <w:rsid w:val="009950A4"/>
    <w:rsid w:val="009B4EE8"/>
    <w:rsid w:val="009B740E"/>
    <w:rsid w:val="009C37EA"/>
    <w:rsid w:val="009E1CB8"/>
    <w:rsid w:val="009E2DF2"/>
    <w:rsid w:val="009E3192"/>
    <w:rsid w:val="009F632E"/>
    <w:rsid w:val="00A41B1B"/>
    <w:rsid w:val="00A60917"/>
    <w:rsid w:val="00A60CF5"/>
    <w:rsid w:val="00A60F36"/>
    <w:rsid w:val="00A70211"/>
    <w:rsid w:val="00A82B91"/>
    <w:rsid w:val="00A845D9"/>
    <w:rsid w:val="00A87232"/>
    <w:rsid w:val="00A964A5"/>
    <w:rsid w:val="00AB0812"/>
    <w:rsid w:val="00AC1C45"/>
    <w:rsid w:val="00AD2683"/>
    <w:rsid w:val="00AD5622"/>
    <w:rsid w:val="00AF0682"/>
    <w:rsid w:val="00B020C9"/>
    <w:rsid w:val="00B03B75"/>
    <w:rsid w:val="00B31531"/>
    <w:rsid w:val="00B343F7"/>
    <w:rsid w:val="00B36568"/>
    <w:rsid w:val="00B847D9"/>
    <w:rsid w:val="00B93AA7"/>
    <w:rsid w:val="00BA0B5C"/>
    <w:rsid w:val="00BA1B85"/>
    <w:rsid w:val="00BA39A5"/>
    <w:rsid w:val="00BA7447"/>
    <w:rsid w:val="00BB1A4D"/>
    <w:rsid w:val="00BE67E7"/>
    <w:rsid w:val="00C113B5"/>
    <w:rsid w:val="00C426B1"/>
    <w:rsid w:val="00C44F58"/>
    <w:rsid w:val="00C463D8"/>
    <w:rsid w:val="00D20B2E"/>
    <w:rsid w:val="00D27043"/>
    <w:rsid w:val="00D2750D"/>
    <w:rsid w:val="00D57C77"/>
    <w:rsid w:val="00D62C5B"/>
    <w:rsid w:val="00D90A8A"/>
    <w:rsid w:val="00D9163B"/>
    <w:rsid w:val="00D94DEF"/>
    <w:rsid w:val="00DC06F7"/>
    <w:rsid w:val="00DC64F1"/>
    <w:rsid w:val="00DF3B62"/>
    <w:rsid w:val="00E01055"/>
    <w:rsid w:val="00E25148"/>
    <w:rsid w:val="00E31A4D"/>
    <w:rsid w:val="00E6432A"/>
    <w:rsid w:val="00E96141"/>
    <w:rsid w:val="00EA1943"/>
    <w:rsid w:val="00EC1560"/>
    <w:rsid w:val="00EC198B"/>
    <w:rsid w:val="00EC4F7E"/>
    <w:rsid w:val="00EE2713"/>
    <w:rsid w:val="00F03FDF"/>
    <w:rsid w:val="00F07713"/>
    <w:rsid w:val="00F16BCC"/>
    <w:rsid w:val="00F17823"/>
    <w:rsid w:val="00F34CEF"/>
    <w:rsid w:val="00F450E4"/>
    <w:rsid w:val="00F5120E"/>
    <w:rsid w:val="00F56298"/>
    <w:rsid w:val="00F72FBC"/>
    <w:rsid w:val="00F8723D"/>
    <w:rsid w:val="00F95C10"/>
    <w:rsid w:val="00FB7162"/>
    <w:rsid w:val="00FC14D8"/>
    <w:rsid w:val="00FC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6F0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6F0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6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BC52-CE68-467A-B623-731366B3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2394</Words>
  <Characters>13651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176</cp:revision>
  <dcterms:created xsi:type="dcterms:W3CDTF">2023-09-12T07:13:00Z</dcterms:created>
  <dcterms:modified xsi:type="dcterms:W3CDTF">2023-09-26T13:02:00Z</dcterms:modified>
</cp:coreProperties>
</file>