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D5696E" w:rsidRPr="000E3056" w14:paraId="47D7CD2A" w14:textId="77777777" w:rsidTr="00451901">
        <w:tc>
          <w:tcPr>
            <w:tcW w:w="1588" w:type="dxa"/>
            <w:vAlign w:val="center"/>
            <w:hideMark/>
          </w:tcPr>
          <w:p w14:paraId="326E648D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7ED6DEF8" wp14:editId="1434B939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5014550E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370FE024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771687B0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36605723" w14:textId="77777777" w:rsidR="00D5696E" w:rsidRPr="000E3056" w:rsidRDefault="00D5696E" w:rsidP="00451901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28FB9848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570DCF55" w14:textId="77777777" w:rsidR="00D5696E" w:rsidRPr="000E3056" w:rsidRDefault="00D5696E" w:rsidP="00451901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050"/>
      </w:tblGrid>
      <w:tr w:rsidR="00D5696E" w:rsidRPr="000E3056" w14:paraId="4D5A5585" w14:textId="77777777" w:rsidTr="00451901">
        <w:trPr>
          <w:trHeight w:val="454"/>
        </w:trPr>
        <w:tc>
          <w:tcPr>
            <w:tcW w:w="2022" w:type="dxa"/>
            <w:vAlign w:val="bottom"/>
            <w:hideMark/>
          </w:tcPr>
          <w:p w14:paraId="3CE6A391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771DCD4F" w14:textId="7977458B" w:rsidR="00D5696E" w:rsidRPr="000E3056" w:rsidRDefault="001300AD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300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МК «Машиностроительный»</w:t>
            </w:r>
          </w:p>
        </w:tc>
      </w:tr>
      <w:tr w:rsidR="00D5696E" w:rsidRPr="000E3056" w14:paraId="6AAA9619" w14:textId="77777777" w:rsidTr="00451901">
        <w:trPr>
          <w:trHeight w:val="454"/>
        </w:trPr>
        <w:tc>
          <w:tcPr>
            <w:tcW w:w="2022" w:type="dxa"/>
            <w:vAlign w:val="bottom"/>
            <w:hideMark/>
          </w:tcPr>
          <w:p w14:paraId="1D8FB90B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BA99CA" w14:textId="6FB3D61C" w:rsidR="00D5696E" w:rsidRPr="000E3056" w:rsidRDefault="001300AD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300AD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МК8 «Организация и управление производством»</w:t>
            </w:r>
          </w:p>
        </w:tc>
      </w:tr>
    </w:tbl>
    <w:p w14:paraId="5174573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77422DE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40E79963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0FF433B9" w14:textId="41A847E8" w:rsidR="00D5696E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6FDB6286" w14:textId="4E5FA750" w:rsidR="00410EB2" w:rsidRDefault="00410EB2" w:rsidP="00D5696E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67101FF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5866598B" w14:textId="40910F99" w:rsidR="00D5696E" w:rsidRPr="002720F5" w:rsidRDefault="001300AD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Домашняя</w:t>
      </w:r>
      <w:r w:rsidR="00D5696E"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работа</w:t>
      </w:r>
    </w:p>
    <w:p w14:paraId="69861564" w14:textId="77777777" w:rsidR="00D5696E" w:rsidRPr="00782CE3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57EF8CBF" w14:textId="10A38F73" w:rsidR="00D5696E" w:rsidRPr="00782CE3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1300AD">
        <w:rPr>
          <w:rFonts w:ascii="Times New Roman" w:hAnsi="Times New Roman" w:cs="Times New Roman"/>
          <w:b/>
          <w:sz w:val="32"/>
          <w:szCs w:val="32"/>
        </w:rPr>
        <w:t>И</w:t>
      </w:r>
      <w:r w:rsidR="001300AD" w:rsidRPr="001300AD">
        <w:rPr>
          <w:rFonts w:ascii="Times New Roman" w:hAnsi="Times New Roman" w:cs="Times New Roman"/>
          <w:b/>
          <w:sz w:val="32"/>
          <w:szCs w:val="32"/>
        </w:rPr>
        <w:t>спользование кадровых технологий в производственной деятельности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1BF7590D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B1FFD25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53F61D7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993013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7ED620DD" w14:textId="0571F670" w:rsidR="00D5696E" w:rsidRPr="000E3056" w:rsidRDefault="00D5696E" w:rsidP="00D5696E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="001300AD" w:rsidRPr="001300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Управление персоналом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7B7C7ED" w14:textId="77777777" w:rsidR="00D5696E" w:rsidRPr="002C43BE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07DC2DC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3A96430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4755F5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5D7D856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D5696E" w:rsidRPr="000E3056" w14:paraId="354B7DE0" w14:textId="77777777" w:rsidTr="00451901">
        <w:tc>
          <w:tcPr>
            <w:tcW w:w="4390" w:type="dxa"/>
            <w:gridSpan w:val="2"/>
            <w:hideMark/>
          </w:tcPr>
          <w:p w14:paraId="04933084" w14:textId="078BD32B" w:rsidR="00D5696E" w:rsidRPr="00D5696E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 w:rsidRPr="007E1BA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283" w:type="dxa"/>
          </w:tcPr>
          <w:p w14:paraId="1DB8E031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7D8008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61A590A4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C656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5D879427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0DDEC74" w14:textId="77777777" w:rsidTr="00451901">
        <w:tc>
          <w:tcPr>
            <w:tcW w:w="1862" w:type="dxa"/>
          </w:tcPr>
          <w:p w14:paraId="2C28CED2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4931CF7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ACAFEE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8A2CA14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82F1E09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9FFEA9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EF9668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D5696E" w:rsidRPr="000E3056" w14:paraId="0B9E93BC" w14:textId="77777777" w:rsidTr="00451901">
        <w:tc>
          <w:tcPr>
            <w:tcW w:w="4390" w:type="dxa"/>
            <w:gridSpan w:val="2"/>
            <w:hideMark/>
          </w:tcPr>
          <w:p w14:paraId="3CC50192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CDA194D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0981F5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35CB4588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374EB8" w14:textId="7E016F85" w:rsidR="00D5696E" w:rsidRPr="00EE3E20" w:rsidRDefault="001300AD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Иконникова И.В.</w:t>
            </w:r>
          </w:p>
        </w:tc>
        <w:tc>
          <w:tcPr>
            <w:tcW w:w="310" w:type="dxa"/>
            <w:vAlign w:val="bottom"/>
            <w:hideMark/>
          </w:tcPr>
          <w:p w14:paraId="2ED3BA4B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D5696E" w:rsidRPr="000E3056" w14:paraId="6EB7D6E0" w14:textId="77777777" w:rsidTr="00451901">
        <w:tc>
          <w:tcPr>
            <w:tcW w:w="1862" w:type="dxa"/>
          </w:tcPr>
          <w:p w14:paraId="5D964785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6942AA4E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3D8C6F3E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4F946F7F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0C862A0A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12077F6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44AE5320" w14:textId="77777777" w:rsidR="00D5696E" w:rsidRPr="000E3056" w:rsidRDefault="00D5696E" w:rsidP="00451901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1DBB50EE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61C702F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C089DFA" w14:textId="77777777" w:rsidR="00D5696E" w:rsidRPr="000E3056" w:rsidRDefault="00D5696E" w:rsidP="00D5696E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D5696E" w:rsidRPr="000E3056" w14:paraId="3AA1BCA7" w14:textId="77777777" w:rsidTr="00451901">
        <w:trPr>
          <w:trHeight w:val="877"/>
        </w:trPr>
        <w:tc>
          <w:tcPr>
            <w:tcW w:w="9570" w:type="dxa"/>
            <w:gridSpan w:val="2"/>
            <w:hideMark/>
          </w:tcPr>
          <w:p w14:paraId="71A17707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5A604772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D5696E" w:rsidRPr="000E3056" w14:paraId="65087092" w14:textId="77777777" w:rsidTr="00451901">
        <w:trPr>
          <w:trHeight w:val="1096"/>
        </w:trPr>
        <w:tc>
          <w:tcPr>
            <w:tcW w:w="3179" w:type="dxa"/>
          </w:tcPr>
          <w:p w14:paraId="69CF1D25" w14:textId="77777777" w:rsidR="00D5696E" w:rsidRPr="000E3056" w:rsidRDefault="00D5696E" w:rsidP="00451901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499E0369" w14:textId="77777777" w:rsidR="00D5696E" w:rsidRPr="000E3056" w:rsidRDefault="00D5696E" w:rsidP="0045190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4DF5AD5C" w14:textId="77777777" w:rsidR="00D5696E" w:rsidRPr="000E3056" w:rsidRDefault="00D5696E" w:rsidP="00451901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0FD37C31" w14:textId="77777777" w:rsidR="00D5696E" w:rsidRPr="000E3056" w:rsidRDefault="00D5696E" w:rsidP="00D56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500D89" w14:textId="77777777" w:rsidR="00D5696E" w:rsidRPr="000F4E0D" w:rsidRDefault="00D5696E" w:rsidP="00D5696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1FF6F8E7" w14:textId="175DAAF1" w:rsidR="002720F5" w:rsidRDefault="00B90CB1" w:rsidP="00AD257E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="001300AD" w:rsidRPr="001300AD">
        <w:rPr>
          <w:rFonts w:ascii="Times New Roman" w:hAnsi="Times New Roman" w:cs="Times New Roman"/>
          <w:sz w:val="28"/>
          <w:szCs w:val="28"/>
        </w:rPr>
        <w:t>формирование у студентов практических навыков по применению на практике современных методов управления персоналом и организации работы с персоналом.</w:t>
      </w:r>
    </w:p>
    <w:p w14:paraId="7380B211" w14:textId="7F4BF4B0" w:rsidR="000766DF" w:rsidRDefault="00B90CB1" w:rsidP="001300AD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90CB1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0EE99460" w14:textId="77777777" w:rsidR="001300AD" w:rsidRPr="001300AD" w:rsidRDefault="001300AD" w:rsidP="001300AD">
      <w:pPr>
        <w:pStyle w:val="2"/>
      </w:pPr>
      <w:r w:rsidRPr="001300AD">
        <w:rPr>
          <w:b/>
          <w:bCs/>
        </w:rPr>
        <w:t>-</w:t>
      </w:r>
      <w:r w:rsidRPr="001300AD">
        <w:rPr>
          <w:b/>
          <w:bCs/>
        </w:rPr>
        <w:tab/>
      </w:r>
      <w:r w:rsidRPr="001300AD">
        <w:t xml:space="preserve">спроектировать кадровую политику на предприятии; </w:t>
      </w:r>
    </w:p>
    <w:p w14:paraId="31EDD09C" w14:textId="77777777" w:rsidR="001300AD" w:rsidRPr="001300AD" w:rsidRDefault="001300AD" w:rsidP="001300AD">
      <w:pPr>
        <w:pStyle w:val="2"/>
      </w:pPr>
      <w:r w:rsidRPr="001300AD">
        <w:t>-</w:t>
      </w:r>
      <w:r w:rsidRPr="001300AD">
        <w:tab/>
        <w:t xml:space="preserve">разработать алгоритм построения системы управления персоналом; </w:t>
      </w:r>
    </w:p>
    <w:p w14:paraId="0B68D12F" w14:textId="77777777" w:rsidR="001300AD" w:rsidRPr="001300AD" w:rsidRDefault="001300AD" w:rsidP="001300AD">
      <w:pPr>
        <w:pStyle w:val="2"/>
      </w:pPr>
      <w:r w:rsidRPr="001300AD">
        <w:t>-</w:t>
      </w:r>
      <w:r w:rsidRPr="001300AD">
        <w:tab/>
        <w:t>оценить стиль управления;</w:t>
      </w:r>
    </w:p>
    <w:p w14:paraId="4F2DA9C0" w14:textId="77777777" w:rsidR="001300AD" w:rsidRPr="001300AD" w:rsidRDefault="001300AD" w:rsidP="001300AD">
      <w:pPr>
        <w:pStyle w:val="2"/>
      </w:pPr>
      <w:r w:rsidRPr="001300AD">
        <w:t>-</w:t>
      </w:r>
      <w:r w:rsidRPr="001300AD">
        <w:tab/>
        <w:t>рассчитать кадровые показатели;</w:t>
      </w:r>
    </w:p>
    <w:p w14:paraId="25D61500" w14:textId="51DF0CC9" w:rsidR="001300AD" w:rsidRPr="001300AD" w:rsidRDefault="001300AD" w:rsidP="001300AD">
      <w:pPr>
        <w:pStyle w:val="2"/>
      </w:pPr>
      <w:r w:rsidRPr="001300AD">
        <w:t>-</w:t>
      </w:r>
      <w:r w:rsidRPr="001300AD">
        <w:tab/>
        <w:t>оценивать эффективность выполнения работы с персоналом</w:t>
      </w:r>
      <w:r w:rsidRPr="001300AD">
        <w:t>;</w:t>
      </w:r>
    </w:p>
    <w:p w14:paraId="12ED01E9" w14:textId="74FA5574" w:rsidR="001300AD" w:rsidRDefault="001300AD" w:rsidP="001300AD">
      <w:pPr>
        <w:pStyle w:val="2"/>
      </w:pPr>
      <w:r w:rsidRPr="001300AD">
        <w:t>-</w:t>
      </w:r>
      <w:r w:rsidRPr="001300AD">
        <w:tab/>
        <w:t>оформить отчет (в произвольной форме) по результатам аналитических работ.</w:t>
      </w:r>
    </w:p>
    <w:p w14:paraId="42AD4C8F" w14:textId="396074B7" w:rsidR="001300AD" w:rsidRDefault="001300AD" w:rsidP="001300AD">
      <w:pPr>
        <w:pStyle w:val="2"/>
        <w:rPr>
          <w:b/>
          <w:bCs/>
        </w:rPr>
      </w:pPr>
      <w:r>
        <w:rPr>
          <w:b/>
          <w:bCs/>
        </w:rPr>
        <w:t>Постановка задачи</w:t>
      </w:r>
    </w:p>
    <w:p w14:paraId="446A6F91" w14:textId="459D6491" w:rsidR="001300AD" w:rsidRDefault="001300AD" w:rsidP="001300AD">
      <w:pPr>
        <w:pStyle w:val="2"/>
      </w:pPr>
      <w:r w:rsidRPr="001300AD">
        <w:t>На примере конкретной организации (предприятия) рассмотреть кадровую политику и применяемые в кадровой деятельности методы управления персоналом.</w:t>
      </w:r>
    </w:p>
    <w:p w14:paraId="4227DB41" w14:textId="79D31B98" w:rsidR="001300AD" w:rsidRDefault="001300AD" w:rsidP="001300AD">
      <w:pPr>
        <w:pStyle w:val="2"/>
        <w:rPr>
          <w:b/>
          <w:bCs/>
        </w:rPr>
      </w:pPr>
      <w:r>
        <w:rPr>
          <w:b/>
          <w:bCs/>
        </w:rPr>
        <w:t>Результаты выполнения работы</w:t>
      </w:r>
    </w:p>
    <w:p w14:paraId="42A6973C" w14:textId="58A9056C" w:rsidR="000C5BAC" w:rsidRPr="000C5BAC" w:rsidRDefault="000C5BAC" w:rsidP="000C5BAC">
      <w:pPr>
        <w:pStyle w:val="2"/>
      </w:pPr>
      <w:r w:rsidRPr="000C5BAC">
        <w:t xml:space="preserve">ООО </w:t>
      </w:r>
      <w:r>
        <w:t>«</w:t>
      </w:r>
      <w:proofErr w:type="spellStart"/>
      <w:r w:rsidRPr="000C5BAC">
        <w:t>Орби</w:t>
      </w:r>
      <w:proofErr w:type="spellEnd"/>
      <w:r w:rsidRPr="000C5BAC">
        <w:t xml:space="preserve"> Системс</w:t>
      </w:r>
      <w:r>
        <w:t>»</w:t>
      </w:r>
      <w:r w:rsidRPr="000C5BAC">
        <w:t xml:space="preserve"> — малое предприятие в сфере IT, специализирующееся на разработке геоинформационных систем и веб-технологий. В компании работает 30 человек, и ключевая задача кадровой политики состоит в формировании команды узкоспециализированных специалистов, чьи навыки дополняют друг друга для достижения высоких результатов. Организация стремится создать комфортные условия для профессионального развития сотрудников, поддерживая инновации и качество.</w:t>
      </w:r>
    </w:p>
    <w:p w14:paraId="0C04A501" w14:textId="77777777" w:rsidR="000C5BAC" w:rsidRPr="000C5BAC" w:rsidRDefault="000C5BAC" w:rsidP="000C5BAC">
      <w:pPr>
        <w:pStyle w:val="2"/>
        <w:rPr>
          <w:b/>
          <w:bCs/>
        </w:rPr>
      </w:pPr>
      <w:r w:rsidRPr="000C5BAC">
        <w:rPr>
          <w:b/>
          <w:bCs/>
        </w:rPr>
        <w:t>Кадровая политика</w:t>
      </w:r>
    </w:p>
    <w:p w14:paraId="293AC06D" w14:textId="77777777" w:rsidR="000C5BAC" w:rsidRPr="000C5BAC" w:rsidRDefault="000C5BAC" w:rsidP="000C5BAC">
      <w:pPr>
        <w:pStyle w:val="2"/>
      </w:pPr>
      <w:r w:rsidRPr="000C5BAC">
        <w:t xml:space="preserve">Основной целью кадровой политики компании является привлечение квалифицированных сотрудников, которые не только соответствуют высоким профессиональным стандартам, но и способны эффективно интегрироваться в команду. Приоритет отдается кандидатам, проявляющим </w:t>
      </w:r>
      <w:r w:rsidRPr="000C5BAC">
        <w:lastRenderedPageBreak/>
        <w:t>готовность к обучению и работе в коллективе. Ключевые ценности кадровой политики — инновации и ориентация на качество, которые лежат в основе корпоративной культуры.</w:t>
      </w:r>
    </w:p>
    <w:p w14:paraId="4DF4DDC1" w14:textId="77777777" w:rsidR="000C5BAC" w:rsidRPr="000C5BAC" w:rsidRDefault="000C5BAC" w:rsidP="000C5BAC">
      <w:pPr>
        <w:pStyle w:val="2"/>
      </w:pPr>
      <w:r w:rsidRPr="000C5BAC">
        <w:t>Несмотря на высокие амбиции, компания сталкивается с трудностями, связанными с текучестью кадров. Основные причины этого — узкая специализация задач, ограничивающая возможности карьерного роста, а также недостаточный акцент на нематериальной мотивации и работе с конфликтами.</w:t>
      </w:r>
    </w:p>
    <w:p w14:paraId="45EC0BE1" w14:textId="2E9C9892" w:rsidR="000C5BAC" w:rsidRPr="000C5BAC" w:rsidRDefault="000C5BAC" w:rsidP="000C5BAC">
      <w:pPr>
        <w:pStyle w:val="2"/>
        <w:rPr>
          <w:b/>
          <w:bCs/>
        </w:rPr>
      </w:pPr>
      <w:r w:rsidRPr="000C5BAC">
        <w:rPr>
          <w:b/>
          <w:bCs/>
        </w:rPr>
        <w:t>Процесс найма</w:t>
      </w:r>
    </w:p>
    <w:p w14:paraId="0B909D9E" w14:textId="77777777" w:rsidR="000C5BAC" w:rsidRPr="000C5BAC" w:rsidRDefault="000C5BAC" w:rsidP="000C5BAC">
      <w:pPr>
        <w:pStyle w:val="2"/>
      </w:pPr>
      <w:r w:rsidRPr="000C5BAC">
        <w:t xml:space="preserve">Поиск кандидатов осуществляется через платформу </w:t>
      </w:r>
      <w:proofErr w:type="spellStart"/>
      <w:r w:rsidRPr="000C5BAC">
        <w:t>HeadHunter</w:t>
      </w:r>
      <w:proofErr w:type="spellEnd"/>
      <w:r w:rsidRPr="000C5BAC">
        <w:t xml:space="preserve">. Процесс найма включает несколько этапов: изучение резюме, собеседование, выполнение тестового задания и прохождение испытательного срока. Однако компания не использует методы оценки </w:t>
      </w:r>
      <w:proofErr w:type="spellStart"/>
      <w:r w:rsidRPr="000C5BAC">
        <w:t>soft</w:t>
      </w:r>
      <w:proofErr w:type="spellEnd"/>
      <w:r w:rsidRPr="000C5BAC">
        <w:t xml:space="preserve"> </w:t>
      </w:r>
      <w:proofErr w:type="spellStart"/>
      <w:r w:rsidRPr="000C5BAC">
        <w:t>skills</w:t>
      </w:r>
      <w:proofErr w:type="spellEnd"/>
      <w:r w:rsidRPr="000C5BAC">
        <w:t>, что ограничивает возможности выявления кандидатов с высоким потенциалом для интеграции в команду и развития корпоративной культуры. Основными требованиями к кандидатам остаются профессиональные навыки, умение работать в команде и желание обучаться.</w:t>
      </w:r>
    </w:p>
    <w:p w14:paraId="45FB78EF" w14:textId="77777777" w:rsidR="000C5BAC" w:rsidRPr="000C5BAC" w:rsidRDefault="000C5BAC" w:rsidP="000C5BAC">
      <w:pPr>
        <w:pStyle w:val="2"/>
        <w:rPr>
          <w:b/>
          <w:bCs/>
        </w:rPr>
      </w:pPr>
      <w:r w:rsidRPr="000C5BAC">
        <w:rPr>
          <w:b/>
          <w:bCs/>
        </w:rPr>
        <w:t>Развитие сотрудников</w:t>
      </w:r>
    </w:p>
    <w:p w14:paraId="5B5B4E0D" w14:textId="3DB5E421" w:rsidR="000C5BAC" w:rsidRPr="000C5BAC" w:rsidRDefault="000C5BAC" w:rsidP="000C5BAC">
      <w:pPr>
        <w:pStyle w:val="2"/>
      </w:pPr>
      <w:r w:rsidRPr="000C5BAC">
        <w:t xml:space="preserve">В ООО </w:t>
      </w:r>
      <w:r>
        <w:t>«</w:t>
      </w:r>
      <w:proofErr w:type="spellStart"/>
      <w:r w:rsidRPr="000C5BAC">
        <w:t>Орби</w:t>
      </w:r>
      <w:proofErr w:type="spellEnd"/>
      <w:r w:rsidRPr="000C5BAC">
        <w:t xml:space="preserve"> Системс</w:t>
      </w:r>
      <w:r>
        <w:t>»</w:t>
      </w:r>
      <w:r w:rsidRPr="000C5BAC">
        <w:t xml:space="preserve"> процесс обучения и адаптации сотрудников построен на менторстве. Сотрудники находятся под руководством более опытных коллег до тех пор, пока не достигают уровня </w:t>
      </w:r>
      <w:proofErr w:type="spellStart"/>
      <w:r w:rsidRPr="000C5BAC">
        <w:t>middle</w:t>
      </w:r>
      <w:proofErr w:type="spellEnd"/>
      <w:r w:rsidRPr="000C5BAC">
        <w:t>. Этот момент фиксируется повышением по должности. Темы, актуальные для обучения, включают геоинформационные системы и веб-технологии.</w:t>
      </w:r>
    </w:p>
    <w:p w14:paraId="58CE31C5" w14:textId="77777777" w:rsidR="000C5BAC" w:rsidRPr="000C5BAC" w:rsidRDefault="000C5BAC" w:rsidP="000C5BAC">
      <w:pPr>
        <w:pStyle w:val="2"/>
      </w:pPr>
      <w:r w:rsidRPr="000C5BAC">
        <w:t>Дополнительные возможности обучения предоставляются сотрудникам через участие в конференциях, однако внутренние образовательные мероприятия не организуются на регулярной основе. Это оставляет пространство для улучшений в части системного подхода к развитию сотрудников.</w:t>
      </w:r>
    </w:p>
    <w:p w14:paraId="6B4E77B0" w14:textId="77777777" w:rsidR="000C5BAC" w:rsidRDefault="000C5BAC" w:rsidP="000C5BAC">
      <w:pPr>
        <w:pStyle w:val="2"/>
        <w:rPr>
          <w:b/>
          <w:bCs/>
        </w:rPr>
      </w:pPr>
    </w:p>
    <w:p w14:paraId="795845BA" w14:textId="05FD8E73" w:rsidR="000C5BAC" w:rsidRPr="000C5BAC" w:rsidRDefault="000C5BAC" w:rsidP="000C5BAC">
      <w:pPr>
        <w:pStyle w:val="2"/>
        <w:rPr>
          <w:b/>
          <w:bCs/>
        </w:rPr>
      </w:pPr>
      <w:r w:rsidRPr="000C5BAC">
        <w:rPr>
          <w:b/>
          <w:bCs/>
        </w:rPr>
        <w:lastRenderedPageBreak/>
        <w:t>Мотивация и рабочая среда</w:t>
      </w:r>
    </w:p>
    <w:p w14:paraId="4A77F7BE" w14:textId="77777777" w:rsidR="000C5BAC" w:rsidRPr="000C5BAC" w:rsidRDefault="000C5BAC" w:rsidP="000C5BAC">
      <w:pPr>
        <w:pStyle w:val="2"/>
      </w:pPr>
      <w:r w:rsidRPr="000C5BAC">
        <w:t xml:space="preserve">Компания предлагает сотрудникам гибкие формы работы, включая удалённый режим и гибкий график, что положительно влияет на уровень комфорта и продуктивности. Кроме того, сотрудники получают необходимое оборудование для работы, а атмосфера </w:t>
      </w:r>
      <w:proofErr w:type="spellStart"/>
      <w:r w:rsidRPr="000C5BAC">
        <w:t>open</w:t>
      </w:r>
      <w:proofErr w:type="spellEnd"/>
      <w:r w:rsidRPr="000C5BAC">
        <w:t xml:space="preserve"> </w:t>
      </w:r>
      <w:proofErr w:type="spellStart"/>
      <w:r w:rsidRPr="000C5BAC">
        <w:t>space</w:t>
      </w:r>
      <w:proofErr w:type="spellEnd"/>
      <w:r w:rsidRPr="000C5BAC">
        <w:t xml:space="preserve"> способствует свободному взаимодействию внутри команды.</w:t>
      </w:r>
    </w:p>
    <w:p w14:paraId="77680192" w14:textId="77777777" w:rsidR="000C5BAC" w:rsidRPr="000C5BAC" w:rsidRDefault="000C5BAC" w:rsidP="000C5BAC">
      <w:pPr>
        <w:pStyle w:val="2"/>
      </w:pPr>
      <w:r w:rsidRPr="000C5BAC">
        <w:t>Материальная мотивация реализуется через премии, однако нематериальная мотивация отсутствует. Это может быть вызовом для компании, так как дополнительные меры признания заслуг и создание программ поощрения могли бы повысить вовлечённость сотрудников и снизить текучесть кадров.</w:t>
      </w:r>
    </w:p>
    <w:p w14:paraId="6C113E2A" w14:textId="77777777" w:rsidR="000C5BAC" w:rsidRPr="000C5BAC" w:rsidRDefault="000C5BAC" w:rsidP="000C5BAC">
      <w:pPr>
        <w:pStyle w:val="2"/>
      </w:pPr>
      <w:r w:rsidRPr="000C5BAC">
        <w:t xml:space="preserve">Корпоративные мероприятия, такие как празднование достижений и неформальные встречи, используются для улучшения климата внутри коллектива, но системного подхода к работе с эмоциональным состоянием сотрудников пока нет. Программы профилактики стресса, так </w:t>
      </w:r>
      <w:proofErr w:type="gramStart"/>
      <w:r w:rsidRPr="000C5BAC">
        <w:t>же</w:t>
      </w:r>
      <w:proofErr w:type="gramEnd"/>
      <w:r w:rsidRPr="000C5BAC">
        <w:t xml:space="preserve"> как и механизмы разрешения конфликтов, в компании не внедрены.</w:t>
      </w:r>
    </w:p>
    <w:p w14:paraId="6C8AC279" w14:textId="77777777" w:rsidR="000C5BAC" w:rsidRPr="000C5BAC" w:rsidRDefault="000C5BAC" w:rsidP="000C5BAC">
      <w:pPr>
        <w:pStyle w:val="2"/>
        <w:rPr>
          <w:b/>
          <w:bCs/>
        </w:rPr>
      </w:pPr>
      <w:r w:rsidRPr="000C5BAC">
        <w:rPr>
          <w:b/>
          <w:bCs/>
        </w:rPr>
        <w:t>Оценка персонала</w:t>
      </w:r>
    </w:p>
    <w:p w14:paraId="2253877B" w14:textId="77777777" w:rsidR="000C5BAC" w:rsidRPr="000C5BAC" w:rsidRDefault="000C5BAC" w:rsidP="000C5BAC">
      <w:pPr>
        <w:pStyle w:val="2"/>
      </w:pPr>
      <w:r w:rsidRPr="000C5BAC">
        <w:t>Обратная связь предоставляется по мере необходимости руководством и менторами. Основные критерии оценки включают самостоятельность выполнения задач, а также их количество и качество. Эти оценки используются для принятия решений о повышении, премировании и распределении задач между сотрудниками.</w:t>
      </w:r>
    </w:p>
    <w:p w14:paraId="79814655" w14:textId="77777777" w:rsidR="000C5BAC" w:rsidRPr="000C5BAC" w:rsidRDefault="000C5BAC" w:rsidP="000C5BAC">
      <w:pPr>
        <w:pStyle w:val="2"/>
      </w:pPr>
      <w:r w:rsidRPr="000C5BAC">
        <w:t>Тем не менее, процесс обратной связи лишён регулярности, что могло бы способствовать более чёткому контролю и развитию сотрудников.</w:t>
      </w:r>
    </w:p>
    <w:p w14:paraId="6F74241C" w14:textId="77777777" w:rsidR="000C5BAC" w:rsidRPr="000C5BAC" w:rsidRDefault="000C5BAC" w:rsidP="000C5BAC">
      <w:pPr>
        <w:pStyle w:val="2"/>
        <w:rPr>
          <w:b/>
          <w:bCs/>
        </w:rPr>
      </w:pPr>
      <w:r w:rsidRPr="000C5BAC">
        <w:rPr>
          <w:b/>
          <w:bCs/>
        </w:rPr>
        <w:t>Основные вызовы и меры решения</w:t>
      </w:r>
    </w:p>
    <w:p w14:paraId="559A427A" w14:textId="6D6DF6A9" w:rsidR="000C5BAC" w:rsidRPr="000C5BAC" w:rsidRDefault="000C5BAC" w:rsidP="000C5BAC">
      <w:pPr>
        <w:pStyle w:val="2"/>
      </w:pPr>
      <w:r w:rsidRPr="000C5BAC">
        <w:t xml:space="preserve">Высокая текучесть кадров остаётся одной из главных проблем ООО </w:t>
      </w:r>
      <w:r w:rsidR="00AE241B">
        <w:t>«</w:t>
      </w:r>
      <w:proofErr w:type="spellStart"/>
      <w:r w:rsidRPr="000C5BAC">
        <w:t>Орби</w:t>
      </w:r>
      <w:proofErr w:type="spellEnd"/>
      <w:r w:rsidRPr="000C5BAC">
        <w:t xml:space="preserve"> Системс</w:t>
      </w:r>
      <w:r w:rsidR="00AE241B">
        <w:t>»</w:t>
      </w:r>
      <w:r w:rsidRPr="000C5BAC">
        <w:t xml:space="preserve">. Руководство выявило несколько ключевых причин этого явления: неудовлетворённость карьерным ростом и ограниченная возможность развиваться из-за узкой специализации задач. Для борьбы с этими вызовами руководство компании предпринимает меры, такие как </w:t>
      </w:r>
      <w:r w:rsidRPr="000C5BAC">
        <w:lastRenderedPageBreak/>
        <w:t>повышение заработной платы, изменение профиля деятельности сотрудников и перевод их на другие проекты. Однако выходные интервью с уходящими сотрудниками не проводятся, что не позволяет полноценно анализировать причины текучести.</w:t>
      </w:r>
    </w:p>
    <w:p w14:paraId="19F52959" w14:textId="77777777" w:rsidR="000C5BAC" w:rsidRPr="000C5BAC" w:rsidRDefault="000C5BAC" w:rsidP="000C5BAC">
      <w:pPr>
        <w:pStyle w:val="2"/>
        <w:rPr>
          <w:b/>
          <w:bCs/>
        </w:rPr>
      </w:pPr>
      <w:r w:rsidRPr="000C5BAC">
        <w:rPr>
          <w:b/>
          <w:bCs/>
        </w:rPr>
        <w:t>Долгосрочные планы</w:t>
      </w:r>
    </w:p>
    <w:p w14:paraId="6D400BCD" w14:textId="77777777" w:rsidR="000C5BAC" w:rsidRPr="000C5BAC" w:rsidRDefault="000C5BAC" w:rsidP="000C5BAC">
      <w:pPr>
        <w:pStyle w:val="2"/>
      </w:pPr>
      <w:r w:rsidRPr="000C5BAC">
        <w:t>Руководство компании планирует увеличение штата сотрудников в ближайшие годы, однако стратегический план, охватывающий аспекты управления персоналом, пока не разработан. Изменений в корпоративной культуре не планируется, что может замедлить адаптацию компании к меняющимся условиям рынка труда.</w:t>
      </w:r>
    </w:p>
    <w:p w14:paraId="4D11BAD2" w14:textId="77777777" w:rsidR="000C5BAC" w:rsidRPr="000C5BAC" w:rsidRDefault="000C5BAC" w:rsidP="000C5BAC">
      <w:pPr>
        <w:pStyle w:val="2"/>
        <w:rPr>
          <w:b/>
          <w:bCs/>
        </w:rPr>
      </w:pPr>
      <w:r w:rsidRPr="000C5BAC">
        <w:rPr>
          <w:b/>
          <w:bCs/>
        </w:rPr>
        <w:t>Рекомендации</w:t>
      </w:r>
    </w:p>
    <w:p w14:paraId="3C38F42A" w14:textId="77777777" w:rsidR="000C5BAC" w:rsidRPr="000C5BAC" w:rsidRDefault="000C5BAC" w:rsidP="000C5BAC">
      <w:pPr>
        <w:pStyle w:val="2"/>
      </w:pPr>
      <w:r w:rsidRPr="000C5BAC">
        <w:t>Для повышения эффективности кадровой политики и снижения текучести кадров рекомендуется предпринять следующие шаги:</w:t>
      </w:r>
    </w:p>
    <w:p w14:paraId="6FFBBBFB" w14:textId="11A06D2D" w:rsidR="000C5BAC" w:rsidRPr="000C5BAC" w:rsidRDefault="000C5BAC" w:rsidP="00A341A0">
      <w:pPr>
        <w:pStyle w:val="2"/>
        <w:numPr>
          <w:ilvl w:val="0"/>
          <w:numId w:val="27"/>
        </w:numPr>
        <w:tabs>
          <w:tab w:val="clear" w:pos="720"/>
          <w:tab w:val="num" w:pos="360"/>
        </w:tabs>
        <w:ind w:left="142" w:firstLine="567"/>
      </w:pPr>
      <w:r w:rsidRPr="000C5BAC">
        <w:rPr>
          <w:b/>
          <w:bCs/>
        </w:rPr>
        <w:t>Улучшить процесс найма</w:t>
      </w:r>
      <w:r w:rsidR="00A341A0" w:rsidRPr="000C5BAC">
        <w:rPr>
          <w:b/>
          <w:bCs/>
        </w:rPr>
        <w:t>:</w:t>
      </w:r>
      <w:r w:rsidR="00A341A0" w:rsidRPr="000C5BAC">
        <w:t xml:space="preserve"> внедрить</w:t>
      </w:r>
      <w:r w:rsidRPr="000C5BAC">
        <w:t xml:space="preserve"> этапы оценки </w:t>
      </w:r>
      <w:proofErr w:type="spellStart"/>
      <w:r w:rsidRPr="000C5BAC">
        <w:t>soft</w:t>
      </w:r>
      <w:proofErr w:type="spellEnd"/>
      <w:r w:rsidRPr="000C5BAC">
        <w:t xml:space="preserve"> </w:t>
      </w:r>
      <w:proofErr w:type="spellStart"/>
      <w:r w:rsidRPr="000C5BAC">
        <w:t>skills</w:t>
      </w:r>
      <w:proofErr w:type="spellEnd"/>
      <w:r w:rsidRPr="000C5BAC">
        <w:t>, чтобы выявлять кандидатов, способных гармонично вписаться в корпоративную культуру.</w:t>
      </w:r>
    </w:p>
    <w:p w14:paraId="27678C63" w14:textId="58F839BB" w:rsidR="000C5BAC" w:rsidRPr="000C5BAC" w:rsidRDefault="000C5BAC" w:rsidP="00A341A0">
      <w:pPr>
        <w:pStyle w:val="2"/>
        <w:numPr>
          <w:ilvl w:val="0"/>
          <w:numId w:val="27"/>
        </w:numPr>
        <w:tabs>
          <w:tab w:val="clear" w:pos="720"/>
          <w:tab w:val="num" w:pos="360"/>
        </w:tabs>
        <w:ind w:left="142" w:firstLine="567"/>
      </w:pPr>
      <w:r w:rsidRPr="000C5BAC">
        <w:rPr>
          <w:b/>
          <w:bCs/>
        </w:rPr>
        <w:t>Развивать систему мотивации</w:t>
      </w:r>
      <w:r w:rsidR="00A341A0" w:rsidRPr="000C5BAC">
        <w:rPr>
          <w:b/>
          <w:bCs/>
        </w:rPr>
        <w:t>:</w:t>
      </w:r>
      <w:r w:rsidR="00A341A0" w:rsidRPr="000C5BAC">
        <w:t xml:space="preserve"> создать</w:t>
      </w:r>
      <w:r w:rsidRPr="000C5BAC">
        <w:t xml:space="preserve"> нематериальные стимулы, такие как признание заслуг, гибкие бонусы и программы обучения.</w:t>
      </w:r>
    </w:p>
    <w:p w14:paraId="4A8183B6" w14:textId="7A8294A4" w:rsidR="000C5BAC" w:rsidRPr="000C5BAC" w:rsidRDefault="000C5BAC" w:rsidP="00A341A0">
      <w:pPr>
        <w:pStyle w:val="2"/>
        <w:numPr>
          <w:ilvl w:val="0"/>
          <w:numId w:val="27"/>
        </w:numPr>
        <w:tabs>
          <w:tab w:val="clear" w:pos="720"/>
          <w:tab w:val="num" w:pos="360"/>
        </w:tabs>
        <w:ind w:left="142" w:firstLine="567"/>
      </w:pPr>
      <w:r w:rsidRPr="000C5BAC">
        <w:rPr>
          <w:b/>
          <w:bCs/>
        </w:rPr>
        <w:t>Оптимизировать обучение</w:t>
      </w:r>
      <w:r w:rsidR="00A341A0" w:rsidRPr="000C5BAC">
        <w:rPr>
          <w:b/>
          <w:bCs/>
        </w:rPr>
        <w:t>:</w:t>
      </w:r>
      <w:r w:rsidR="00A341A0" w:rsidRPr="000C5BAC">
        <w:t xml:space="preserve"> организовать</w:t>
      </w:r>
      <w:r w:rsidRPr="000C5BAC">
        <w:t xml:space="preserve"> регулярные внутренние образовательные мероприятия и увеличить участие сотрудников в профессиональных конференциях.</w:t>
      </w:r>
    </w:p>
    <w:p w14:paraId="65A6BD79" w14:textId="0F25C6D1" w:rsidR="000C5BAC" w:rsidRPr="000C5BAC" w:rsidRDefault="000C5BAC" w:rsidP="00A341A0">
      <w:pPr>
        <w:pStyle w:val="2"/>
        <w:numPr>
          <w:ilvl w:val="0"/>
          <w:numId w:val="27"/>
        </w:numPr>
        <w:tabs>
          <w:tab w:val="clear" w:pos="720"/>
          <w:tab w:val="num" w:pos="360"/>
        </w:tabs>
        <w:ind w:left="142" w:firstLine="567"/>
      </w:pPr>
      <w:r w:rsidRPr="000C5BAC">
        <w:rPr>
          <w:b/>
          <w:bCs/>
        </w:rPr>
        <w:t>Внедрить программы работы с конфликтами</w:t>
      </w:r>
      <w:r w:rsidR="00A341A0" w:rsidRPr="000C5BAC">
        <w:rPr>
          <w:b/>
          <w:bCs/>
        </w:rPr>
        <w:t>:</w:t>
      </w:r>
      <w:r w:rsidR="00A341A0" w:rsidRPr="000C5BAC">
        <w:t xml:space="preserve"> разработать</w:t>
      </w:r>
      <w:r w:rsidRPr="000C5BAC">
        <w:t xml:space="preserve"> официальные процедуры разрешения конфликтов и проводить тренинги по управлению эмоциями.</w:t>
      </w:r>
    </w:p>
    <w:p w14:paraId="48BFBB6D" w14:textId="29193D16" w:rsidR="000C5BAC" w:rsidRDefault="000C5BAC" w:rsidP="00A341A0">
      <w:pPr>
        <w:pStyle w:val="2"/>
        <w:numPr>
          <w:ilvl w:val="0"/>
          <w:numId w:val="27"/>
        </w:numPr>
        <w:tabs>
          <w:tab w:val="clear" w:pos="720"/>
          <w:tab w:val="num" w:pos="360"/>
        </w:tabs>
        <w:ind w:left="142" w:firstLine="567"/>
      </w:pPr>
      <w:r w:rsidRPr="000C5BAC">
        <w:rPr>
          <w:b/>
          <w:bCs/>
        </w:rPr>
        <w:t>Сформировать долгосрочную стратегию</w:t>
      </w:r>
      <w:r w:rsidR="00A341A0" w:rsidRPr="000C5BAC">
        <w:rPr>
          <w:b/>
          <w:bCs/>
        </w:rPr>
        <w:t>:</w:t>
      </w:r>
      <w:r w:rsidR="00A341A0" w:rsidRPr="000C5BAC">
        <w:t xml:space="preserve"> разработать</w:t>
      </w:r>
      <w:r w:rsidRPr="000C5BAC">
        <w:t xml:space="preserve"> план управления персоналом с учётом перспектив роста и изменения рынка труда.</w:t>
      </w:r>
    </w:p>
    <w:p w14:paraId="38CF0036" w14:textId="7847F0C7" w:rsidR="00A341A0" w:rsidRDefault="00A341A0" w:rsidP="00A341A0">
      <w:pPr>
        <w:pStyle w:val="2"/>
        <w:ind w:left="709" w:firstLine="0"/>
        <w:rPr>
          <w:b/>
          <w:bCs/>
        </w:rPr>
      </w:pPr>
    </w:p>
    <w:p w14:paraId="7AED0856" w14:textId="77777777" w:rsidR="00A341A0" w:rsidRPr="000C5BAC" w:rsidRDefault="00A341A0" w:rsidP="00A341A0">
      <w:pPr>
        <w:pStyle w:val="2"/>
        <w:ind w:left="709" w:firstLine="0"/>
      </w:pPr>
    </w:p>
    <w:p w14:paraId="7E8610B9" w14:textId="77777777" w:rsidR="000C5BAC" w:rsidRPr="000C5BAC" w:rsidRDefault="000C5BAC" w:rsidP="000C5BAC">
      <w:pPr>
        <w:pStyle w:val="2"/>
        <w:rPr>
          <w:b/>
          <w:bCs/>
        </w:rPr>
      </w:pPr>
      <w:r w:rsidRPr="000C5BAC">
        <w:rPr>
          <w:b/>
          <w:bCs/>
        </w:rPr>
        <w:lastRenderedPageBreak/>
        <w:t>Заключение</w:t>
      </w:r>
    </w:p>
    <w:p w14:paraId="32D69BF8" w14:textId="1840FF27" w:rsidR="001300AD" w:rsidRPr="00A860AC" w:rsidRDefault="000C5BAC" w:rsidP="000C5BAC">
      <w:pPr>
        <w:pStyle w:val="2"/>
      </w:pPr>
      <w:r w:rsidRPr="000C5BAC">
        <w:t>ООО "</w:t>
      </w:r>
      <w:proofErr w:type="spellStart"/>
      <w:r w:rsidRPr="000C5BAC">
        <w:t>Орби</w:t>
      </w:r>
      <w:proofErr w:type="spellEnd"/>
      <w:r w:rsidRPr="000C5BAC">
        <w:t xml:space="preserve"> Системс" демонстрирует успешные элементы кадровой политики, такие как использование менторства, поддержка гибких форм работы и внедрение демократического стиля управления. Однако компания сталкивается с вызовами, требующими более структурного подхода, особенно в вопросах мотивации, разрешения конфликтов и стратегического планирования. Реализация предложенных рекомендаций позволит компании укрепить свои позиции на рынке и создать устойчивую, мотивированную команду.</w:t>
      </w:r>
    </w:p>
    <w:p w14:paraId="6E06000E" w14:textId="5FE8C6E2" w:rsidR="00D072DC" w:rsidRPr="00C33528" w:rsidRDefault="00984908" w:rsidP="001300AD">
      <w:pPr>
        <w:spacing w:after="0" w:line="360" w:lineRule="auto"/>
        <w:ind w:firstLine="708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 xml:space="preserve">Вывод: </w:t>
      </w:r>
      <w:r w:rsidRPr="00984908">
        <w:rPr>
          <w:rFonts w:ascii="Times New Roman" w:hAnsi="Times New Roman" w:cs="Times New Roman"/>
          <w:sz w:val="28"/>
          <w:szCs w:val="24"/>
        </w:rPr>
        <w:t xml:space="preserve">в ходе работы сформированы практические навыки </w:t>
      </w:r>
      <w:r w:rsidR="001300AD" w:rsidRPr="001300AD">
        <w:rPr>
          <w:rFonts w:ascii="Times New Roman" w:hAnsi="Times New Roman" w:cs="Times New Roman"/>
          <w:sz w:val="28"/>
          <w:szCs w:val="24"/>
        </w:rPr>
        <w:t>по применению на практике современных методов управления персоналом и организации работы с персоналом.</w:t>
      </w:r>
    </w:p>
    <w:p w14:paraId="48F921D5" w14:textId="6E2A3569" w:rsidR="001300AD" w:rsidRDefault="001300A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5E0CC536" w14:textId="77777777" w:rsidR="001300AD" w:rsidRPr="001300AD" w:rsidRDefault="001300AD" w:rsidP="001300AD">
      <w:pPr>
        <w:autoSpaceDE w:val="0"/>
        <w:autoSpaceDN w:val="0"/>
        <w:adjustRightInd w:val="0"/>
        <w:spacing w:after="0" w:line="360" w:lineRule="auto"/>
        <w:ind w:firstLine="567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300AD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lastRenderedPageBreak/>
        <w:t>Список литературы</w:t>
      </w:r>
    </w:p>
    <w:p w14:paraId="2AF690D8" w14:textId="77777777" w:rsidR="001300AD" w:rsidRPr="001300AD" w:rsidRDefault="001300AD" w:rsidP="001300AD">
      <w:pPr>
        <w:numPr>
          <w:ilvl w:val="0"/>
          <w:numId w:val="23"/>
        </w:numPr>
        <w:tabs>
          <w:tab w:val="left" w:pos="426"/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персоналом [Электронный ресурс]: учеб. пособие / П.Э. 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Шлендер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, В.В. Лукашевич, В.Д. 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Мостова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gram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др. ;</w:t>
      </w:r>
      <w:proofErr w:type="gram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 ред. П.Э. 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Шлендер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М.: 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Юнити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-Дана, 2012. - 320 с. - ISBN 5-238-00909-7</w:t>
      </w:r>
      <w:proofErr w:type="gram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; То</w:t>
      </w:r>
      <w:proofErr w:type="gram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 [Электронный ресурс]. - URL: </w:t>
      </w:r>
      <w:hyperlink r:id="rId8" w:history="1"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//biblioclub.ru/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index.php?page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book&amp;id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=118747</w:t>
        </w:r>
      </w:hyperlink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proofErr w:type="gram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(</w:t>
      </w:r>
      <w:proofErr w:type="gram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 РФ)  </w:t>
      </w:r>
    </w:p>
    <w:p w14:paraId="501F7B58" w14:textId="77777777" w:rsidR="001300AD" w:rsidRPr="001300AD" w:rsidRDefault="001300AD" w:rsidP="001300AD">
      <w:pPr>
        <w:numPr>
          <w:ilvl w:val="0"/>
          <w:numId w:val="23"/>
        </w:numPr>
        <w:tabs>
          <w:tab w:val="left" w:pos="426"/>
          <w:tab w:val="left" w:pos="851"/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персоналом [Электронный ресурс]: учебник / Е.А. Аксенова, Т.Ю. Базаров, Б.Л. Еремин и др.; под ред. Т.Ю. Базаров, Б.Л. Еремин. - 2-е изд., 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proofErr w:type="gram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доп. - М.: 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Юнити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-Дана, 2012. - 568 с. - URL: </w:t>
      </w:r>
      <w:hyperlink r:id="rId9" w:history="1"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//biblioclub.ru/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index.php?page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book&amp;id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=118464</w:t>
        </w:r>
      </w:hyperlink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</w:p>
    <w:p w14:paraId="62CBC6BE" w14:textId="77777777" w:rsidR="001300AD" w:rsidRPr="001300AD" w:rsidRDefault="001300AD" w:rsidP="001300AD">
      <w:pPr>
        <w:numPr>
          <w:ilvl w:val="0"/>
          <w:numId w:val="23"/>
        </w:numPr>
        <w:tabs>
          <w:tab w:val="left" w:pos="426"/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Шапиро, С.А. Управление персоналом: курс лекций, практикум [Электронный ресурс]: учебно-методическое пособие / С.А. Шапиро. - 2-е изд., доп. и 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перераб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- </w:t>
      </w:r>
      <w:proofErr w:type="gram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М. ;</w:t>
      </w:r>
      <w:proofErr w:type="gram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Берлин : Директ-Медиа, 2015. - 288 </w:t>
      </w:r>
      <w:proofErr w:type="gram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с. :</w:t>
      </w:r>
      <w:proofErr w:type="gram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ил., схем., табл. - 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Библиогр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кн. - ISBN 978-5-4475-3674-9 ; То же [Электронный ресурс]. - URL: </w:t>
      </w:r>
      <w:hyperlink r:id="rId10" w:history="1"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//biblioclub.ru/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index.php?page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book&amp;id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=272164</w:t>
        </w:r>
      </w:hyperlink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(СР 1.3, СР 2.2).</w:t>
      </w:r>
    </w:p>
    <w:p w14:paraId="3E9456D1" w14:textId="77777777" w:rsidR="001300AD" w:rsidRPr="001300AD" w:rsidRDefault="001300AD" w:rsidP="001300AD">
      <w:pPr>
        <w:numPr>
          <w:ilvl w:val="0"/>
          <w:numId w:val="23"/>
        </w:numPr>
        <w:tabs>
          <w:tab w:val="left" w:pos="426"/>
          <w:tab w:val="left" w:pos="851"/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Арсеньев, Ю.Н. Управление персоналом: Технологии [Электронный ресурс]: учеб. пособие / Ю.Н. Арсеньев, С.И. 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Шелобаев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Т.Ю. Давыдова. - М.: 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Юнити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-Дана, 2015. - 192 с. - 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Библиогр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кн. - URL: </w:t>
      </w:r>
      <w:hyperlink r:id="rId11" w:history="1"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//biblioclub.ru/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index.php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 xml:space="preserve">? 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page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book&amp;id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=114558</w:t>
        </w:r>
      </w:hyperlink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D36A10" w14:textId="77777777" w:rsidR="001300AD" w:rsidRPr="001300AD" w:rsidRDefault="001300AD" w:rsidP="001300AD">
      <w:pPr>
        <w:numPr>
          <w:ilvl w:val="0"/>
          <w:numId w:val="23"/>
        </w:numPr>
        <w:tabs>
          <w:tab w:val="left" w:pos="426"/>
          <w:tab w:val="left" w:pos="851"/>
          <w:tab w:val="left" w:pos="993"/>
        </w:tabs>
        <w:spacing w:after="0" w:line="360" w:lineRule="auto"/>
        <w:ind w:left="0"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Шапиро, С.А. Управление персоналом как вид предпринимательской деятельности [Электронный ресурс] / С.А. Шапиро, А.Я. Шапиро. - М.; Берлин: Директ-Медиа, 2015. - 340 с.: ил., табл., схем. - </w:t>
      </w:r>
      <w:proofErr w:type="spell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Библиогр</w:t>
      </w:r>
      <w:proofErr w:type="spell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кн. - ISBN 978-5-4475-3669-5</w:t>
      </w:r>
      <w:proofErr w:type="gramStart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>; То</w:t>
      </w:r>
      <w:proofErr w:type="gramEnd"/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 [Электронный ресурс]. - URL: </w:t>
      </w:r>
      <w:hyperlink r:id="rId12" w:history="1"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//biblioclub.ru/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index.php?page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</w:t>
        </w:r>
        <w:proofErr w:type="spellStart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book&amp;id</w:t>
        </w:r>
        <w:proofErr w:type="spellEnd"/>
        <w:r w:rsidRPr="001300AD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  <w:lang w:eastAsia="ru-RU"/>
          </w:rPr>
          <w:t>=272163</w:t>
        </w:r>
      </w:hyperlink>
      <w:r w:rsidRPr="001300A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898D55B" w14:textId="77777777" w:rsidR="001300AD" w:rsidRPr="001300AD" w:rsidRDefault="001300AD" w:rsidP="001300AD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4. Основы экономики и управления наукоемкими предприятиями [Текст]: учебное пособие для студентов высших учебных заведений, обучающихся по направлениям подготовки 222600 "Организация и управление наукоемкими производствами", 222000 "Инноватика" / И. В. Иконникова [и др.] ; Московский гос. технический ун-т им. Н. Э. Баумана, </w:t>
      </w:r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 xml:space="preserve">Калужский фил. - </w:t>
      </w:r>
      <w:proofErr w:type="gramStart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>Калуга :</w:t>
      </w:r>
      <w:proofErr w:type="gramEnd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Изд-во МГТУ им. Н. Э. Баумана, 2016. - 351 </w:t>
      </w:r>
      <w:proofErr w:type="gramStart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>с. :</w:t>
      </w:r>
      <w:proofErr w:type="gramEnd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ил., табл.; 22 см.; ISBN 978-5-7038-4224-9  </w:t>
      </w:r>
    </w:p>
    <w:p w14:paraId="4C381BEB" w14:textId="1D008B48" w:rsidR="002C590F" w:rsidRPr="001300AD" w:rsidRDefault="001300AD" w:rsidP="001300AD">
      <w:pPr>
        <w:tabs>
          <w:tab w:val="left" w:pos="851"/>
        </w:tabs>
        <w:autoSpaceDE w:val="0"/>
        <w:autoSpaceDN w:val="0"/>
        <w:adjustRightInd w:val="0"/>
        <w:spacing w:after="0" w:line="360" w:lineRule="auto"/>
        <w:ind w:firstLine="567"/>
        <w:jc w:val="both"/>
        <w:rPr>
          <w:rFonts w:ascii="Calibri" w:eastAsia="Calibri" w:hAnsi="Calibri" w:cs="Calibri"/>
          <w:color w:val="000000"/>
          <w:sz w:val="28"/>
          <w:szCs w:val="28"/>
        </w:rPr>
      </w:pPr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5. Управление человеческими ресурсами [Электронный ресурс]: учебник для академического бакалавриата / И. А. </w:t>
      </w:r>
      <w:proofErr w:type="spellStart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>Максимцев</w:t>
      </w:r>
      <w:proofErr w:type="spellEnd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[и др.]; под ред. И. А. </w:t>
      </w:r>
      <w:proofErr w:type="spellStart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>Максимцева</w:t>
      </w:r>
      <w:proofErr w:type="spellEnd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Н. А. Горелова. — 2-е изд., пер. и доп. — </w:t>
      </w:r>
      <w:proofErr w:type="gramStart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>М. :</w:t>
      </w:r>
      <w:proofErr w:type="gramEnd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Издательство </w:t>
      </w:r>
      <w:proofErr w:type="spellStart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>Юрайт</w:t>
      </w:r>
      <w:proofErr w:type="spellEnd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>, 2018. — 526 с. — (</w:t>
      </w:r>
      <w:proofErr w:type="gramStart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>Серия :</w:t>
      </w:r>
      <w:proofErr w:type="gramEnd"/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Бакалавр. Академический курс). — Режим доступа: </w:t>
      </w:r>
      <w:hyperlink r:id="rId13" w:history="1">
        <w:r w:rsidRPr="001300AD">
          <w:rPr>
            <w:rFonts w:ascii="Times New Roman" w:eastAsia="Calibri" w:hAnsi="Times New Roman" w:cs="Times New Roman"/>
            <w:color w:val="0000FF"/>
            <w:sz w:val="28"/>
            <w:szCs w:val="28"/>
            <w:u w:val="single"/>
          </w:rPr>
          <w:t>www.biblio-online.ru/book/upravlenie-chelovecheskimi-resursami-412774</w:t>
        </w:r>
      </w:hyperlink>
      <w:r w:rsidRPr="001300AD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</w:t>
      </w:r>
    </w:p>
    <w:sectPr w:rsidR="002C590F" w:rsidRPr="001300AD" w:rsidSect="001300AD">
      <w:footerReference w:type="default" r:id="rId14"/>
      <w:pgSz w:w="11906" w:h="16838"/>
      <w:pgMar w:top="1134" w:right="1133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E5181" w14:textId="77777777" w:rsidR="00942EB6" w:rsidRDefault="00942EB6" w:rsidP="002C590F">
      <w:pPr>
        <w:spacing w:after="0" w:line="240" w:lineRule="auto"/>
      </w:pPr>
      <w:r>
        <w:separator/>
      </w:r>
    </w:p>
  </w:endnote>
  <w:endnote w:type="continuationSeparator" w:id="0">
    <w:p w14:paraId="7AAF2256" w14:textId="77777777" w:rsidR="00942EB6" w:rsidRDefault="00942EB6" w:rsidP="002C59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2094652739"/>
      <w:docPartObj>
        <w:docPartGallery w:val="Page Numbers (Bottom of Page)"/>
        <w:docPartUnique/>
      </w:docPartObj>
    </w:sdtPr>
    <w:sdtEndPr/>
    <w:sdtContent>
      <w:p w14:paraId="4E63F1DF" w14:textId="5A2A77E4" w:rsidR="002C590F" w:rsidRPr="002C590F" w:rsidRDefault="002C590F" w:rsidP="002C590F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2C590F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2C590F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2C590F">
          <w:rPr>
            <w:rFonts w:ascii="Times New Roman" w:hAnsi="Times New Roman" w:cs="Times New Roman"/>
            <w:sz w:val="28"/>
            <w:szCs w:val="24"/>
          </w:rPr>
          <w:t>2</w:t>
        </w:r>
        <w:r w:rsidRPr="002C590F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5001E" w14:textId="77777777" w:rsidR="00942EB6" w:rsidRDefault="00942EB6" w:rsidP="002C590F">
      <w:pPr>
        <w:spacing w:after="0" w:line="240" w:lineRule="auto"/>
      </w:pPr>
      <w:r>
        <w:separator/>
      </w:r>
    </w:p>
  </w:footnote>
  <w:footnote w:type="continuationSeparator" w:id="0">
    <w:p w14:paraId="64FFA520" w14:textId="77777777" w:rsidR="00942EB6" w:rsidRDefault="00942EB6" w:rsidP="002C59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C4CB1"/>
    <w:multiLevelType w:val="multilevel"/>
    <w:tmpl w:val="AF12E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238C2"/>
    <w:multiLevelType w:val="multilevel"/>
    <w:tmpl w:val="60E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366BE"/>
    <w:multiLevelType w:val="hybridMultilevel"/>
    <w:tmpl w:val="B52E5A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592523"/>
    <w:multiLevelType w:val="multilevel"/>
    <w:tmpl w:val="ED1C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CE7733"/>
    <w:multiLevelType w:val="multilevel"/>
    <w:tmpl w:val="5686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EE205B"/>
    <w:multiLevelType w:val="multilevel"/>
    <w:tmpl w:val="60E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D852A5"/>
    <w:multiLevelType w:val="multilevel"/>
    <w:tmpl w:val="9AD43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612F59"/>
    <w:multiLevelType w:val="hybridMultilevel"/>
    <w:tmpl w:val="371ED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289616E"/>
    <w:multiLevelType w:val="hybridMultilevel"/>
    <w:tmpl w:val="F00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012B63"/>
    <w:multiLevelType w:val="hybridMultilevel"/>
    <w:tmpl w:val="4AEE1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327E7B"/>
    <w:multiLevelType w:val="multilevel"/>
    <w:tmpl w:val="F5708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A95485"/>
    <w:multiLevelType w:val="multilevel"/>
    <w:tmpl w:val="81982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585A8C"/>
    <w:multiLevelType w:val="multilevel"/>
    <w:tmpl w:val="FFF8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F31CB2"/>
    <w:multiLevelType w:val="multilevel"/>
    <w:tmpl w:val="2188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2EA252C"/>
    <w:multiLevelType w:val="multilevel"/>
    <w:tmpl w:val="60E6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7B35D1"/>
    <w:multiLevelType w:val="multilevel"/>
    <w:tmpl w:val="C1A2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639BA"/>
    <w:multiLevelType w:val="multilevel"/>
    <w:tmpl w:val="8ABAA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AE1043"/>
    <w:multiLevelType w:val="multilevel"/>
    <w:tmpl w:val="F9CC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65A44A0"/>
    <w:multiLevelType w:val="multilevel"/>
    <w:tmpl w:val="D52C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A3B336C"/>
    <w:multiLevelType w:val="hybridMultilevel"/>
    <w:tmpl w:val="E9B42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627B72"/>
    <w:multiLevelType w:val="multilevel"/>
    <w:tmpl w:val="0B8A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2E04B3F"/>
    <w:multiLevelType w:val="multilevel"/>
    <w:tmpl w:val="F0D4B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A30E0E"/>
    <w:multiLevelType w:val="multilevel"/>
    <w:tmpl w:val="A90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1C4087"/>
    <w:multiLevelType w:val="multilevel"/>
    <w:tmpl w:val="54C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8F488B"/>
    <w:multiLevelType w:val="multilevel"/>
    <w:tmpl w:val="6ADE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</w:num>
  <w:num w:numId="4">
    <w:abstractNumId w:val="10"/>
  </w:num>
  <w:num w:numId="5">
    <w:abstractNumId w:val="18"/>
  </w:num>
  <w:num w:numId="6">
    <w:abstractNumId w:val="2"/>
  </w:num>
  <w:num w:numId="7">
    <w:abstractNumId w:val="4"/>
  </w:num>
  <w:num w:numId="8">
    <w:abstractNumId w:val="20"/>
  </w:num>
  <w:num w:numId="9">
    <w:abstractNumId w:val="13"/>
  </w:num>
  <w:num w:numId="10">
    <w:abstractNumId w:val="14"/>
  </w:num>
  <w:num w:numId="11">
    <w:abstractNumId w:val="12"/>
  </w:num>
  <w:num w:numId="12">
    <w:abstractNumId w:val="25"/>
  </w:num>
  <w:num w:numId="13">
    <w:abstractNumId w:val="15"/>
  </w:num>
  <w:num w:numId="14">
    <w:abstractNumId w:val="3"/>
  </w:num>
  <w:num w:numId="15">
    <w:abstractNumId w:val="22"/>
  </w:num>
  <w:num w:numId="16">
    <w:abstractNumId w:val="24"/>
  </w:num>
  <w:num w:numId="17">
    <w:abstractNumId w:val="23"/>
  </w:num>
  <w:num w:numId="18">
    <w:abstractNumId w:val="1"/>
  </w:num>
  <w:num w:numId="19">
    <w:abstractNumId w:val="5"/>
  </w:num>
  <w:num w:numId="20">
    <w:abstractNumId w:val="11"/>
  </w:num>
  <w:num w:numId="21">
    <w:abstractNumId w:val="19"/>
  </w:num>
  <w:num w:numId="22">
    <w:abstractNumId w:val="21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16"/>
  </w:num>
  <w:num w:numId="26">
    <w:abstractNumId w:val="17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96E"/>
    <w:rsid w:val="0002566E"/>
    <w:rsid w:val="00074BBF"/>
    <w:rsid w:val="000766DF"/>
    <w:rsid w:val="0008444A"/>
    <w:rsid w:val="000C5BAC"/>
    <w:rsid w:val="000E2CC4"/>
    <w:rsid w:val="001300AD"/>
    <w:rsid w:val="00142393"/>
    <w:rsid w:val="00145486"/>
    <w:rsid w:val="00185833"/>
    <w:rsid w:val="001B0939"/>
    <w:rsid w:val="001F32B8"/>
    <w:rsid w:val="00214A96"/>
    <w:rsid w:val="00236613"/>
    <w:rsid w:val="002720F5"/>
    <w:rsid w:val="002856AA"/>
    <w:rsid w:val="0029389B"/>
    <w:rsid w:val="002C43BE"/>
    <w:rsid w:val="002C590F"/>
    <w:rsid w:val="002D220A"/>
    <w:rsid w:val="002D378F"/>
    <w:rsid w:val="00334772"/>
    <w:rsid w:val="003456BB"/>
    <w:rsid w:val="00375827"/>
    <w:rsid w:val="00377CAD"/>
    <w:rsid w:val="00410EB2"/>
    <w:rsid w:val="00451901"/>
    <w:rsid w:val="004974FA"/>
    <w:rsid w:val="004A7910"/>
    <w:rsid w:val="00552283"/>
    <w:rsid w:val="00554257"/>
    <w:rsid w:val="005A2167"/>
    <w:rsid w:val="005C24EC"/>
    <w:rsid w:val="005D27DD"/>
    <w:rsid w:val="00605303"/>
    <w:rsid w:val="0061271A"/>
    <w:rsid w:val="00631693"/>
    <w:rsid w:val="006436C3"/>
    <w:rsid w:val="006D10ED"/>
    <w:rsid w:val="006F1E6A"/>
    <w:rsid w:val="006F2848"/>
    <w:rsid w:val="007075D6"/>
    <w:rsid w:val="00725ED4"/>
    <w:rsid w:val="007307A2"/>
    <w:rsid w:val="00745247"/>
    <w:rsid w:val="00754ECA"/>
    <w:rsid w:val="007644EF"/>
    <w:rsid w:val="007B4F1C"/>
    <w:rsid w:val="007C0C58"/>
    <w:rsid w:val="007C3653"/>
    <w:rsid w:val="007C4830"/>
    <w:rsid w:val="007E1BA2"/>
    <w:rsid w:val="008043F8"/>
    <w:rsid w:val="00845E4C"/>
    <w:rsid w:val="00851402"/>
    <w:rsid w:val="008D539B"/>
    <w:rsid w:val="008E37D1"/>
    <w:rsid w:val="00942EB6"/>
    <w:rsid w:val="00945382"/>
    <w:rsid w:val="00945D51"/>
    <w:rsid w:val="00953968"/>
    <w:rsid w:val="00975F58"/>
    <w:rsid w:val="00984908"/>
    <w:rsid w:val="009B5CD2"/>
    <w:rsid w:val="009D5801"/>
    <w:rsid w:val="00A341A0"/>
    <w:rsid w:val="00A62E27"/>
    <w:rsid w:val="00A860AC"/>
    <w:rsid w:val="00A90195"/>
    <w:rsid w:val="00AC5161"/>
    <w:rsid w:val="00AD257E"/>
    <w:rsid w:val="00AE241B"/>
    <w:rsid w:val="00B14BFD"/>
    <w:rsid w:val="00B90CB1"/>
    <w:rsid w:val="00BA26BD"/>
    <w:rsid w:val="00BB0473"/>
    <w:rsid w:val="00BE3B8E"/>
    <w:rsid w:val="00C33528"/>
    <w:rsid w:val="00C50191"/>
    <w:rsid w:val="00CA47CF"/>
    <w:rsid w:val="00CC7E11"/>
    <w:rsid w:val="00CD124E"/>
    <w:rsid w:val="00CE4154"/>
    <w:rsid w:val="00CE570B"/>
    <w:rsid w:val="00D072DC"/>
    <w:rsid w:val="00D5696E"/>
    <w:rsid w:val="00D652B5"/>
    <w:rsid w:val="00DF3ED5"/>
    <w:rsid w:val="00E71400"/>
    <w:rsid w:val="00EF300D"/>
    <w:rsid w:val="00F14B85"/>
    <w:rsid w:val="00F44F5A"/>
    <w:rsid w:val="00F6326A"/>
    <w:rsid w:val="00FB282C"/>
    <w:rsid w:val="00FF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439A"/>
  <w15:chartTrackingRefBased/>
  <w15:docId w15:val="{7CA4E77C-C0A1-4779-91E5-54E229A7E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D5696E"/>
    <w:rPr>
      <w:rFonts w:ascii="Courier New" w:hAnsi="Courier New"/>
      <w:sz w:val="24"/>
    </w:rPr>
  </w:style>
  <w:style w:type="paragraph" w:styleId="3">
    <w:name w:val="heading 3"/>
    <w:basedOn w:val="a"/>
    <w:link w:val="30"/>
    <w:uiPriority w:val="9"/>
    <w:qFormat/>
    <w:rsid w:val="001454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720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60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character" w:customStyle="1" w:styleId="a4">
    <w:name w:val="Абзац списка Знак"/>
    <w:aliases w:val="Код Знак"/>
    <w:basedOn w:val="a0"/>
    <w:link w:val="a3"/>
    <w:uiPriority w:val="1"/>
    <w:locked/>
    <w:rsid w:val="00D5696E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D5696E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60">
    <w:name w:val="Стиль6 Знак"/>
    <w:link w:val="6"/>
    <w:locked/>
    <w:rsid w:val="00D5696E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D5696E"/>
    <w:pPr>
      <w:numPr>
        <w:numId w:val="1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  <w:style w:type="paragraph" w:customStyle="1" w:styleId="2">
    <w:name w:val="Стиль2"/>
    <w:basedOn w:val="a3"/>
    <w:link w:val="20"/>
    <w:qFormat/>
    <w:rsid w:val="00D5696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20">
    <w:name w:val="Стиль2 Знак"/>
    <w:basedOn w:val="a4"/>
    <w:link w:val="2"/>
    <w:rsid w:val="00D5696E"/>
    <w:rPr>
      <w:rFonts w:ascii="Times New Roman" w:hAnsi="Times New Roman" w:cs="Times New Roman"/>
      <w:sz w:val="28"/>
      <w:szCs w:val="28"/>
    </w:rPr>
  </w:style>
  <w:style w:type="character" w:customStyle="1" w:styleId="a7">
    <w:name w:val="Верхний колонтитул Знак"/>
    <w:basedOn w:val="a0"/>
    <w:link w:val="a6"/>
    <w:uiPriority w:val="99"/>
    <w:rsid w:val="002C590F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2C59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C590F"/>
    <w:rPr>
      <w:rFonts w:ascii="Courier New" w:hAnsi="Courier New"/>
      <w:sz w:val="24"/>
    </w:rPr>
  </w:style>
  <w:style w:type="paragraph" w:styleId="aa">
    <w:name w:val="Normal (Web)"/>
    <w:basedOn w:val="a"/>
    <w:uiPriority w:val="99"/>
    <w:semiHidden/>
    <w:unhideWhenUsed/>
    <w:rsid w:val="00DF3ED5"/>
    <w:rPr>
      <w:rFonts w:ascii="Times New Roman" w:hAnsi="Times New Roman" w:cs="Times New Roman"/>
      <w:szCs w:val="24"/>
    </w:rPr>
  </w:style>
  <w:style w:type="character" w:styleId="ab">
    <w:name w:val="Strong"/>
    <w:basedOn w:val="a0"/>
    <w:uiPriority w:val="22"/>
    <w:qFormat/>
    <w:rsid w:val="00DF3ED5"/>
    <w:rPr>
      <w:b/>
      <w:bCs/>
    </w:rPr>
  </w:style>
  <w:style w:type="character" w:styleId="ac">
    <w:name w:val="Placeholder Text"/>
    <w:basedOn w:val="a0"/>
    <w:uiPriority w:val="99"/>
    <w:semiHidden/>
    <w:rsid w:val="00DF3E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52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5228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552283"/>
  </w:style>
  <w:style w:type="character" w:customStyle="1" w:styleId="mi">
    <w:name w:val="mi"/>
    <w:basedOn w:val="a0"/>
    <w:rsid w:val="00552283"/>
  </w:style>
  <w:style w:type="character" w:customStyle="1" w:styleId="n">
    <w:name w:val="n"/>
    <w:basedOn w:val="a0"/>
    <w:rsid w:val="00552283"/>
  </w:style>
  <w:style w:type="character" w:customStyle="1" w:styleId="p">
    <w:name w:val="p"/>
    <w:basedOn w:val="a0"/>
    <w:rsid w:val="00552283"/>
  </w:style>
  <w:style w:type="character" w:customStyle="1" w:styleId="30">
    <w:name w:val="Заголовок 3 Знак"/>
    <w:basedOn w:val="a0"/>
    <w:link w:val="3"/>
    <w:uiPriority w:val="9"/>
    <w:rsid w:val="0014548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katex-mathml">
    <w:name w:val="katex-mathml"/>
    <w:basedOn w:val="a0"/>
    <w:rsid w:val="00145486"/>
  </w:style>
  <w:style w:type="character" w:customStyle="1" w:styleId="mord">
    <w:name w:val="mord"/>
    <w:basedOn w:val="a0"/>
    <w:rsid w:val="00145486"/>
  </w:style>
  <w:style w:type="character" w:customStyle="1" w:styleId="mrel">
    <w:name w:val="mrel"/>
    <w:basedOn w:val="a0"/>
    <w:rsid w:val="00145486"/>
  </w:style>
  <w:style w:type="character" w:customStyle="1" w:styleId="mpunct">
    <w:name w:val="mpunct"/>
    <w:basedOn w:val="a0"/>
    <w:rsid w:val="00145486"/>
  </w:style>
  <w:style w:type="character" w:customStyle="1" w:styleId="mopen">
    <w:name w:val="mopen"/>
    <w:basedOn w:val="a0"/>
    <w:rsid w:val="00145486"/>
  </w:style>
  <w:style w:type="character" w:customStyle="1" w:styleId="mclose">
    <w:name w:val="mclose"/>
    <w:basedOn w:val="a0"/>
    <w:rsid w:val="00145486"/>
  </w:style>
  <w:style w:type="character" w:customStyle="1" w:styleId="mop">
    <w:name w:val="mop"/>
    <w:basedOn w:val="a0"/>
    <w:rsid w:val="00145486"/>
  </w:style>
  <w:style w:type="character" w:customStyle="1" w:styleId="vlist-s">
    <w:name w:val="vlist-s"/>
    <w:basedOn w:val="a0"/>
    <w:rsid w:val="00145486"/>
  </w:style>
  <w:style w:type="character" w:customStyle="1" w:styleId="delimsizing">
    <w:name w:val="delimsizing"/>
    <w:basedOn w:val="a0"/>
    <w:rsid w:val="00145486"/>
  </w:style>
  <w:style w:type="character" w:customStyle="1" w:styleId="mbin">
    <w:name w:val="mbin"/>
    <w:basedOn w:val="a0"/>
    <w:rsid w:val="00145486"/>
  </w:style>
  <w:style w:type="character" w:styleId="ad">
    <w:name w:val="Hyperlink"/>
    <w:basedOn w:val="a0"/>
    <w:uiPriority w:val="99"/>
    <w:unhideWhenUsed/>
    <w:rsid w:val="00C33528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33528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C33528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2720F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A860AC"/>
    <w:rPr>
      <w:rFonts w:asciiTheme="majorHAnsi" w:eastAsiaTheme="majorEastAsia" w:hAnsiTheme="majorHAnsi" w:cstheme="majorBidi"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88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9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63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08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9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2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9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5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8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6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33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13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9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24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1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1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lioclub.ru/index.php?page=book&amp;id=118747" TargetMode="External"/><Relationship Id="rId13" Type="http://schemas.openxmlformats.org/officeDocument/2006/relationships/hyperlink" Target="http://www.biblio-online.ru/book/upravlenie-chelovecheskimi-resursami-41277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biblioclub.ru/index.php?page=book&amp;id=27216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iblioclub.ru/index.php?page=book&amp;id=11455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biblioclub.ru/index.php?page=book&amp;id=2721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blioclub.ru/index.php?page=book&amp;id=118464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8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30</cp:revision>
  <cp:lastPrinted>2024-10-23T21:06:00Z</cp:lastPrinted>
  <dcterms:created xsi:type="dcterms:W3CDTF">2024-09-24T19:16:00Z</dcterms:created>
  <dcterms:modified xsi:type="dcterms:W3CDTF">2024-12-04T20:00:00Z</dcterms:modified>
</cp:coreProperties>
</file>