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736A"/>
          <w:sz w:val="32"/>
          <w:szCs w:val="32"/>
        </w:rPr>
        <w:t xml:space="preserve">LC_IR_C14 — Penetration Tests are Periodically Performed</w:t>
      </w:r>
    </w:p>
    <w:p>
      <w:pPr>
        <w:spacing w:after="2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Revised Monitoring Script  |  1LoD  |  Frequency: Annually  |  Version 2.0  |  Reporting period: [Jan 1 – Dec 31, 20XX]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936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Overview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 name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LC_IR_C14 — Penetration tests are periodically performed. Vulnerabilities are followed up on.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 ID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C-00017745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Annually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[Jan 1, 20XX – Dec 31, 20XX]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 Scope</w:t>
            </w:r>
          </w:p>
        </w:tc>
        <w:tc>
          <w:tcPr>
            <w:tcW w:type="dxa" w:w="72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Assets prioritised through the annual QBR risk-based process: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Crown Jewels — CMDB export (annual compliance cycle)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 assets supporting CIFs (C=1 or I=1 or A=1, RTO &lt; 4h)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Internet / external-facing assets — risk-based selection via QBR process (no fixed coverage threshold applies)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Go-Live applications — SNOW new pentest request (self-check based)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TIBSA-identified assets — threat landscape changes informed by O&amp;I intelligence feeds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PO-triggered requests — CMDB intake, control compliance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 owner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Capability Owner / Process Manager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[@capability owner name]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Global control monitor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control monitor(s)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APAC: [name or N/A]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US: [name or N/A]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Brazil: [name or N/A]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Global 1LoD Monitoring Results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70AD47" w:val="clear"/>
              </w:rPr>
              <w:t xml:space="preserve"> GREEN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FFC000" w:val="clear"/>
              </w:rPr>
              <w:t xml:space="preserve"> AMBER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 RED 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1LoD Monitoring Results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APAC: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70AD47" w:val="clear"/>
              </w:rPr>
              <w:t xml:space="preserve"> GREEN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FFC000" w:val="clear"/>
              </w:rPr>
              <w:t xml:space="preserve"> AMBER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 RED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888888" w:val="clear"/>
              </w:rPr>
              <w:t xml:space="preserve"> N/A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70AD47" w:val="clear"/>
              </w:rPr>
              <w:t xml:space="preserve"> GREEN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FFC000" w:val="clear"/>
              </w:rPr>
              <w:t xml:space="preserve"> AMBER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 RED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888888" w:val="clear"/>
              </w:rPr>
              <w:t xml:space="preserve"> N/A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Brazil: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70AD47" w:val="clear"/>
              </w:rPr>
              <w:t xml:space="preserve"> GREEN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FFC000" w:val="clear"/>
              </w:rPr>
              <w:t xml:space="preserve"> AMBER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 RED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888888" w:val="clear"/>
              </w:rPr>
              <w:t xml:space="preserve"> N/A 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Results of Previous MC&amp;T Cycles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[Previous RAG result + summary of findings]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IMATs Open: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 or N/A]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RAG Instructions — 1LoD Monitoring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GREEN — All steps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Steps 1, 2, 3, 4, 5 and 6 all receive a PASS result.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exceptions, undocumented gaps or unresolved findings.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AMBER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AMBER — Control is substantially effective with minor gaps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of the following conditions must be met: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1 passes (PT process is documented, reviewed and signed off).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2 passes or has only minor gaps — asset categories are represented in the QBR plan and stakeholder agreement is documented. Minor absences of non-mandatory assets with documented rationale are acceptable.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3: All Crown Jewels and CIF-critical assets have been tested OR have a formally approved deviation with documented rationale. Internet-facing and other risk-based tier assets may have untested items provided a documented reason exists. No fixed coverage percentage applies to internet-facing assets.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4 passes (Asset Owner sign-off documented for all sampled pentests).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5 passes (All sampled findings registered in ServiceNow IRM with owner and due date).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6 passes or has a minor gap (e.g. Scope Dashboard updated with a short delay, but QBR memos and CJ/CIF coverage reporting are present).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An AMBER score does not require mandatory IMAT creation. However, a Conduct Driver analysis must be performed and documented in AGRC for each step that did not pass.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 — Control is ineffective. Conditions for AMBER are not met.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RED score is assigned if any of the following conditions apply: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1 fails — no PT procedure exists or it has not been reviewed/signed off within the past 12 months.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2 fails completely — no QBR plan exists for the reporting period, OR no mandatory asset categories (Crown Jewels, CIF-critical, internet-facing) are represented in the plan without any documented rationale.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3 fails — one or more Crown Jewels or CIF-critical assets are untested with no formally approved deviation. OR significant gaps exist across all asset tiers with no documentation of any kind.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4 fails — one or more sampled pentests have no evidence of Asset Owner sign-off.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5 fails — findings are not registered in ServiceNow IRM, or registered without responsible owners or due dates. Critical/High findings missing IMATs.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6 fails — no management reporting exists for the reporting period, or CJ/CIF coverage is not reported at all.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RED score requires mandatory IMAT creation in AGRC and a Conduct Driver analysis for each failing step (minimum one, maximum three conduct drivers per step).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2100"/>
        <w:gridCol w:w="2700"/>
        <w:gridCol w:w="1400"/>
      </w:tblGrid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Monitoring Steps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Global Monitoring Step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Samples and Evidence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that the penetration testing process is documented, signed off by management, and reviewed annually.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Obtain the current Penetration Testing Procedure document.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 the procedure has been reviewed within the past 12 months.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 management sign-off is evidenced (approval page, email confirmation, or equivalent). The approver must be named and the date must be visible.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Population &amp; Sampling: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sampling required — single procedure document (100% population).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files (PDF or screenshot — no Wiki/Jira links):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C14-[Year]Q[X]-01.1 PT_Procedure_vX.X.pdf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C14-[Year]Q[X]-01.2 PT_Procedure_Approval.png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privacy: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personal or price-sensitive data expected. Standard AGRC upload applies.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PT procedure governs the entire penetration testing lifecycle. Without a reviewed and signed-off procedure, the control has no policy anchor and cannot be considered operating effectively.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Annual review is required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per policy 101-23-24 (5.6 Security testing and security monitoring) and S07-626 Penetration Testing Standard.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Procedure exists, reviewed within 12 months, named management sign-off documented.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Procedure missing, or not reviewed/signed off within 12 months.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Target: PASS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that a penetration test plan has been developed through the QBR risk-based process, covering the prioritised in-scope assets.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Obtain the QBR asset list for the reporting period. Verify it covers, at minimum, the following categories: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Crown Jewels — CMDB export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CIF-critical assets (C=1 or I=1 or A=1, RTO &lt; 4h)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Internet / external-facing assets (as an input category — not all assets are required to be in the plan)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Go-Live applications (SNOW-triggered)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TIBSA-identified assets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PO-triggered requests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Obtain the QBR pentest plan and verify it maps to the prioritised asset list. Where priority assets are absent from the plan, verify that a documented rationale or approved deviation exists.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the QBR plan has been agreed upon and documented between CISO Security Assurance and relevant stakeholders (Product Owners and/or CISO S&amp;G). Written agreement via QBR documentation, meeting minutes, or email sign-off constitutes sufficient evidence of approval. GMT approval is not required.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Population &amp; Sampling: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sampling — full QBR plan and complete asset list reviewed.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files (PDF or screenshot — no Wiki/Jira links):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C14-[Year]Q[X]-02.1 CMDB_CJ_CIF_AssetList.xlsx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C14-[Year]Q[X]-02.2 InternetFacing_Assets.xlsx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C14-[Year]Q[X]-02.3 QBR_Plan_[Period].pdf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C14-[Year]Q[X]-02.4 QBR_StakeholderAgreement.png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privacy: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 lists may contain system names. No personal data expected. Standard AGRC upload applies.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previous monitoring cycle failed Step 2 because: (i) the control referenced GMT approval, which is not the operational approval mechanism; and (ii) the scope referenced CMDB/ISRA categories no longer operationally used. This step has been revised to reflect the actual QBR risk-based process and the CISO Security Assurance approval mechanism.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Internet-facing assets are included as an input category to the QBR prioritisation process. Not all internet-facing assets are required to be in the plan — selection is risk-based and governed by CISO Security Assurance judgment. No coverage threshold applies to this category.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QBR plan exists, mandatory asset categories represented, stakeholder agreement documented.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 QBR plan exists, OR no mandatory asset categories present without documented rationale.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Target: PASS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that in-scope assets have been pentested as per the QBR plan. Where assets have not been tested, verify that deviations are documented and approved.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Obtain the completed pentest listing for the reporting period (executed pentests tracker / wiki export).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 Tier 1 — Crown Jewels and CIF-critical assets (non-negotiable):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For each Tier 1 asset in the QBR plan, verify one of the following: (i) pentest completed within the reporting period, OR (ii) formally approved deviation exists with documented rationale and CISO Security Assurance sign-off. An undocumented gap on a Tier 1 asset is an automatic fail for this step.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 Tier 2 — Internet-facing and other risk-based assets: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For assets in this category included in the QBR plan, verify that either (i) the pentest was completed, OR (ii) a documented rationale for non-execution exists (e.g. change freeze, migration, resource constraint acknowledged by CISO S&amp;G).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Important — Internet-facing asset coverage: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No fixed coverage percentage applies to internet-facing assets. The selection of which internet-facing assets to include in the QBR plan is governed entirely by the risk-based QBR process and CISO Security Assurance judgment. Pass/fail for Tier 2 is determined by process adherence and documentation quality — not by a minimum coverage threshold.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 all untested planned assets at both tiers: verify a deviation has been raised, documented with rationale, and approved by CISO Security Assurance.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Population &amp; Sampling: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1 (CJ and CIF-critical): 100% population — all assets reviewed.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2 (internet-facing, Go-Live, TIBSA, PO-triggered): representative sample per MC&amp;T sampling methodology (statistical preferred; random selection via random.org).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files (PDF or screenshot — no Wiki/Jira links):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C14-[Year]Q[X]-03.1 ExecutedPentests_[Period].xlsx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C14-[Year]Q[X]-03.2 QBRPlan_vs_Execution.png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C14-[Year]Q[X]-03.3 Deviation_[AssetName].pdf (if applicable)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C14-[Year]Q[X]-03.4 DeviationApproval_[AssetName].png (if applicable)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privacy: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 names and pentest results may be classified. Anonymise or reference source system if C1 Confidential critical data is present.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previous monitoring cycle failed Step 3 because only 36% of assets were tested against an 80% threshold. Hard percentage thresholds are not appropriate for a dynamic, risk-based pentest programme where the asset population changes quarterly and priorities are set through TIBSA and CISO Security Assurance judgment.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revised step uses a two-tier approach: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1 (CJ, CIF-critical): mandatory completion or approved deviation — these are the highest-risk assets and represent the non-negotiable core of the control.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2 (internet-facing, Go-Live, TIBSA, PO-triggered): process adherence is verified — were planned assets tested and are gaps documented? No coverage percentage applies.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approach is consistent with industry best practice (ISO 27001, FedRAMP) which requires documented rationale for untested assets rather than fixed coverage percentages.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Tier 1 assets tested or have formally approved deviations. All Tier 2 gaps have documented rationale.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Any Tier 1 asset untested with no approved deviation. OR significant Tier 2 gaps with no documentation.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Target: PASS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that Asset Owners have acknowledged and signed off pentest findings via the Penetration Testing Issues and Sign-Off page.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Obtain the completed pentest listing from Step 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Select a sample following the MC&amp;T sampling methodology (statistical preferred; random selection via random.org). Document the sample selection process.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 each sampled pentest, verify that the Asset Owner has signed off the 'Penetration Testing Issues and Sign-Off' page (or equivalent). Sign-off must be traceable — named individual and date must be visible in the evidence.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Population &amp; Sampling: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Source: completed pentest listing from Step 3. Sample per MC&amp;T sampling methodology. Document sample size, selection method, and random seed/tool used.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files (PDF or screenshot — no Wiki/Jira links):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C14-[Year]Q[X]-03.1 ExecutedPentests_[Period].xlsx (sampling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C14-[Year]Q[X]-04.1 SignOff_[AssetName].pdf (one per sample — PO name and date must be visible)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privacy: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Sign-off pages may contain employee names. These are required for accountability purposes. Ensure uploads are restricted in AGRC.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 Owner sign-off is the accountability mechanism that ensures pentest findings are acknowledged and owned at the right level. Without documented sign-off, findings may be disputed, deprioritised, or left unmitigated — undermining the purpose of the control.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step was a PASS in the previous cycle and the monitoring approach is retained. The sign-off wiki page export (PDF or screenshot) remains the primary evidence format. No links to wiki pages are acceptable as evidence per MC&amp;T evidence rules.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sampled pentests have documented Asset Owner sign-off — named individual and date visible.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One or more sampled pentests have no evidence of Asset Owner acknowledgement.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Target: PASS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that pentest findings are registered in ServiceNow IRM with responsible owners and due dates assigned.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Using the same sample selected in Step 4 (no additional sampling required), review the findings from the sign-off documentation.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each finding is registered as an issue in ServiceNow IRM with a responsible owner and due date assigned.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 Critical and High findings: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IMATs have been raised in AGRC and assigned to the Asset Owner on an agreed due date.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 Medium findings: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the appropriate issue management process has been engaged (e.g. JIRA or equivalent) with owner and due date documented.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Population &amp; Sampling: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sample as Step 4. No additional sampling required. Cross-reference findings from Step 4 sign-off documentation against ServiceNow IRM entries.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files (PDF or screenshot — no Wiki/Jira links):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C14-[Year]Q[X]-03.1 ExecutedPentests_[Period].xlsx (reference)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C14-[Year]Q[X]-05.1 IRM_[AssetName].png (per sample — issue title, owner and due date highlighted)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C14-[Year]Q[X]-05.2 IMAT_[AssetName].pdf (for Critical/High findings)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C14-[Year]Q[X]-05.3 JIRA_[AssetName].png (for Medium findings, if applicable)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privacy: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IRM screenshots may contain employee names and system data. Anonymise if C1 Confidential critical data present. Reference source system in AGRC if upload not possible.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 registration in ServiceNow IRM is what converts a pentest from a point-in-time exercise into a tracked risk reduction activity. Without registration with named owners and due dates, vulnerabilities are identified but never driven to remediation.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step was a PASS in the previous cycle. The approach is retained and aligned with IMAT requirements: Critical and High findings require IMAT creation in AGRC (mandatory per MC&amp;T guidance for RED-level findings). Medium findings follow the standard issue management process.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sampled findings registered in ServiceNow IRM with owner and due date. Critical/High findings have IMATs raised in AGRC.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Findings not registered in IRM, or missing owners/due dates. Critical/High findings missing IMATs.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Target: PASS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that pentest results are reported to stakeholders, including specific coverage reporting on Crown Jewels and CIF-critical assets.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QBR coverage is reported in QBR memos for the reporting period.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coverage on Crown Jewels and CIF-critical assets is specifically addressed in reporting — aggregate numbers alone are not sufficient. CJ and CIF-critical asset status must be individually identifiable.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the Scope Dashboard has been updated for the reporting period and reflects current pentest status (Jul–Dec or equivalent reporting window).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Population &amp; Sampling: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QBR memo is the only population — no sampling required (single document per QBR cycle). Scope Dashboard: most recent update within the reporting period.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files (PDF or screenshot — no Wiki/Jira links):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C14-[Year]Q[X]-06.1 CJ_CIF_Coverage_Report.png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C14-[Year]Q[X]-06.2 QBR_Memo_[Period].pdf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C14-[Year]Q[X]-06.3 ScopeDashboard_[Month][Year].png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privacy: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and memo content may include system classification data. Redact personal data before AGRC upload if present.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reporting closes the governance loop — ensuring leadership, 2LoD and regional teams have visibility of pentest status, CJ/CIF coverage, and any escalation-required items. This is the primary mechanism by which the control's effectiveness is communicated upward and regulators can be satisfied.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Sub-step (b) has been updated to reference CIF-critical assets rather than 'Highly Sensitive Assets' to align with the revised scope definition. Aggregate reporting is not sufficient — Crown Jewels and CIF-critical assets must be specifically identifiable in the reporting.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step was a PASS in the previous cycle. The approach is retained with the scope terminology update.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QBR memos exist and report coverage; CJ and CIF-critical asset coverage specifically addressed; Scope Dashboard updated within reporting period.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 management reporting for the reporting period, or CJ/CIF coverage not reported at all.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Target: PASS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result: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[PASS / FAIL]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980"/>
        <w:gridCol w:w="2780"/>
      </w:tblGrid>
      <w:tr>
        <w:tc>
          <w:tcPr>
            <w:tcW w:type="dxa" w:w="936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Key Changes from Previous Monitoring Script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/ Area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Original Text</w:t>
            </w:r>
          </w:p>
        </w:tc>
        <w:tc>
          <w:tcPr>
            <w:tcW w:type="dxa" w:w="2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Revised Text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 for Change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Semi-annually / Half Yearly Q2/Q4</w:t>
            </w:r>
          </w:p>
        </w:tc>
        <w:tc>
          <w:tcPr>
            <w:tcW w:type="dxa" w:w="2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Annually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Aligned with CISO direction and actual operational cadence. RBA applies per NFR MC&amp;T Guidance (semi-annual controls qualify for annual reduction).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Highly Sensitive Assets marked as operational in CMDB; (Non) sensitive assets requiring PT based on ISRA</w:t>
            </w:r>
          </w:p>
        </w:tc>
        <w:tc>
          <w:tcPr>
            <w:tcW w:type="dxa" w:w="2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Assets prioritised through the QBR risk-based process: CJ, CIF-critical (C=1/I=1/A=1, RTO&lt;4h), internet-facing (risk-based), Go-Live (SNOW), TIBSA-identified, PO-triggered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Previous scope referenced CMDB/ISRA categories no longer used operationally. Revised to reflect actual QBR risk-based prioritisation process.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plan includes all internet/external-facing assets and highly sensitive assets from CMDB. Verify approved by GMT.</w:t>
            </w:r>
          </w:p>
        </w:tc>
        <w:tc>
          <w:tcPr>
            <w:tcW w:type="dxa" w:w="2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QBR plan covers mandatory asset categories. Internet-facing assets are an input to prioritisation — not all are required in the plan. Stakeholder agreement between CISO Security Assurance and POs constitutes approval.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Previous step failed because GMT approval is not the operational mechanism and scope categories were misaligned. Revised to match actual process.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80% (or 95%) of in-scope assets pentested per schedule.</w:t>
            </w:r>
          </w:p>
        </w:tc>
        <w:tc>
          <w:tcPr>
            <w:tcW w:type="dxa" w:w="2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Two-tier approach: Tier 1 (CJ, CIF-critical) — all must be tested or have approved deviation. Tier 2 (internet-facing, others) — process adherence and documentation verified. No coverage percentage applies to internet-facing assets.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 percentage threshold caused structural fail (36% achieved vs 80% required). Dynamic asset population and risk-based selection make fixed thresholds inappropriate. Revised to verify process adherence.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RAG — Amber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steps 2, 3 and 5 pass.</w:t>
            </w:r>
          </w:p>
        </w:tc>
        <w:tc>
          <w:tcPr>
            <w:tcW w:type="dxa" w:w="2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Steps 1, 4, 5 pass AND step 3 passes or all Tier 1 gaps have approved deviations AND step 2 has documented stakeholder agreement.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Previous AMBER conditions included step 2 and 3 which were structurally unachievable. Revised AMBER is achievable while still requiring meaningful verification of the highest-risk assets.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6 (b)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Coverage on Crown Jewels and Highly Sensitive Assets is reported.</w:t>
            </w:r>
          </w:p>
        </w:tc>
        <w:tc>
          <w:tcPr>
            <w:tcW w:type="dxa" w:w="2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Coverage on Crown Jewels and CIF-critical assets is reported.</w:t>
            </w:r>
          </w:p>
        </w:tc>
        <w:tc>
          <w:tcPr>
            <w:tcW w:type="dxa" w:w="2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Terminology updated to align with revised scope definition. 'Highly Sensitive Assets' replaced with 'CIF-critical assets'.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Document prepared by: CISO Security Testing (1LoD)  |  To be reviewed and agreed with I&amp;ORM (2LoD) before submission to AGRC  |  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Reference: NFR Additional MC&amp;T Guidance v1.0, Nov 2023  |  AACB Policy 101-23-24  |  S07-626 Penetration Testing Standard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2026-04-27T12:43:36.345Z</dcterms:created>
  <dcterms:modified xsi:type="dcterms:W3CDTF">2026-04-27T12:43:36.346Z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