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C3C50" w14:textId="77777777" w:rsidR="00BD1402" w:rsidRPr="00BD1402" w:rsidRDefault="00BD1402" w:rsidP="00BD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402">
        <w:rPr>
          <w:rFonts w:ascii="Times New Roman" w:eastAsia="Times New Roman" w:hAnsi="Times New Roman" w:cs="Times New Roman"/>
          <w:b/>
          <w:bCs/>
          <w:sz w:val="24"/>
          <w:szCs w:val="24"/>
        </w:rPr>
        <w:t>SHORT-TERM (4-6 Months)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2582"/>
        <w:gridCol w:w="2966"/>
        <w:gridCol w:w="2288"/>
      </w:tblGrid>
      <w:tr w:rsidR="00BD1402" w:rsidRPr="00BD1402" w14:paraId="4F511505" w14:textId="77777777" w:rsidTr="00BD14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2BF9A" w14:textId="77777777" w:rsidR="00BD1402" w:rsidRPr="00BD1402" w:rsidRDefault="00BD1402" w:rsidP="00BD14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Gap / Focus Area</w:t>
            </w:r>
          </w:p>
        </w:tc>
        <w:tc>
          <w:tcPr>
            <w:tcW w:w="0" w:type="auto"/>
            <w:vAlign w:val="center"/>
            <w:hideMark/>
          </w:tcPr>
          <w:p w14:paraId="286D3836" w14:textId="77777777" w:rsidR="00BD1402" w:rsidRPr="00BD1402" w:rsidRDefault="00BD1402" w:rsidP="00BD14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1122B1D" w14:textId="77777777" w:rsidR="00BD1402" w:rsidRPr="00BD1402" w:rsidRDefault="00BD1402" w:rsidP="00BD14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 of Done (SMART)</w:t>
            </w:r>
          </w:p>
        </w:tc>
        <w:tc>
          <w:tcPr>
            <w:tcW w:w="0" w:type="auto"/>
            <w:vAlign w:val="center"/>
            <w:hideMark/>
          </w:tcPr>
          <w:p w14:paraId="310CB38E" w14:textId="77777777" w:rsidR="00BD1402" w:rsidRPr="00BD1402" w:rsidRDefault="00BD1402" w:rsidP="00BD14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Evidence</w:t>
            </w:r>
          </w:p>
        </w:tc>
      </w:tr>
      <w:tr w:rsidR="00BD1402" w:rsidRPr="00BD1402" w14:paraId="6472DC2B" w14:textId="77777777" w:rsidTr="00BD1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03C43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Guardrail Ratification &amp; Operational Control</w:t>
            </w:r>
          </w:p>
        </w:tc>
        <w:tc>
          <w:tcPr>
            <w:tcW w:w="0" w:type="auto"/>
            <w:vAlign w:val="center"/>
            <w:hideMark/>
          </w:tcPr>
          <w:p w14:paraId="4234DDF6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control set (</w:t>
            </w:r>
            <w:proofErr w:type="spellStart"/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RoE</w:t>
            </w:r>
            <w:proofErr w:type="spellEnd"/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, prompt library, scope hook, data-handling) defined but not ratified, blocking operational use.</w:t>
            </w:r>
          </w:p>
        </w:tc>
        <w:tc>
          <w:tcPr>
            <w:tcW w:w="0" w:type="auto"/>
            <w:vAlign w:val="center"/>
            <w:hideMark/>
          </w:tcPr>
          <w:p w14:paraId="0133F785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 of controls ratified and embedded as standing process; per-session </w:t>
            </w:r>
            <w:proofErr w:type="spellStart"/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RoE</w:t>
            </w:r>
            <w:proofErr w:type="spellEnd"/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approved prompt library mandatory for every LLM session by end of Q3 2026.</w:t>
            </w:r>
          </w:p>
        </w:tc>
        <w:tc>
          <w:tcPr>
            <w:tcW w:w="0" w:type="auto"/>
            <w:vAlign w:val="center"/>
            <w:hideMark/>
          </w:tcPr>
          <w:p w14:paraId="41AB51EE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Signed operational control policy, prompt library register, </w:t>
            </w:r>
            <w:proofErr w:type="spellStart"/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RoE</w:t>
            </w:r>
            <w:proofErr w:type="spellEnd"/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session records, </w:t>
            </w:r>
            <w:proofErr w:type="spellStart"/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PreToolUse</w:t>
            </w:r>
            <w:proofErr w:type="spellEnd"/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hook configuration.</w:t>
            </w:r>
          </w:p>
        </w:tc>
      </w:tr>
      <w:tr w:rsidR="00BD1402" w:rsidRPr="00BD1402" w14:paraId="09CAE922" w14:textId="77777777" w:rsidTr="00BD1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55895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Enablement</w:t>
            </w:r>
          </w:p>
        </w:tc>
        <w:tc>
          <w:tcPr>
            <w:tcW w:w="0" w:type="auto"/>
            <w:vAlign w:val="center"/>
            <w:hideMark/>
          </w:tcPr>
          <w:p w14:paraId="21D40261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Capability deployed but not </w:t>
            </w:r>
            <w:proofErr w:type="spellStart"/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authorised</w:t>
            </w:r>
            <w:proofErr w:type="spellEnd"/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live engagements; testers operate under interim guidance only.</w:t>
            </w:r>
          </w:p>
        </w:tc>
        <w:tc>
          <w:tcPr>
            <w:tcW w:w="0" w:type="auto"/>
            <w:vAlign w:val="center"/>
            <w:hideMark/>
          </w:tcPr>
          <w:p w14:paraId="5D6C0A32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 AI approved and in supervised operational use on 100% of in-scope </w:t>
            </w:r>
            <w:proofErr w:type="spellStart"/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authorised</w:t>
            </w:r>
            <w:proofErr w:type="spellEnd"/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targets, tester accountable for every finding, from Sept 2026.</w:t>
            </w:r>
          </w:p>
        </w:tc>
        <w:tc>
          <w:tcPr>
            <w:tcW w:w="0" w:type="auto"/>
            <w:vAlign w:val="center"/>
            <w:hideMark/>
          </w:tcPr>
          <w:p w14:paraId="14CFFA88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Use-case approval record, engagement logs showing AI-assisted tooling, tester sign-off on findings.</w:t>
            </w:r>
          </w:p>
        </w:tc>
      </w:tr>
      <w:tr w:rsidR="00BD1402" w:rsidRPr="00BD1402" w14:paraId="3B5F432B" w14:textId="77777777" w:rsidTr="00BD1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79E5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 &amp; Traceability Baseline</w:t>
            </w:r>
          </w:p>
        </w:tc>
        <w:tc>
          <w:tcPr>
            <w:tcW w:w="0" w:type="auto"/>
            <w:vAlign w:val="center"/>
            <w:hideMark/>
          </w:tcPr>
          <w:p w14:paraId="6B771709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Logging pipelines (CloudTrail, Splunk/OTEL) being wired but lack an agreed alerting baseline and full session-to-engagement traceability.</w:t>
            </w:r>
          </w:p>
        </w:tc>
        <w:tc>
          <w:tcPr>
            <w:tcW w:w="0" w:type="auto"/>
            <w:vAlign w:val="center"/>
            <w:hideMark/>
          </w:tcPr>
          <w:p w14:paraId="52BBB419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100% of Bedrock invocations and tool calls logged with an agreed SOC alerting baseline for anomalous/off-hours use; every session traceable to tester and engagement by Q3 2026.</w:t>
            </w:r>
          </w:p>
        </w:tc>
        <w:tc>
          <w:tcPr>
            <w:tcW w:w="0" w:type="auto"/>
            <w:vAlign w:val="center"/>
            <w:hideMark/>
          </w:tcPr>
          <w:p w14:paraId="05F8F86E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CloudTrail logs, Splunk/OTEL dashboards, documented alerting thresholds, SOC visibility confirmation.</w:t>
            </w:r>
          </w:p>
        </w:tc>
      </w:tr>
      <w:tr w:rsidR="00BD1402" w:rsidRPr="00BD1402" w14:paraId="2C627207" w14:textId="77777777" w:rsidTr="00BD1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08CBB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Cost &amp; Token Baseline</w:t>
            </w:r>
          </w:p>
        </w:tc>
        <w:tc>
          <w:tcPr>
            <w:tcW w:w="0" w:type="auto"/>
            <w:vAlign w:val="center"/>
            <w:hideMark/>
          </w:tcPr>
          <w:p w14:paraId="3A43C00B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Token consumption and cost-per-engagement unproven, creating budget uncertainty for scale-up.</w:t>
            </w:r>
          </w:p>
        </w:tc>
        <w:tc>
          <w:tcPr>
            <w:tcW w:w="0" w:type="auto"/>
            <w:vAlign w:val="center"/>
            <w:hideMark/>
          </w:tcPr>
          <w:p w14:paraId="542B453B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Token-usage test executed during the Black Box </w:t>
            </w:r>
            <w:proofErr w:type="spellStart"/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pentest</w:t>
            </w:r>
            <w:proofErr w:type="spellEnd"/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all AACB external endpoints; measured cost-per-engagement baseline produced by Dec 2026.</w:t>
            </w:r>
          </w:p>
        </w:tc>
        <w:tc>
          <w:tcPr>
            <w:tcW w:w="0" w:type="auto"/>
            <w:vAlign w:val="center"/>
            <w:hideMark/>
          </w:tcPr>
          <w:p w14:paraId="1B0BBD1B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Token usage report, cost-per-engagement calculation, QBR cost-allocation submission.</w:t>
            </w:r>
          </w:p>
        </w:tc>
      </w:tr>
    </w:tbl>
    <w:p w14:paraId="57BD3961" w14:textId="77777777" w:rsidR="00BD1402" w:rsidRPr="00BD1402" w:rsidRDefault="00BD1402" w:rsidP="00BD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402">
        <w:rPr>
          <w:rFonts w:ascii="Times New Roman" w:eastAsia="Times New Roman" w:hAnsi="Times New Roman" w:cs="Times New Roman"/>
          <w:b/>
          <w:bCs/>
          <w:sz w:val="24"/>
          <w:szCs w:val="24"/>
        </w:rPr>
        <w:t>LONG-TERM (6-12 Months)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2434"/>
        <w:gridCol w:w="2901"/>
        <w:gridCol w:w="2429"/>
      </w:tblGrid>
      <w:tr w:rsidR="00BD1402" w:rsidRPr="00BD1402" w14:paraId="50A11B74" w14:textId="77777777" w:rsidTr="00BD14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F18FB" w14:textId="77777777" w:rsidR="00BD1402" w:rsidRPr="00BD1402" w:rsidRDefault="00BD1402" w:rsidP="00BD14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Gap / Focus Area</w:t>
            </w:r>
          </w:p>
        </w:tc>
        <w:tc>
          <w:tcPr>
            <w:tcW w:w="0" w:type="auto"/>
            <w:vAlign w:val="center"/>
            <w:hideMark/>
          </w:tcPr>
          <w:p w14:paraId="227E0763" w14:textId="77777777" w:rsidR="00BD1402" w:rsidRPr="00BD1402" w:rsidRDefault="00BD1402" w:rsidP="00BD14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7EE2F44" w14:textId="77777777" w:rsidR="00BD1402" w:rsidRPr="00BD1402" w:rsidRDefault="00BD1402" w:rsidP="00BD14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 of Done (SMART)</w:t>
            </w:r>
          </w:p>
        </w:tc>
        <w:tc>
          <w:tcPr>
            <w:tcW w:w="0" w:type="auto"/>
            <w:vAlign w:val="center"/>
            <w:hideMark/>
          </w:tcPr>
          <w:p w14:paraId="6798166C" w14:textId="77777777" w:rsidR="00BD1402" w:rsidRPr="00BD1402" w:rsidRDefault="00BD1402" w:rsidP="00BD14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Evidence</w:t>
            </w:r>
          </w:p>
        </w:tc>
      </w:tr>
      <w:tr w:rsidR="00BD1402" w:rsidRPr="00BD1402" w14:paraId="52328C38" w14:textId="77777777" w:rsidTr="00BD1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1266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Use-Case Re-authorization</w:t>
            </w:r>
          </w:p>
        </w:tc>
        <w:tc>
          <w:tcPr>
            <w:tcW w:w="0" w:type="auto"/>
            <w:vAlign w:val="center"/>
            <w:hideMark/>
          </w:tcPr>
          <w:p w14:paraId="5779A40D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Authority to operate lapses without a scheduled re-authorization, risking non-compliance with AACB AI policy and DORA.</w:t>
            </w:r>
          </w:p>
        </w:tc>
        <w:tc>
          <w:tcPr>
            <w:tcW w:w="0" w:type="auto"/>
            <w:vAlign w:val="center"/>
            <w:hideMark/>
          </w:tcPr>
          <w:p w14:paraId="70976E1F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Re-authorization review completed within six months of approval; DORA alignment re-confirmed and documented by Q1 2027.</w:t>
            </w:r>
          </w:p>
        </w:tc>
        <w:tc>
          <w:tcPr>
            <w:tcW w:w="0" w:type="auto"/>
            <w:vAlign w:val="center"/>
            <w:hideMark/>
          </w:tcPr>
          <w:p w14:paraId="7C688E93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Re-authorization decision record, updated AI use-case inventory entry, DORA alignment memo.</w:t>
            </w:r>
          </w:p>
        </w:tc>
      </w:tr>
      <w:tr w:rsidR="00BD1402" w:rsidRPr="00BD1402" w14:paraId="62D39A3A" w14:textId="77777777" w:rsidTr="00BD1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A330E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Success-Criteria Evaluation</w:t>
            </w:r>
          </w:p>
        </w:tc>
        <w:tc>
          <w:tcPr>
            <w:tcW w:w="0" w:type="auto"/>
            <w:vAlign w:val="center"/>
            <w:hideMark/>
          </w:tcPr>
          <w:p w14:paraId="6BC5A3CF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Expected throughput and coverage benefits asserted but not </w:t>
            </w: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measured against a baseline.</w:t>
            </w:r>
          </w:p>
        </w:tc>
        <w:tc>
          <w:tcPr>
            <w:tcW w:w="0" w:type="auto"/>
            <w:vAlign w:val="center"/>
            <w:hideMark/>
          </w:tcPr>
          <w:p w14:paraId="182A22A1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Success criteria evaluated against baseline: quantified reduction in time-to-finding and time-to-report and </w:t>
            </w: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measured coverage uplift, by Q2 2027.</w:t>
            </w:r>
          </w:p>
        </w:tc>
        <w:tc>
          <w:tcPr>
            <w:tcW w:w="0" w:type="auto"/>
            <w:vAlign w:val="center"/>
            <w:hideMark/>
          </w:tcPr>
          <w:p w14:paraId="237F39A8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Before/after MTTR &amp; time-to-report metrics, coverage reports, </w:t>
            </w: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evaluation summary to CISO.</w:t>
            </w:r>
          </w:p>
        </w:tc>
      </w:tr>
      <w:tr w:rsidR="00BD1402" w:rsidRPr="00BD1402" w14:paraId="2E8F4D77" w14:textId="77777777" w:rsidTr="00BD1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085C0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Methodology Embedding &amp; Assurance</w:t>
            </w:r>
          </w:p>
        </w:tc>
        <w:tc>
          <w:tcPr>
            <w:tcW w:w="0" w:type="auto"/>
            <w:vAlign w:val="center"/>
            <w:hideMark/>
          </w:tcPr>
          <w:p w14:paraId="5CA7F90E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LLM-assisted testing not yet embedded as standard methodology with the human-validation gate </w:t>
            </w:r>
            <w:proofErr w:type="spellStart"/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formalised</w:t>
            </w:r>
            <w:proofErr w:type="spellEnd"/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across all engagements.</w:t>
            </w:r>
          </w:p>
        </w:tc>
        <w:tc>
          <w:tcPr>
            <w:tcW w:w="0" w:type="auto"/>
            <w:vAlign w:val="center"/>
            <w:hideMark/>
          </w:tcPr>
          <w:p w14:paraId="330A73EA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Amended methodology ratified and applied to 100% of in-scope engagements, human validation as documented gating control, by Q2 2027.</w:t>
            </w:r>
          </w:p>
        </w:tc>
        <w:tc>
          <w:tcPr>
            <w:tcW w:w="0" w:type="auto"/>
            <w:vAlign w:val="center"/>
            <w:hideMark/>
          </w:tcPr>
          <w:p w14:paraId="330DAC14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Approved methodology document, engagement QA records, four-eyes review evidence.</w:t>
            </w:r>
          </w:p>
        </w:tc>
      </w:tr>
      <w:tr w:rsidR="00BD1402" w:rsidRPr="00BD1402" w14:paraId="1528EA8C" w14:textId="77777777" w:rsidTr="00BD1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B8BAC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Model Assessment</w:t>
            </w:r>
          </w:p>
        </w:tc>
        <w:tc>
          <w:tcPr>
            <w:tcW w:w="0" w:type="auto"/>
            <w:vAlign w:val="center"/>
            <w:hideMark/>
          </w:tcPr>
          <w:p w14:paraId="4C4A1D3A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No standing process to assess and adopt evolving frontier models against defined criteria.</w:t>
            </w:r>
          </w:p>
        </w:tc>
        <w:tc>
          <w:tcPr>
            <w:tcW w:w="0" w:type="auto"/>
            <w:vAlign w:val="center"/>
            <w:hideMark/>
          </w:tcPr>
          <w:p w14:paraId="52500872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Model-assessment process operating on the re-authorization cycle; new models adopted only after assessment against capability, guardrails, cost and Bedrock EU no-retention availability.</w:t>
            </w:r>
          </w:p>
        </w:tc>
        <w:tc>
          <w:tcPr>
            <w:tcW w:w="0" w:type="auto"/>
            <w:vAlign w:val="center"/>
            <w:hideMark/>
          </w:tcPr>
          <w:p w14:paraId="6360D71A" w14:textId="77777777" w:rsidR="00BD1402" w:rsidRPr="00BD1402" w:rsidRDefault="00BD1402" w:rsidP="00BD1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402">
              <w:rPr>
                <w:rFonts w:ascii="Times New Roman" w:eastAsia="Times New Roman" w:hAnsi="Times New Roman" w:cs="Times New Roman"/>
                <w:sz w:val="24"/>
                <w:szCs w:val="24"/>
              </w:rPr>
              <w:t>Model assessment criteria, assessment records, model selection/pinning register.</w:t>
            </w:r>
          </w:p>
        </w:tc>
      </w:tr>
    </w:tbl>
    <w:p w14:paraId="0F7BA522" w14:textId="37BA24FB" w:rsidR="00EA1939" w:rsidRDefault="00EA1939"/>
    <w:sectPr w:rsidR="00EA1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402"/>
    <w:rsid w:val="00BD1402"/>
    <w:rsid w:val="00EA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A3ACD"/>
  <w15:chartTrackingRefBased/>
  <w15:docId w15:val="{889F1436-5ACB-4775-AA20-91F0C8D00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BD1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14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4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1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a.alex.arvinte@gmail.com</dc:creator>
  <cp:keywords/>
  <dc:description/>
  <cp:lastModifiedBy>a.alex.arvinte@gmail.com</cp:lastModifiedBy>
  <cp:revision>1</cp:revision>
  <dcterms:created xsi:type="dcterms:W3CDTF">2026-08-14T12:33:00Z</dcterms:created>
  <dcterms:modified xsi:type="dcterms:W3CDTF">2026-08-14T12:34:00Z</dcterms:modified>
</cp:coreProperties>
</file>