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39F4" w14:textId="77777777" w:rsidR="00AE445D" w:rsidRDefault="00251568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Vulnerability Naming Convention</w:t>
      </w:r>
    </w:p>
    <w:p w14:paraId="12AF3A4F" w14:textId="77777777" w:rsidR="00AE445D" w:rsidRDefault="00251568">
      <w:pPr>
        <w:pBdr>
          <w:bottom w:val="single" w:sz="8" w:space="6" w:color="1F3864"/>
        </w:pBdr>
        <w:spacing w:after="280"/>
      </w:pPr>
      <w:r>
        <w:rPr>
          <w:rFonts w:ascii="Calibri" w:eastAsia="Calibri" w:hAnsi="Calibri" w:cs="Calibri"/>
          <w:color w:val="555555"/>
          <w:sz w:val="22"/>
          <w:szCs w:val="22"/>
        </w:rPr>
        <w:t>Control domains and responsible parties — ServiceNow vulnerability records</w:t>
      </w:r>
    </w:p>
    <w:p w14:paraId="675C9521" w14:textId="77777777" w:rsidR="00AE445D" w:rsidRDefault="00251568">
      <w:pPr>
        <w:pStyle w:val="Heading1"/>
        <w:spacing w:before="34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Format</w:t>
      </w:r>
    </w:p>
    <w:p w14:paraId="65D2082D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>Every vulnerability record name carries two bracketed values: the control domain describing the nature of the finding, and the party responsible for remediating it.</w:t>
      </w:r>
    </w:p>
    <w:p w14:paraId="4590837C" w14:textId="77777777" w:rsidR="00AE445D" w:rsidRDefault="00251568">
      <w:pPr>
        <w:spacing w:before="80" w:after="110"/>
        <w:jc w:val="center"/>
      </w:pPr>
      <w:r>
        <w:rPr>
          <w:rFonts w:ascii="Consolas" w:eastAsia="Consolas" w:hAnsi="Consolas" w:cs="Consolas"/>
          <w:b/>
          <w:bCs/>
          <w:color w:val="1F3864"/>
          <w:sz w:val="22"/>
          <w:szCs w:val="22"/>
        </w:rPr>
        <w:t>Vulnerability name [Control domain, Responsible party]</w:t>
      </w:r>
    </w:p>
    <w:p w14:paraId="5410FD6B" w14:textId="77777777" w:rsidR="00AE445D" w:rsidRDefault="00251568">
      <w:pPr>
        <w:spacing w:after="200"/>
        <w:jc w:val="center"/>
      </w:pPr>
      <w:r>
        <w:rPr>
          <w:rFonts w:ascii="Consolas" w:eastAsia="Consolas" w:hAnsi="Consolas" w:cs="Consolas"/>
          <w:color w:val="555555"/>
        </w:rPr>
        <w:t>Unauthenticated access to web API [H</w:t>
      </w:r>
      <w:r>
        <w:rPr>
          <w:rFonts w:ascii="Consolas" w:eastAsia="Consolas" w:hAnsi="Consolas" w:cs="Consolas"/>
          <w:color w:val="555555"/>
        </w:rPr>
        <w:t>ardening, Product Grid]</w:t>
      </w:r>
    </w:p>
    <w:p w14:paraId="2AD6D5C1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 xml:space="preserve">One value per field. Compound entries such as [Hardening / Configuration, Vendor + Platform Grid] must not be used, as they make the field </w:t>
      </w:r>
      <w:proofErr w:type="spellStart"/>
      <w:r>
        <w:rPr>
          <w:rFonts w:ascii="Calibri" w:eastAsia="Calibri" w:hAnsi="Calibri" w:cs="Calibri"/>
          <w:sz w:val="21"/>
          <w:szCs w:val="21"/>
        </w:rPr>
        <w:t>unqueryable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ED30576" w14:textId="77777777" w:rsidR="00AE445D" w:rsidRDefault="00251568">
      <w:pPr>
        <w:pStyle w:val="Heading1"/>
        <w:spacing w:before="34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Control domain — what the finding is</w:t>
      </w:r>
    </w:p>
    <w:p w14:paraId="50854A1F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>Seven values, each defined by what the r</w:t>
      </w:r>
      <w:r>
        <w:rPr>
          <w:rFonts w:ascii="Calibri" w:eastAsia="Calibri" w:hAnsi="Calibri" w:cs="Calibri"/>
          <w:sz w:val="21"/>
          <w:szCs w:val="21"/>
        </w:rPr>
        <w:t>emediation consists of.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2600"/>
        <w:gridCol w:w="2800"/>
      </w:tblGrid>
      <w:tr w:rsidR="00AE445D" w14:paraId="71A091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96154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793BA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Assign when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39F5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B61B8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 record names</w:t>
            </w:r>
          </w:p>
        </w:tc>
      </w:tr>
      <w:tr w:rsidR="00AE445D" w14:paraId="4787E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8BACC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Hardening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2E452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security control exists but is disabled, weakened, or left at an insecure default, and a working attack path exists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E112D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Signing and protocol settings, TLS and cipher configuration, unnecessary services, network reachability and segmentation, exposed manageme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nt interfaces, directory listing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5E10F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SMB signing not enabled [Hardening, Platform Grid] · TLS 1.0 enabled on public listener [Hardening, Platform Grid] · Management interface reachable from user VLAN [Hardening, Platform Grid]</w:t>
            </w:r>
          </w:p>
        </w:tc>
      </w:tr>
      <w:tr w:rsidR="00AE445D" w14:paraId="08E4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AEE3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System configuration improvement</w:t>
            </w:r>
          </w:p>
        </w:tc>
        <w:tc>
          <w:tcPr>
            <w:tcW w:w="24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C20F7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The finding is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defence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-in-depth only, with no direct exploit path demonstrated. This is the usual risk-acceptance bucket</w:t>
            </w:r>
          </w:p>
        </w:tc>
        <w:tc>
          <w:tcPr>
            <w:tcW w:w="26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99027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Detection and logging gaps, log forwarding and retention, banner and version disclosure, legacy settings unreachable from untrusted zones</w:t>
            </w:r>
          </w:p>
        </w:tc>
        <w:tc>
          <w:tcPr>
            <w:tcW w:w="28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BFBB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Audit logging disabled on database instance [System configuration improvement, Platform Grid] · NTLM coercion exposure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with relay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defences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 place [System configuration improvement, Platform Grid]</w:t>
            </w:r>
          </w:p>
        </w:tc>
      </w:tr>
      <w:tr w:rsidR="00AE445D" w14:paraId="467BC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0DBA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Programming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6849B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The flaw is in software the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wrote — in its code or in its design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A1555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Injection and encoding, session handling, business logic abuse, unsafe deserialization, weak randomness, verbose error output and stack traces, secrets hardcoded in source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154B8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SQL injection in reporting filter [Programming, Product Grid] · Session token not in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validated on logout [Programming, Product Grid] · Price manipulation via client-side total [Programming, Product Grid]</w:t>
            </w:r>
          </w:p>
        </w:tc>
      </w:tr>
      <w:tr w:rsidR="00AE445D" w14:paraId="4DD9F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BF7C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Code vulnerability</w:t>
            </w:r>
          </w:p>
        </w:tc>
        <w:tc>
          <w:tcPr>
            <w:tcW w:w="24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D2473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 known flaw exists in a third-party component the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did not write, and no fix is available or the component is embedded</w:t>
            </w:r>
          </w:p>
        </w:tc>
        <w:tc>
          <w:tcPr>
            <w:tcW w:w="26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C0820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CVEs in appliance firmware, vulnerable bundled libraries, flaws in closed-source components</w:t>
            </w:r>
          </w:p>
        </w:tc>
        <w:tc>
          <w:tcPr>
            <w:tcW w:w="28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07DE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Log4Shell in bundled logging lib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rary [Code vulnerability, Vendor] · Known RCE in embedded appliance firmware [Code vulnerability, Vendor]</w:t>
            </w:r>
          </w:p>
        </w:tc>
      </w:tr>
      <w:tr w:rsidR="00AE445D" w14:paraId="41F86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7710D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Patch management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8CCC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fix has been released and not applied, or the software is end-of-life and unsupported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3B11A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Missing OS and application updates, unsupported versions, outdated firmware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F3A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Unsupported Apache Tomcat version in use [Patch management, Platform Grid] · End-of-life dat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abase engine in production [Patch management, Platform Grid]</w:t>
            </w:r>
          </w:p>
        </w:tc>
      </w:tr>
      <w:tr w:rsidR="00AE445D" w14:paraId="44006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013C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Access control</w:t>
            </w:r>
          </w:p>
        </w:tc>
        <w:tc>
          <w:tcPr>
            <w:tcW w:w="24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74E2F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How an identity is proven, or what it is permitted to do, must be changed</w:t>
            </w:r>
          </w:p>
        </w:tc>
        <w:tc>
          <w:tcPr>
            <w:tcW w:w="26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F56CA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Authentication strength and MFA, default, shared and orphaned accounts, password policy, excessive privilege, missing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authorisation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checks</w:t>
            </w:r>
          </w:p>
        </w:tc>
        <w:tc>
          <w:tcPr>
            <w:tcW w:w="28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14492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No MFA enforced on administrative console [Access control, Platform Grid] · IDOR on order retrieval endpoint [Access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control, Product Grid] · Default vendor credentials still active [Access control, Platform Grid]</w:t>
            </w:r>
          </w:p>
        </w:tc>
      </w:tr>
      <w:tr w:rsidR="00AE445D" w14:paraId="16B58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2BD99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Data protection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0830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The data itself must be encrypted, masked,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minimised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or removed from where it is held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E90D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Encryption at rest and in transit, PII exposure, sensitive data written to logs, credential storage, secrets held outside source code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7228F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PII returned in unauthenticated API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response [Data protection, Product Grid] · Backup volumes stored without encryption at rest [Data protection, Platform Grid]</w:t>
            </w:r>
          </w:p>
        </w:tc>
      </w:tr>
    </w:tbl>
    <w:p w14:paraId="4BFC2E61" w14:textId="77777777" w:rsidR="00AE445D" w:rsidRDefault="00251568">
      <w:pPr>
        <w:pStyle w:val="Heading1"/>
        <w:spacing w:before="34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Responsible party — who fixes it</w:t>
      </w:r>
    </w:p>
    <w:p w14:paraId="248C29CA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>Three values. The responsible party is whoever has the ability to remediate, not whoever introduced the issue.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60"/>
        <w:gridCol w:w="2400"/>
        <w:gridCol w:w="2700"/>
      </w:tblGrid>
      <w:tr w:rsidR="00AE445D" w14:paraId="462624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BE919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27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A3F32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Assign when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73634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Who that is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6F50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findings</w:t>
            </w:r>
          </w:p>
        </w:tc>
      </w:tr>
      <w:tr w:rsidR="00AE445D" w14:paraId="3C4E9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EDD62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Product Grid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DDAF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fix lives in the application itself — its code, its logic, or its own configuration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83754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development team that owns the application under test, and attends the sign-off meeting for it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F4032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Injection flaws, session handling, business logic abuse, hardcoded se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crets, missing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authorisation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checks, verbose error output</w:t>
            </w:r>
          </w:p>
        </w:tc>
      </w:tr>
      <w:tr w:rsidR="00AE445D" w14:paraId="67776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DC4E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Platform Grid</w:t>
            </w:r>
          </w:p>
        </w:tc>
        <w:tc>
          <w:tcPr>
            <w:tcW w:w="27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86FE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fix is a shared control enforced centrally across all assets, not something one application can change</w:t>
            </w:r>
          </w:p>
        </w:tc>
        <w:tc>
          <w:tcPr>
            <w:tcW w:w="24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8F8E3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separate teams that own and enforce estate-wide standards on behalf of the company</w:t>
            </w:r>
          </w:p>
        </w:tc>
        <w:tc>
          <w:tcPr>
            <w:tcW w:w="27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D064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Firewall and segmentation rules, database engine settings, OS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build hardening, directory and domain policy, TLS standards, patching, central logging</w:t>
            </w:r>
          </w:p>
        </w:tc>
      </w:tr>
      <w:tr w:rsidR="00AE445D" w14:paraId="60FCA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23970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Vendor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7487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fix requires a supplier patch or supplier-controlled configuration that no internal team can apply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D15AB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The third-party supplier of a closed product or appliance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048E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CVEs in appliance firmware, flaws in closed-source components, insecure defaults the product do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es not expose for change</w:t>
            </w:r>
          </w:p>
        </w:tc>
      </w:tr>
    </w:tbl>
    <w:p w14:paraId="57BAA8B6" w14:textId="77777777" w:rsidR="00AE445D" w:rsidRDefault="00AE445D">
      <w:pPr>
        <w:spacing w:after="140"/>
      </w:pPr>
    </w:p>
    <w:p w14:paraId="2EE745C7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b/>
          <w:bCs/>
          <w:sz w:val="21"/>
          <w:szCs w:val="21"/>
        </w:rPr>
        <w:t>Routing test: ask who has the hands to fix it. Ownership of the technology does not decide the tag — ability to remediate does.</w:t>
      </w:r>
    </w:p>
    <w:p w14:paraId="796CC033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>Shared control with an application-specific exception — where a platform standard has been relaxed at the application team's req</w:t>
      </w:r>
      <w:r>
        <w:rPr>
          <w:rFonts w:ascii="Calibri" w:eastAsia="Calibri" w:hAnsi="Calibri" w:cs="Calibri"/>
          <w:sz w:val="21"/>
          <w:szCs w:val="21"/>
        </w:rPr>
        <w:t>uest, the fix is to revert to the standard, so the record is tagged Product Grid.</w:t>
      </w:r>
    </w:p>
    <w:p w14:paraId="5C166DB8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lastRenderedPageBreak/>
        <w:t>Self-managed platform components — where a development team runs its own database, container, or web server and Platform Grid has no access, the record is tagged Product Grid</w:t>
      </w:r>
      <w:r>
        <w:rPr>
          <w:rFonts w:ascii="Calibri" w:eastAsia="Calibri" w:hAnsi="Calibri" w:cs="Calibri"/>
          <w:sz w:val="21"/>
          <w:szCs w:val="21"/>
        </w:rPr>
        <w:t>, because the tag must track who can actually remediate.</w:t>
      </w:r>
    </w:p>
    <w:p w14:paraId="637C1C29" w14:textId="77777777" w:rsidR="00AE445D" w:rsidRDefault="00251568">
      <w:pPr>
        <w:pStyle w:val="Heading1"/>
        <w:spacing w:before="34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Boundary rules</w:t>
      </w:r>
    </w:p>
    <w:p w14:paraId="2B513573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sz w:val="21"/>
          <w:szCs w:val="21"/>
        </w:rPr>
        <w:t>These pairs overlap in practice and should be applied as follows.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AE445D" w14:paraId="78BABE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C4D79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Pair</w:t>
            </w:r>
          </w:p>
        </w:tc>
        <w:tc>
          <w:tcPr>
            <w:tcW w:w="62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0CD8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AE445D" w14:paraId="0C059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2240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Hardening vs. System configuration improvement</w:t>
            </w:r>
          </w:p>
        </w:tc>
        <w:tc>
          <w:tcPr>
            <w:tcW w:w="6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CD49E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If a working attack path exists, use Hardening. If the finding is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defence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-in-depth only, use System configuration improvement.</w:t>
            </w:r>
          </w:p>
        </w:tc>
      </w:tr>
      <w:tr w:rsidR="00AE445D" w14:paraId="1C022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D04ED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Hardening vs. Access control</w:t>
            </w:r>
          </w:p>
        </w:tc>
        <w:tc>
          <w:tcPr>
            <w:tcW w:w="62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2C951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If the fix changes a technical control setting, use Hardening. If it changes who may authenticate or what they may do once authenticated, use Access control.</w:t>
            </w:r>
          </w:p>
        </w:tc>
      </w:tr>
      <w:tr w:rsidR="00AE445D" w14:paraId="5D6EE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800F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Programming vs. Code vulnerability</w:t>
            </w:r>
          </w:p>
        </w:tc>
        <w:tc>
          <w:tcPr>
            <w:tcW w:w="6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ADD6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If the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wrote the code, use Programming. If the fl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aw is in a third-party component, use Code vulnerability.</w:t>
            </w:r>
          </w:p>
        </w:tc>
      </w:tr>
      <w:tr w:rsidR="00AE445D" w14:paraId="47267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D23C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Code vulnerability vs. Patch management</w:t>
            </w:r>
          </w:p>
        </w:tc>
        <w:tc>
          <w:tcPr>
            <w:tcW w:w="62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DEE29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If a fix has been released, or the software is unsupported, use Patch management. Reserve Code vulnerability for flaws with no available fix or embedded in a closed product.</w:t>
            </w:r>
          </w:p>
        </w:tc>
      </w:tr>
      <w:tr w:rsidR="00AE445D" w14:paraId="4C146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921F8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Programming vs. Data protection</w:t>
            </w:r>
          </w:p>
        </w:tc>
        <w:tc>
          <w:tcPr>
            <w:tcW w:w="6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9007B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If the fix corrects how the code behaves, use Pro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gramming. If it concerns the handling or storage of the data itself, use Data protection.</w:t>
            </w:r>
          </w:p>
        </w:tc>
      </w:tr>
      <w:tr w:rsidR="00AE445D" w14:paraId="53192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1402F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Secrets</w:t>
            </w:r>
          </w:p>
        </w:tc>
        <w:tc>
          <w:tcPr>
            <w:tcW w:w="6260" w:type="dxa"/>
            <w:shd w:val="clear" w:color="auto" w:fill="EEF1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8170E" w14:textId="77777777" w:rsidR="00AE445D" w:rsidRDefault="00251568">
            <w:pPr>
              <w:spacing w:before="20"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credential hardcoded in source is Programming. A credential held in a configuration file, log, or store is Data protection.</w:t>
            </w:r>
          </w:p>
        </w:tc>
      </w:tr>
    </w:tbl>
    <w:p w14:paraId="081DC4D5" w14:textId="77777777" w:rsidR="00AE445D" w:rsidRDefault="00AE445D">
      <w:pPr>
        <w:spacing w:after="160"/>
      </w:pPr>
    </w:p>
    <w:p w14:paraId="7914CEA8" w14:textId="77777777" w:rsidR="00AE445D" w:rsidRDefault="00251568">
      <w:pPr>
        <w:spacing w:before="40" w:after="11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Hardening will remain the highest-volume domain by a wide margin. The remaining values exist to separate the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recognisable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clusters out of it so that reporting is not a single bucket.</w:t>
      </w:r>
    </w:p>
    <w:sectPr w:rsidR="00AE445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42D55"/>
    <w:multiLevelType w:val="hybridMultilevel"/>
    <w:tmpl w:val="B7EA387E"/>
    <w:lvl w:ilvl="0" w:tplc="B1F239AA">
      <w:start w:val="1"/>
      <w:numFmt w:val="bullet"/>
      <w:lvlText w:val="●"/>
      <w:lvlJc w:val="left"/>
      <w:pPr>
        <w:ind w:left="720" w:hanging="360"/>
      </w:pPr>
    </w:lvl>
    <w:lvl w:ilvl="1" w:tplc="A190B21E">
      <w:start w:val="1"/>
      <w:numFmt w:val="bullet"/>
      <w:lvlText w:val="○"/>
      <w:lvlJc w:val="left"/>
      <w:pPr>
        <w:ind w:left="1440" w:hanging="360"/>
      </w:pPr>
    </w:lvl>
    <w:lvl w:ilvl="2" w:tplc="D0723E9C">
      <w:start w:val="1"/>
      <w:numFmt w:val="bullet"/>
      <w:lvlText w:val="■"/>
      <w:lvlJc w:val="left"/>
      <w:pPr>
        <w:ind w:left="2160" w:hanging="360"/>
      </w:pPr>
    </w:lvl>
    <w:lvl w:ilvl="3" w:tplc="79448C54">
      <w:start w:val="1"/>
      <w:numFmt w:val="bullet"/>
      <w:lvlText w:val="●"/>
      <w:lvlJc w:val="left"/>
      <w:pPr>
        <w:ind w:left="2880" w:hanging="360"/>
      </w:pPr>
    </w:lvl>
    <w:lvl w:ilvl="4" w:tplc="05A62008">
      <w:start w:val="1"/>
      <w:numFmt w:val="bullet"/>
      <w:lvlText w:val="○"/>
      <w:lvlJc w:val="left"/>
      <w:pPr>
        <w:ind w:left="3600" w:hanging="360"/>
      </w:pPr>
    </w:lvl>
    <w:lvl w:ilvl="5" w:tplc="3DB23514">
      <w:start w:val="1"/>
      <w:numFmt w:val="bullet"/>
      <w:lvlText w:val="■"/>
      <w:lvlJc w:val="left"/>
      <w:pPr>
        <w:ind w:left="4320" w:hanging="360"/>
      </w:pPr>
    </w:lvl>
    <w:lvl w:ilvl="6" w:tplc="BC3E3DFC">
      <w:start w:val="1"/>
      <w:numFmt w:val="bullet"/>
      <w:lvlText w:val="●"/>
      <w:lvlJc w:val="left"/>
      <w:pPr>
        <w:ind w:left="5040" w:hanging="360"/>
      </w:pPr>
    </w:lvl>
    <w:lvl w:ilvl="7" w:tplc="6696163E">
      <w:start w:val="1"/>
      <w:numFmt w:val="bullet"/>
      <w:lvlText w:val="●"/>
      <w:lvlJc w:val="left"/>
      <w:pPr>
        <w:ind w:left="5760" w:hanging="360"/>
      </w:pPr>
    </w:lvl>
    <w:lvl w:ilvl="8" w:tplc="92A2E4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45D"/>
    <w:rsid w:val="00251568"/>
    <w:rsid w:val="002E4EEE"/>
    <w:rsid w:val="00AE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A019"/>
  <w15:docId w15:val="{67B3BAED-14E0-493D-A794-46CE7104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a.alex.arvinte@gmail.com</cp:lastModifiedBy>
  <cp:revision>2</cp:revision>
  <dcterms:created xsi:type="dcterms:W3CDTF">2026-08-24T12:18:00Z</dcterms:created>
  <dcterms:modified xsi:type="dcterms:W3CDTF">2026-08-24T12:18:00Z</dcterms:modified>
</cp:coreProperties>
</file>