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Probabilistic Assessment of Offsite Alarm Time through a Level 3 PSA Event Tree/Fault Tree Framework</w:t>
      </w:r>
    </w:p>
    <w:p>
      <w:pPr>
        <w:spacing w:after="80"/>
        <w:jc w:val="center"/>
      </w:pPr>
      <w:r>
        <w:rPr>
          <w:rFonts w:ascii="Times New Roman" w:cs="Times New Roman" w:eastAsia="Times New Roman" w:hAnsi="Times New Roman"/>
          <w:sz w:val="24"/>
          <w:szCs w:val="24"/>
        </w:rPr>
        <w:t xml:space="preserve">Kiwon Song</w:t>
      </w:r>
      <w:r>
        <w:rPr>
          <w:rFonts w:ascii="Times New Roman" w:cs="Times New Roman" w:eastAsia="Times New Roman" w:hAnsi="Times New Roman"/>
          <w:sz w:val="20"/>
          <w:szCs w:val="20"/>
          <w:vertAlign w:val="superscript"/>
        </w:rPr>
        <w:t xml:space="preserve">a</w:t>
      </w:r>
      <w:r>
        <w:rPr>
          <w:rFonts w:ascii="Times New Roman" w:cs="Times New Roman" w:eastAsia="Times New Roman" w:hAnsi="Times New Roman"/>
          <w:sz w:val="24"/>
          <w:szCs w:val="24"/>
        </w:rPr>
        <w:t xml:space="preserve">, Sung-yeop Kim</w:t>
      </w:r>
      <w:r>
        <w:rPr>
          <w:rFonts w:ascii="Times New Roman" w:cs="Times New Roman" w:eastAsia="Times New Roman" w:hAnsi="Times New Roman"/>
          <w:sz w:val="20"/>
          <w:szCs w:val="20"/>
          <w:vertAlign w:val="superscript"/>
        </w:rPr>
        <w:t xml:space="preserve">a,*</w:t>
      </w:r>
    </w:p>
    <w:p>
      <w:pPr>
        <w:spacing w:after="40"/>
        <w:jc w:val="center"/>
      </w:pPr>
      <w:r>
        <w:rPr>
          <w:rFonts w:ascii="Times New Roman" w:cs="Times New Roman" w:eastAsia="Times New Roman" w:hAnsi="Times New Roman"/>
          <w:sz w:val="20"/>
          <w:szCs w:val="20"/>
          <w:vertAlign w:val="superscript"/>
        </w:rPr>
        <w:t xml:space="preserve">a </w:t>
      </w:r>
      <w:r>
        <w:rPr>
          <w:rFonts w:ascii="Times New Roman" w:cs="Times New Roman" w:eastAsia="Times New Roman" w:hAnsi="Times New Roman"/>
          <w:i/>
          <w:iCs/>
          <w:sz w:val="22"/>
          <w:szCs w:val="22"/>
        </w:rPr>
        <w:t xml:space="preserve">Korea Atomic Energy Research Institute, Daejeon, Republic of Korea</w:t>
      </w:r>
    </w:p>
    <w:p>
      <w:pPr>
        <w:spacing w:after="300"/>
        <w:jc w:val="center"/>
      </w:pPr>
      <w:r>
        <w:rPr>
          <w:rFonts w:ascii="Times New Roman" w:cs="Times New Roman" w:eastAsia="Times New Roman" w:hAnsi="Times New Roman"/>
          <w:sz w:val="20"/>
          <w:szCs w:val="20"/>
        </w:rPr>
        <w:t xml:space="preserve">* Corresponding author: sungyeop@kaeri.re.kr</w:t>
      </w:r>
    </w:p>
    <w:p>
      <w:pPr>
        <w:pStyle w:val="Heading1"/>
        <w:spacing w:before="240" w:after="120"/>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This paper proposes an integrated event tree/fault tree (ET/FT) framework for Level 3 Probabilistic Safety Assessment (PSA) that enables a probabilistic evaluation of the offsite alarm time (OALARM). </w:t>
      </w:r>
      <w:r>
        <w:rPr>
          <w:rFonts w:ascii="Times New Roman" w:cs="Times New Roman" w:eastAsia="Times New Roman" w:hAnsi="Times New Roman"/>
          <w:sz w:val="24"/>
          <w:szCs w:val="24"/>
        </w:rPr>
        <w:t xml:space="preserve">In conventional Level 3 PSA practice, emergency response parameters—including the timing of public notification, sheltering, and evacuation—are treated as fixed deterministic inputs to offsite consequence codes such as the MELCOR Accident Consequence Code System (MACCS). This deterministic treatment limits the ability to capture the inherent uncertainty in the chain of organizational actions that must occur between the onset of a general emergency and the issuance of an evacuation order. </w:t>
      </w:r>
      <w:r>
        <w:rPr>
          <w:rFonts w:ascii="Times New Roman" w:cs="Times New Roman" w:eastAsia="Times New Roman" w:hAnsi="Times New Roman"/>
          <w:sz w:val="24"/>
          <w:szCs w:val="24"/>
        </w:rPr>
        <w:t xml:space="preserve">To address this limitation, the proposed framework decomposes the emergency response timeline into discrete headings—GE declaration and notification, evacuation recommendation, evacuation decision, and evacuation order—and models each heading with three possible outcomes: success within the target time, delay, or failure. A conceptual fault tree has been developed for each heading to capture the underlying causal factors, including organizational activation failures, human errors, and instrumentation or communication system malfunctions. </w:t>
      </w:r>
      <w:r>
        <w:rPr>
          <w:rFonts w:ascii="Times New Roman" w:cs="Times New Roman" w:eastAsia="Times New Roman" w:hAnsi="Times New Roman"/>
          <w:sz w:val="24"/>
          <w:szCs w:val="24"/>
        </w:rPr>
        <w:t xml:space="preserve">A case study applying the framework to a representative early-release scenario on an OPR1000-type plant demonstrates the methodology. The fault tree branch probabilities were estimated using preliminary expert judgment, and the resulting OALARM distribution was propagated through MACCS to obtain population-weighted individual risk (PWIR) of latent cancer fatality. Risk-significance measures—including Risk Achievement Worth (RAW), Risk Reduction Worth (RRW), and Fussell–Vesely (FV) importance—were computed to identify the basic events with the greatest influence on offsite consequence. </w:t>
      </w:r>
      <w:r>
        <w:rPr>
          <w:rFonts w:ascii="Times New Roman" w:cs="Times New Roman" w:eastAsia="Times New Roman" w:hAnsi="Times New Roman"/>
          <w:sz w:val="24"/>
          <w:szCs w:val="24"/>
        </w:rPr>
        <w:t xml:space="preserve">Although the probability estimates remain approximate and the absolute risk values are illustrative, the study establishes a systematic methodology for coupling emergency response reliability analysis with offsite consequence assessment. The framework is expected to yield reliable probabilistic consequence estimates once detailed fault tree design and data collection are completed.</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Level 3 PSA, Event Tree, Fault Tree, Offsite Alarm Time, Emergency Response, Risk-Significance, MACCS</w:t>
      </w:r>
    </w:p>
    <w:p>
      <w:pPr>
        <w:pStyle w:val="Heading1"/>
        <w:spacing w:before="240" w:after="120"/>
      </w:pPr>
      <w:r>
        <w:rPr>
          <w:rFonts w:ascii="Times New Roman" w:cs="Times New Roman" w:eastAsia="Times New Roman" w:hAnsi="Times New Roman"/>
          <w:b/>
          <w:bCs/>
          <w:sz w:val="28"/>
          <w:szCs w:val="28"/>
        </w:rPr>
        <w:t xml:space="preserve">1. Introduction</w:t>
      </w:r>
    </w:p>
    <w:p>
      <w:pPr>
        <w:spacing w:after="120" w:line="360"/>
        <w:ind w:firstLine="360"/>
        <w:jc w:val="both"/>
      </w:pPr>
      <w:r>
        <w:rPr>
          <w:rFonts w:ascii="Times New Roman" w:cs="Times New Roman" w:eastAsia="Times New Roman" w:hAnsi="Times New Roman"/>
          <w:sz w:val="24"/>
          <w:szCs w:val="24"/>
        </w:rPr>
        <w:t xml:space="preserve">Probabilistic safety assessment at the third level (Level 3 PSA) quantifies the radiological risk to members of the public by linking the source terms produced during severe accidents to atmospheric dispersion, emergency response, and long-term health effects [1,2]. Over the past decades, Level 3 PSA has matured considerably, with national and international programs establishing standardized methodologies for offsite consequence analysis. Codes such as the MELCOR Accident Consequence Code System (MACCS) [3] and COSYMA [4] are widely used to simulate the transport of radioactive materials through the atmosphere and to estimate individual and societal risk metrics. A key feature common to these codes is that they require the analyst to specify a set of emergency response parameters—particularly the timing of public notification, sheltering, and evacuation—as deterministic inputs.</w:t>
      </w:r>
    </w:p>
    <w:p>
      <w:pPr>
        <w:spacing w:after="120" w:line="360"/>
        <w:ind w:firstLine="360"/>
        <w:jc w:val="both"/>
      </w:pPr>
      <w:r>
        <w:rPr>
          <w:rFonts w:ascii="Times New Roman" w:cs="Times New Roman" w:eastAsia="Times New Roman" w:hAnsi="Times New Roman"/>
          <w:sz w:val="24"/>
          <w:szCs w:val="24"/>
        </w:rPr>
        <w:t xml:space="preserve">In practice, the time between the onset of a general emergency (GE) and the moment at which members of the public begin protective actions depends on a chain of organizational decisions and actions: recognizing that Emergency Action Level (EAL) criteria have been exceeded, declaring a GE, notifying government authorities, issuing an evacuation recommendation, reaching an evacuation decision, and finally broadcasting an evacuation order [5]. Each of these steps involves human decision-making, organizational coordination, and reliance on instrumentation and communication infrastructure—all of which are subject to uncertainty. Nevertheless, conventional Level 3 PSA treats the resulting offsite alarm time (OALARM) as a single deterministic value, thereby neglecting the variability and uncertainty inherent in the emergency response process.</w:t>
      </w:r>
    </w:p>
    <w:p>
      <w:pPr>
        <w:spacing w:after="120" w:line="360"/>
        <w:ind w:firstLine="360"/>
        <w:jc w:val="both"/>
      </w:pPr>
      <w:r>
        <w:rPr>
          <w:rFonts w:ascii="Times New Roman" w:cs="Times New Roman" w:eastAsia="Times New Roman" w:hAnsi="Times New Roman"/>
          <w:sz w:val="24"/>
          <w:szCs w:val="24"/>
        </w:rPr>
        <w:t xml:space="preserve">The importance of OALARM in determining offsite consequences cannot be overstated. As illustrated in the MACCS emergency-phase timeline, OALARM marks the point at which the population begins its response; all subsequent sheltering and evacuation timings are measured relative to this reference point [3]. A delay in OALARM propagates through the entire protective action timeline, potentially increasing the population dose received before sheltering or evacuation is completed. Sensitivity studies conducted within the State-of-the-Art Reactor Consequence Analyses (SOARCA) program have confirmed that evacuation delay—closely related to OALARM—is among the most influential parameters for population risk [6,7].</w:t>
      </w:r>
    </w:p>
    <w:p>
      <w:pPr>
        <w:pStyle w:val="Heading2"/>
        <w:spacing w:before="240" w:after="120"/>
      </w:pPr>
      <w:r>
        <w:rPr>
          <w:rFonts w:ascii="Times New Roman" w:cs="Times New Roman" w:eastAsia="Times New Roman" w:hAnsi="Times New Roman"/>
          <w:b/>
          <w:bCs/>
          <w:sz w:val="26"/>
          <w:szCs w:val="26"/>
        </w:rPr>
        <w:t xml:space="preserve">1.1. Previous Work</w:t>
      </w:r>
    </w:p>
    <w:p>
      <w:pPr>
        <w:spacing w:after="120" w:line="360"/>
        <w:ind w:firstLine="360"/>
        <w:jc w:val="both"/>
      </w:pPr>
      <w:r>
        <w:rPr>
          <w:rFonts w:ascii="Times New Roman" w:cs="Times New Roman" w:eastAsia="Times New Roman" w:hAnsi="Times New Roman"/>
          <w:sz w:val="24"/>
          <w:szCs w:val="24"/>
        </w:rPr>
        <w:t xml:space="preserve">Several prior studies have addressed the uncertainty in emergency response parameters from different perspectives. Karanta et al. [8] at VTT applied an Integrated Deterministic and Probabilistic Safety Assessment (IDPSA) methodology to the Fukushima Daiichi accident, constructing a Level 3 PSA event tree that combined deterministic atmospheric dispersion analysis with probabilistic treatment of weather conditions and sheltering/evacuation. Their study demonstrated the feasibility of the event tree approach and found that, under average March weather conditions, there was a probability of approximately 0.927 of no significant additional cancer deaths. However, the sheltering and evacuation probabilities were based on relatively simple expert judgment, and the overall modeling was acknowledged to be indicative rather than comprehensive.</w:t>
      </w:r>
    </w:p>
    <w:p>
      <w:pPr>
        <w:spacing w:after="120" w:line="360"/>
        <w:ind w:firstLine="360"/>
        <w:jc w:val="both"/>
      </w:pPr>
      <w:r>
        <w:rPr>
          <w:rFonts w:ascii="Times New Roman" w:cs="Times New Roman" w:eastAsia="Times New Roman" w:hAnsi="Times New Roman"/>
          <w:sz w:val="24"/>
          <w:szCs w:val="24"/>
        </w:rPr>
        <w:t xml:space="preserve">The SOARCA project undertaken by the U.S. Nuclear Regulatory Commission (NRC) pursued a complementary strategy by assigning probability distributions to a large number of uncertainty parameters—21 MELCOR parameters and 350 MACCS parameters grouped into 20 categories [6,7]. Emergency response parameters such as evacuation delay and evacuation speed were assigned triangular distributions derived from site-specific evacuation time estimate (ETE) reports and telephone surveys. Through Latin Hypercube sampling and regression analysis, the study identified the parameters with the greatest influence on offsite risk, demonstrating that the delay in evacuation of the last population cohort ranked seventh among the most important factors for early fatality risk at the Sequoyah site.</w:t>
      </w:r>
    </w:p>
    <w:p>
      <w:pPr>
        <w:spacing w:after="120" w:line="360"/>
        <w:ind w:firstLine="360"/>
        <w:jc w:val="both"/>
      </w:pPr>
      <w:r>
        <w:rPr>
          <w:rFonts w:ascii="Times New Roman" w:cs="Times New Roman" w:eastAsia="Times New Roman" w:hAnsi="Times New Roman"/>
          <w:sz w:val="24"/>
          <w:szCs w:val="24"/>
        </w:rPr>
        <w:t xml:space="preserve">In the domain of Level 2 PSA, Cho et al. [9] proposed a framework for integrating Severe Accident Management Guidelines (SAMG) into Level 2 PSA by developing SAMG event trees and fault trees and combining them with the Plant Damage State Event Tree (PDS-ET). Their methodology demonstrated a 44% reduction in containment failure frequency relative to the previous assessment and enabled the identification of risk-significant SAMG actions through Fussell–Vesely importance analysis. This work provided a valuable precedent for using ET/FT structures to model operational responses within PSA.</w:t>
      </w:r>
    </w:p>
    <w:p>
      <w:pPr>
        <w:spacing w:after="120" w:line="360"/>
        <w:ind w:firstLine="360"/>
        <w:jc w:val="both"/>
      </w:pPr>
      <w:r>
        <w:rPr>
          <w:rFonts w:ascii="Times New Roman" w:cs="Times New Roman" w:eastAsia="Times New Roman" w:hAnsi="Times New Roman"/>
          <w:sz w:val="24"/>
          <w:szCs w:val="24"/>
        </w:rPr>
        <w:t xml:space="preserve">More broadly, the use of IDPSA methodologies in nuclear safety has been examined by several research groups [10,11]. Deterministic Dynamics Event Tree (DDET) and Monte Carlo Dynamic PSA (MCDET) approaches have been explored for coupling probabilistic event sequence analysis with time-dependent system simulations. While these methods have been applied primarily at the Level 1 and Level 2 stages, they provide a conceptual foundation for extending probabilistic analysis to the Level 3 domain.</w:t>
      </w:r>
    </w:p>
    <w:p>
      <w:pPr>
        <w:spacing w:after="120" w:line="360"/>
        <w:ind w:firstLine="360"/>
        <w:jc w:val="both"/>
      </w:pPr>
      <w:r>
        <w:rPr>
          <w:rFonts w:ascii="Times New Roman" w:cs="Times New Roman" w:eastAsia="Times New Roman" w:hAnsi="Times New Roman"/>
          <w:sz w:val="24"/>
          <w:szCs w:val="24"/>
        </w:rPr>
        <w:t xml:space="preserve">In the field of nuclear emergency preparedness and response, several studies have investigated the factors affecting the timeliness of protective action decisions. The International Atomic Energy Agency (IAEA) has published guidance on emergency classification, notification, and protective action decision-making [12], and national regulatory bodies have developed detailed Emergency Action Level (EAL) schemes that map plant conditions to emergency classifications [13]. Studies of actual emergency exercises and the Fukushima experience have highlighted the challenges of timely communication between licensees, national authorities, and local governments [14,15]. Human reliability analysis (HRA) methods have also begun to be adapted for emergency response contexts, although this remains an area of active development [16].</w:t>
      </w:r>
    </w:p>
    <w:p>
      <w:pPr>
        <w:pStyle w:val="Heading2"/>
        <w:spacing w:before="240" w:after="120"/>
      </w:pPr>
      <w:r>
        <w:rPr>
          <w:rFonts w:ascii="Times New Roman" w:cs="Times New Roman" w:eastAsia="Times New Roman" w:hAnsi="Times New Roman"/>
          <w:b/>
          <w:bCs/>
          <w:sz w:val="26"/>
          <w:szCs w:val="26"/>
        </w:rPr>
        <w:t xml:space="preserve">1.2. Motivation and Objectives</w:t>
      </w:r>
    </w:p>
    <w:p>
      <w:pPr>
        <w:spacing w:after="120" w:line="360"/>
        <w:ind w:firstLine="360"/>
        <w:jc w:val="both"/>
      </w:pPr>
      <w:r>
        <w:rPr>
          <w:rFonts w:ascii="Times New Roman" w:cs="Times New Roman" w:eastAsia="Times New Roman" w:hAnsi="Times New Roman"/>
          <w:sz w:val="24"/>
          <w:szCs w:val="24"/>
        </w:rPr>
        <w:t xml:space="preserve">Despite the contributions of prior studies, no existing methodology provides a fully integrated ET/FT framework for the probabilistic treatment of emergency response within Level 3 PSA. The VTT study [8] demonstrated the event tree concept but lacked a fault tree structure to decompose the underlying causal mechanisms. The SOARCA uncertainty analysis [6,7] assigned distributions to emergency response parameters but did not model the causal chain of organizational actions. The SAMG-Level 2 PSA integration [9] provided an ET/FT precedent but operated at the containment-level rather than the offsite-response level.</w:t>
      </w:r>
    </w:p>
    <w:p>
      <w:pPr>
        <w:spacing w:after="120" w:line="360"/>
        <w:jc w:val="both"/>
      </w:pPr>
      <w:r>
        <w:rPr>
          <w:rFonts w:ascii="Times New Roman" w:cs="Times New Roman" w:eastAsia="Times New Roman" w:hAnsi="Times New Roman"/>
          <w:sz w:val="24"/>
          <w:szCs w:val="24"/>
        </w:rPr>
        <w:t xml:space="preserve">The present work aims to bridge this gap by developing a Level 3 PSA ET/FT framework that:</w:t>
      </w:r>
    </w:p>
    <w:p>
      <w:pPr>
        <w:spacing w:after="120" w:line="360"/>
        <w:ind w:left="720"/>
        <w:jc w:val="both"/>
      </w:pPr>
      <w:r>
        <w:rPr>
          <w:rFonts w:ascii="Times New Roman" w:cs="Times New Roman" w:eastAsia="Times New Roman" w:hAnsi="Times New Roman"/>
          <w:sz w:val="24"/>
          <w:szCs w:val="24"/>
        </w:rPr>
        <w:t xml:space="preserve">(1) Decomposes the emergency response timeline from GE declaration to evacuation order into discrete event tree headings with explicit success/delay/failure criteria;</w:t>
      </w:r>
    </w:p>
    <w:p>
      <w:pPr>
        <w:spacing w:after="120" w:line="360"/>
        <w:ind w:left="720"/>
        <w:jc w:val="both"/>
      </w:pPr>
      <w:r>
        <w:rPr>
          <w:rFonts w:ascii="Times New Roman" w:cs="Times New Roman" w:eastAsia="Times New Roman" w:hAnsi="Times New Roman"/>
          <w:sz w:val="24"/>
          <w:szCs w:val="24"/>
        </w:rPr>
        <w:t xml:space="preserve">(2) Develops conceptual fault trees for each heading to capture the causal factors—organizational, human, and equipment-related—that determine the outcome;</w:t>
      </w:r>
    </w:p>
    <w:p>
      <w:pPr>
        <w:spacing w:after="120" w:line="360"/>
        <w:ind w:left="720"/>
        <w:jc w:val="both"/>
      </w:pPr>
      <w:r>
        <w:rPr>
          <w:rFonts w:ascii="Times New Roman" w:cs="Times New Roman" w:eastAsia="Times New Roman" w:hAnsi="Times New Roman"/>
          <w:sz w:val="24"/>
          <w:szCs w:val="24"/>
        </w:rPr>
        <w:t xml:space="preserve">(3) Interfaces the ET/FT model with the MACCS consequence code to propagate the OALARM distribution through the offsite consequence calculation;</w:t>
      </w:r>
    </w:p>
    <w:p>
      <w:pPr>
        <w:spacing w:after="120" w:line="360"/>
        <w:ind w:left="720"/>
        <w:jc w:val="both"/>
      </w:pPr>
      <w:r>
        <w:rPr>
          <w:rFonts w:ascii="Times New Roman" w:cs="Times New Roman" w:eastAsia="Times New Roman" w:hAnsi="Times New Roman"/>
          <w:sz w:val="24"/>
          <w:szCs w:val="24"/>
        </w:rPr>
        <w:t xml:space="preserve">(4) Demonstrates the derivation of risk-significance measures (RAW, RRW, FV) to identify the basic events with the greatest influence on public risk.</w:t>
      </w:r>
    </w:p>
    <w:p>
      <w:pPr>
        <w:spacing w:after="120" w:line="360"/>
        <w:ind w:firstLine="360"/>
        <w:jc w:val="both"/>
      </w:pPr>
      <w:r>
        <w:rPr>
          <w:rFonts w:ascii="Times New Roman" w:cs="Times New Roman" w:eastAsia="Times New Roman" w:hAnsi="Times New Roman"/>
          <w:sz w:val="24"/>
          <w:szCs w:val="24"/>
        </w:rPr>
        <w:t xml:space="preserve">It is important to emphasize that the primary contribution of this paper is methodological. The fault tree probabilities employed in the case study are approximate values estimated through preliminary expert judgment. Consequently, the absolute risk values presented are illustrative and should not be interpreted as site-specific safety conclusions. The detailed design of the fault trees, the collection of reliable probability data, and the extension to all source term categories and external events remain as substantial future tasks that are expected to yield quantitatively meaningful results once completed.</w:t>
      </w:r>
    </w:p>
    <w:p>
      <w:pPr>
        <w:spacing w:after="120" w:line="360"/>
        <w:ind w:firstLine="360"/>
        <w:jc w:val="both"/>
      </w:pPr>
      <w:r>
        <w:rPr>
          <w:rFonts w:ascii="Times New Roman" w:cs="Times New Roman" w:eastAsia="Times New Roman" w:hAnsi="Times New Roman"/>
          <w:sz w:val="24"/>
          <w:szCs w:val="24"/>
        </w:rPr>
        <w:t xml:space="preserve">The remainder of this paper is organized as follows. Section 2 describes the conceptual basis and overall architecture of the Level 3 PSA ET/FT model. Section 3 presents the detailed development of the event tree and fault tree structures, including the heading definitions, branching logic, and conceptual fault tree design. Section 4 describes the interface with the initial source term category and the MACCS consequence code. Section 5 presents the case study results, including offsite consequence analysis and risk-significance evaluation. Section 6 discusses the implications, limitations, and future work, and Section 7 provides conclusions.</w:t>
      </w:r>
    </w:p>
    <w:p>
      <w:pPr>
        <w:pStyle w:val="Heading1"/>
        <w:spacing w:before="240" w:after="120"/>
      </w:pPr>
      <w:r>
        <w:rPr>
          <w:rFonts w:ascii="Times New Roman" w:cs="Times New Roman" w:eastAsia="Times New Roman" w:hAnsi="Times New Roman"/>
          <w:b/>
          <w:bCs/>
          <w:sz w:val="28"/>
          <w:szCs w:val="28"/>
        </w:rPr>
        <w:t xml:space="preserve">2. Conceptual Basis of the Level 3 PSA ET/FT Model</w:t>
      </w:r>
    </w:p>
    <w:p>
      <w:pPr>
        <w:pStyle w:val="Heading2"/>
        <w:spacing w:before="240" w:after="120"/>
      </w:pPr>
      <w:r>
        <w:rPr>
          <w:rFonts w:ascii="Times New Roman" w:cs="Times New Roman" w:eastAsia="Times New Roman" w:hAnsi="Times New Roman"/>
          <w:b/>
          <w:bCs/>
          <w:sz w:val="26"/>
          <w:szCs w:val="26"/>
        </w:rPr>
        <w:t xml:space="preserve">2.1. Conventional Level 3 PSA Approach</w:t>
      </w:r>
    </w:p>
    <w:p>
      <w:pPr>
        <w:spacing w:after="120" w:line="360"/>
        <w:ind w:firstLine="360"/>
        <w:jc w:val="both"/>
      </w:pPr>
      <w:r>
        <w:rPr>
          <w:rFonts w:ascii="Times New Roman" w:cs="Times New Roman" w:eastAsia="Times New Roman" w:hAnsi="Times New Roman"/>
          <w:sz w:val="24"/>
          <w:szCs w:val="24"/>
        </w:rPr>
        <w:t xml:space="preserve">In the established PSA methodology, each assessment level feeds into the next. Level 1 PSA identifies initiating events and, through system-level event trees and fault trees, quantifies the core damage frequency (CDF). Level 2 PSA takes the Plant Damage States (PDS) produced by Level 1, models accident progression within the containment using phenomenological event trees and fault trees, and produces a set of Source Term Categories (STCs) with associated frequencies. Level 3 PSA accepts the STCs as input and employs offsite consequence analysis codes to calculate the radiological impact on the surrounding population, combining the consequence with the STC frequency to obtain risk [1].</w:t>
      </w:r>
    </w:p>
    <w:p>
      <w:pPr>
        <w:spacing w:after="120" w:line="360"/>
        <w:ind w:firstLine="360"/>
        <w:jc w:val="both"/>
      </w:pPr>
      <w:r>
        <w:rPr>
          <w:rFonts w:ascii="Times New Roman" w:cs="Times New Roman" w:eastAsia="Times New Roman" w:hAnsi="Times New Roman"/>
          <w:sz w:val="24"/>
          <w:szCs w:val="24"/>
        </w:rPr>
        <w:t xml:space="preserve">Within the Level 3 calculation, the emergency response model specifies the timing and effectiveness of protective actions. The MACCS code, for example, parameterizes the emergency phase through a sequence of time intervals measured from the offsite alarm: delay to shelter (DLTSHL), delay to evacuation (DLTEVA), evacuation duration (DURBEG), and additional evacuation phases (DURMID), each associated with evacuation speeds [3]. The offsite alarm time itself—OALARM—represents the elapsed time from the start of the atmospheric release to the point at which the sirens or other public alert systems are activated. Conventionally, these parameters are assigned as single values based on regulatory guidance or site-specific evacuation time estimates, without formal treatment of the underlying uncertainty.</w:t>
      </w:r>
    </w:p>
    <w:p>
      <w:pPr>
        <w:pStyle w:val="Heading2"/>
        <w:spacing w:before="240" w:after="120"/>
      </w:pPr>
      <w:r>
        <w:rPr>
          <w:rFonts w:ascii="Times New Roman" w:cs="Times New Roman" w:eastAsia="Times New Roman" w:hAnsi="Times New Roman"/>
          <w:b/>
          <w:bCs/>
          <w:sz w:val="26"/>
          <w:szCs w:val="26"/>
        </w:rPr>
        <w:t xml:space="preserve">2.2. Proposed Level 3 PSA ET/FT Extension</w:t>
      </w:r>
    </w:p>
    <w:p>
      <w:pPr>
        <w:spacing w:after="120" w:line="360"/>
        <w:ind w:firstLine="360"/>
        <w:jc w:val="both"/>
      </w:pPr>
      <w:r>
        <w:rPr>
          <w:rFonts w:ascii="Times New Roman" w:cs="Times New Roman" w:eastAsia="Times New Roman" w:hAnsi="Times New Roman"/>
          <w:sz w:val="24"/>
          <w:szCs w:val="24"/>
        </w:rPr>
        <w:t xml:space="preserve">The proposed extension introduces a Level 3 PSA Event Tree between the STC and the offsite consequence calculation. In this framework, each STC entering the Level 3 analysis is first characterized by its Initial Source Term Category (ISTC), which determines the time from accident initiation to the point at which GE-level Emergency Action Level criteria are exceeded. This time, combined with the cumulative emergency response time derived from the Level 3 Event Tree, yields the OALARM value for each sequence.</w:t>
      </w:r>
    </w:p>
    <w:p>
      <w:pPr>
        <w:spacing w:after="120" w:line="360"/>
        <w:ind w:firstLine="360"/>
        <w:jc w:val="both"/>
      </w:pPr>
      <w:r>
        <w:rPr>
          <w:rFonts w:ascii="Times New Roman" w:cs="Times New Roman" w:eastAsia="Times New Roman" w:hAnsi="Times New Roman"/>
          <w:sz w:val="24"/>
          <w:szCs w:val="24"/>
        </w:rPr>
        <w:t xml:space="preserve">The Level 3 Event Tree is structured around the key organizational actions that must occur between GE declaration and the issuance of an evacuation order. For each action (heading), the event tree branches into success, delay, and failure outcomes, with the time required for each outcome contributing to the cumulative emergency response time. The probability of each branch is determined by a fault tree that models the causal mechanisms—human errors, equipment failures, organizational coordination failures—that can lead to delay or failure of the heading.</w:t>
      </w:r>
    </w:p>
    <w:p>
      <w:pPr>
        <w:spacing w:after="120" w:line="360"/>
        <w:ind w:firstLine="360"/>
        <w:jc w:val="both"/>
      </w:pPr>
      <w:r>
        <w:rPr>
          <w:rFonts w:ascii="Times New Roman" w:cs="Times New Roman" w:eastAsia="Times New Roman" w:hAnsi="Times New Roman"/>
          <w:sz w:val="24"/>
          <w:szCs w:val="24"/>
        </w:rPr>
        <w:t xml:space="preserve">The resulting OALARM distribution is then fed into the MACCS code, which calculates the offsite consequence for each OALARM value. Risk is obtained as the sum of consequence multiplied by the frequency of each event tree sequence. Finally, the minimal cut sets of the combined ET/FT model are analyzed using standard risk importance measures to identify the basic events with the greatest contribution to public risk.</w:t>
      </w:r>
    </w:p>
    <w:p>
      <w:pPr>
        <w:spacing w:before="120" w:after="120"/>
        <w:jc w:val="center"/>
      </w:pPr>
      <w:r>
        <w:rPr>
          <w:rFonts w:ascii="Times New Roman" w:cs="Times New Roman" w:eastAsia="Times New Roman" w:hAnsi="Times New Roman"/>
          <w:i/>
          <w:iCs/>
          <w:color w:val="888888"/>
          <w:sz w:val="22"/>
          <w:szCs w:val="22"/>
        </w:rPr>
        <w:t xml:space="preserve">[Figure 1. Conceptual comparison of conventional Level 3 PSA and proposed Level 3 PSA ET/FT model]</w:t>
      </w:r>
    </w:p>
    <w:p>
      <w:pPr>
        <w:spacing w:before="120" w:after="240"/>
        <w:jc w:val="center"/>
      </w:pPr>
      <w:r>
        <w:rPr>
          <w:rFonts w:ascii="Times New Roman" w:cs="Times New Roman" w:eastAsia="Times New Roman" w:hAnsi="Times New Roman"/>
          <w:i/>
          <w:iCs/>
          <w:sz w:val="22"/>
          <w:szCs w:val="22"/>
        </w:rPr>
        <w:t xml:space="preserve">Figure 1. Conceptual comparison of conventional Level 3 PSA and proposed Level 3 PSA ET/FT model</w:t>
      </w:r>
    </w:p>
    <w:p>
      <w:pPr>
        <w:pStyle w:val="Heading2"/>
        <w:spacing w:before="240" w:after="120"/>
      </w:pPr>
      <w:r>
        <w:rPr>
          <w:rFonts w:ascii="Times New Roman" w:cs="Times New Roman" w:eastAsia="Times New Roman" w:hAnsi="Times New Roman"/>
          <w:b/>
          <w:bCs/>
          <w:sz w:val="26"/>
          <w:szCs w:val="26"/>
        </w:rPr>
        <w:t xml:space="preserve">2.3. Overall Framework</w:t>
      </w:r>
    </w:p>
    <w:p>
      <w:pPr>
        <w:spacing w:after="120" w:line="360"/>
        <w:ind w:firstLine="360"/>
        <w:jc w:val="both"/>
      </w:pPr>
      <w:r>
        <w:rPr>
          <w:rFonts w:ascii="Times New Roman" w:cs="Times New Roman" w:eastAsia="Times New Roman" w:hAnsi="Times New Roman"/>
          <w:sz w:val="24"/>
          <w:szCs w:val="24"/>
        </w:rPr>
        <w:t xml:space="preserve">The overall framework for developing and applying the Level 3 PSA ET/FT model consists of six steps, as illustrated in Figure 2. Steps 1 through 3 concern the construction of the model: (1) identification of event tree headings from the emergency response procedures, (2) development of fault trees for each heading, and (3) characterization of the initial source term category to determine the GE exceedance time. Steps 4 through 6 concern the application of the model: (4) propagation of the OALARM distribution through the MACCS code to obtain offsite consequences, (5) calculation of risk by combining consequence with sequence frequency, and (6) analysis of risk-significant factors through cut set and importance measures.</w:t>
      </w:r>
    </w:p>
    <w:p>
      <w:pPr>
        <w:spacing w:before="120" w:after="120"/>
        <w:jc w:val="center"/>
      </w:pPr>
      <w:r>
        <w:rPr>
          <w:rFonts w:ascii="Times New Roman" w:cs="Times New Roman" w:eastAsia="Times New Roman" w:hAnsi="Times New Roman"/>
          <w:i/>
          <w:iCs/>
          <w:color w:val="888888"/>
          <w:sz w:val="22"/>
          <w:szCs w:val="22"/>
        </w:rPr>
        <w:t xml:space="preserve">[Figure 2. Level 3 PSA ET/FT model framework (six-step process)]</w:t>
      </w:r>
    </w:p>
    <w:p>
      <w:pPr>
        <w:spacing w:before="120" w:after="240"/>
        <w:jc w:val="center"/>
      </w:pPr>
      <w:r>
        <w:rPr>
          <w:rFonts w:ascii="Times New Roman" w:cs="Times New Roman" w:eastAsia="Times New Roman" w:hAnsi="Times New Roman"/>
          <w:i/>
          <w:iCs/>
          <w:sz w:val="22"/>
          <w:szCs w:val="22"/>
        </w:rPr>
        <w:t xml:space="preserve">Figure 2. Level 3 PSA ET/FT model framework</w:t>
      </w:r>
    </w:p>
    <w:p>
      <w:pPr>
        <w:pStyle w:val="Heading1"/>
        <w:spacing w:before="240" w:after="120"/>
      </w:pPr>
      <w:r>
        <w:rPr>
          <w:rFonts w:ascii="Times New Roman" w:cs="Times New Roman" w:eastAsia="Times New Roman" w:hAnsi="Times New Roman"/>
          <w:b/>
          <w:bCs/>
          <w:sz w:val="28"/>
          <w:szCs w:val="28"/>
        </w:rPr>
        <w:t xml:space="preserve">3. Development of the Level 3 PSA ET/FT Model</w:t>
      </w:r>
    </w:p>
    <w:p>
      <w:pPr>
        <w:pStyle w:val="Heading2"/>
        <w:spacing w:before="240" w:after="120"/>
      </w:pPr>
      <w:r>
        <w:rPr>
          <w:rFonts w:ascii="Times New Roman" w:cs="Times New Roman" w:eastAsia="Times New Roman" w:hAnsi="Times New Roman"/>
          <w:b/>
          <w:bCs/>
          <w:sz w:val="26"/>
          <w:szCs w:val="26"/>
        </w:rPr>
        <w:t xml:space="preserve">3.1. Identification of Event Tree Headings</w:t>
      </w:r>
    </w:p>
    <w:p>
      <w:pPr>
        <w:spacing w:after="120" w:line="360"/>
        <w:ind w:firstLine="360"/>
        <w:jc w:val="both"/>
      </w:pPr>
      <w:r>
        <w:rPr>
          <w:rFonts w:ascii="Times New Roman" w:cs="Times New Roman" w:eastAsia="Times New Roman" w:hAnsi="Times New Roman"/>
          <w:sz w:val="24"/>
          <w:szCs w:val="24"/>
        </w:rPr>
        <w:t xml:space="preserve">The headings of the Level 3 PSA Event Tree are derived from a systematic review and standardization of nuclear emergency response procedures in the Republic of Korea [17]. Emergency response involves the coordinated actions of three principal organizations: the licensee (plant operator), the central government, and the local government. The response unfolds through three escalating emergency classifications—Alert, Site Area Emergency (SAE), and General Emergency (GE)—each triggering a defined set of actions with target completion times.</w:t>
      </w:r>
    </w:p>
    <w:p>
      <w:pPr>
        <w:spacing w:after="120" w:line="360"/>
        <w:ind w:firstLine="360"/>
        <w:jc w:val="both"/>
      </w:pPr>
      <w:r>
        <w:rPr>
          <w:rFonts w:ascii="Times New Roman" w:cs="Times New Roman" w:eastAsia="Times New Roman" w:hAnsi="Times New Roman"/>
          <w:sz w:val="24"/>
          <w:szCs w:val="24"/>
        </w:rPr>
        <w:t xml:space="preserve">Table 1 summarizes the key actions and target times for each organization at each emergency classification level. During the Alert phase, the licensee activates the onsite Emergency Response Organization (ERO) and establishes Emergency Operation Facility (EOF) operations within one hour, while the central and local governments begin preliminary mobilization of offsite ERO resources within six hours. At the SAE level, the central government’s offsite ERO Command Center becomes operational, and the local government prepares for public protective actions. The practical decisions directly affecting public evacuation are concentrated in the GE phase: the licensee issues an evacuation recommendation within 15 minutes of GE declaration, the central government reaches an evacuation decision within another 15 minutes, and the local government issues the evacuation order within a further 15 minutes.</w:t>
      </w:r>
    </w:p>
    <w:p>
      <w:pPr>
        <w:spacing w:before="240" w:after="120"/>
        <w:jc w:val="center"/>
      </w:pPr>
      <w:r>
        <w:rPr>
          <w:rFonts w:ascii="Times New Roman" w:cs="Times New Roman" w:eastAsia="Times New Roman" w:hAnsi="Times New Roman"/>
          <w:i/>
          <w:iCs/>
          <w:sz w:val="22"/>
          <w:szCs w:val="22"/>
        </w:rPr>
        <w:t xml:space="preserve">Table 1. Emergency response actions and target times by organization and emergency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
            </w:r>
          </w:p>
        </w:tc>
        <w:tc>
          <w:tcPr>
            <w:tcW w:type="dxa" w:w="25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Alert</w:t>
            </w:r>
          </w:p>
        </w:tc>
        <w:tc>
          <w:tcPr>
            <w:tcW w:type="dxa" w:w="25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Site Area Emergency</w:t>
            </w:r>
          </w:p>
        </w:tc>
        <w:tc>
          <w:tcPr>
            <w:tcW w:type="dxa" w:w="25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General Emergency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Licensee</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Onsite ERO &amp; EOF operation [1 hr]</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Evacuation Recommendation [15 min]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Central Government</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Preliminary Offsite ERO (Command Center) [6 hr]</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Offsite ERO (Command Center)</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Evacuation Decision [15 min]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Local Government</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Offsite ERO (Local HQ) [6 hr]</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Preparedness of Public Protective Action</w:t>
            </w:r>
          </w:p>
        </w:tc>
        <w:tc>
          <w:tcPr>
            <w:tcW w:type="dxa" w:w="252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Evacuation Order [15 min]</w:t>
            </w:r>
          </w:p>
        </w:tc>
      </w:tr>
    </w:tbl>
    <w:p>
      <w:pPr>
        <w:spacing w:after="120" w:line="360"/>
        <w:jc w:val="both"/>
      </w:pPr>
      <w:r>
        <w:rPr>
          <w:rFonts w:ascii="Times New Roman" w:cs="Times New Roman" w:eastAsia="Times New Roman" w:hAnsi="Times New Roman"/>
          <w:i/>
          <w:iCs/>
          <w:sz w:val="20"/>
          <w:szCs w:val="20"/>
        </w:rPr>
        <w:t xml:space="preserve">Note: Target times shown in [brackets]. ERO = Emergency Response Organization; EOF = Emergency Operation Facility.</w:t>
      </w:r>
    </w:p>
    <w:p>
      <w:pPr>
        <w:spacing w:after="120" w:line="360"/>
        <w:ind w:firstLine="360"/>
        <w:jc w:val="both"/>
      </w:pPr>
      <w:r>
        <w:rPr>
          <w:rFonts w:ascii="Times New Roman" w:cs="Times New Roman" w:eastAsia="Times New Roman" w:hAnsi="Times New Roman"/>
          <w:sz w:val="24"/>
          <w:szCs w:val="24"/>
        </w:rPr>
        <w:t xml:space="preserve">Since the actions during the Alert and SAE phases serve primarily as preparatory measures that enable timely GE-phase response, and since the population’s protective actions are initiated only upon receipt of the evacuation order, the Level 3 PSA Event Tree headings focus on the GE-phase actions. The preparatory actions during Alert and SAE are reflected within the fault trees as factors that influence the success or failure of GE-phase headings.</w:t>
      </w:r>
    </w:p>
    <w:p>
      <w:pPr>
        <w:spacing w:after="120" w:line="360"/>
        <w:ind w:firstLine="360"/>
        <w:jc w:val="both"/>
      </w:pPr>
      <w:r>
        <w:rPr>
          <w:rFonts w:ascii="Times New Roman" w:cs="Times New Roman" w:eastAsia="Times New Roman" w:hAnsi="Times New Roman"/>
          <w:sz w:val="24"/>
          <w:szCs w:val="24"/>
        </w:rPr>
        <w:t xml:space="preserve">Based on this analysis, four event tree headings were defined:</w:t>
      </w:r>
    </w:p>
    <w:p>
      <w:pPr>
        <w:spacing w:after="120" w:line="360"/>
        <w:ind w:left="720"/>
        <w:jc w:val="both"/>
      </w:pPr>
      <w:r>
        <w:rPr>
          <w:rFonts w:ascii="Times New Roman" w:cs="Times New Roman" w:eastAsia="Times New Roman" w:hAnsi="Times New Roman"/>
          <w:b/>
          <w:bCs/>
          <w:sz w:val="24"/>
          <w:szCs w:val="24"/>
        </w:rPr>
        <w:t xml:space="preserve">Heading 1 – GE Declaration and Notification (target time: 30 minutes): </w:t>
      </w:r>
      <w:r>
        <w:rPr>
          <w:rFonts w:ascii="Times New Roman" w:cs="Times New Roman" w:eastAsia="Times New Roman" w:hAnsi="Times New Roman"/>
          <w:sz w:val="24"/>
          <w:szCs w:val="24"/>
        </w:rPr>
        <w:t xml:space="preserve">This heading combines the licensee’s GE declaration (15 minutes) and the notification to off-site authorities (15 minutes) into a single heading, because both actions are performed by the same organization and can proceed concurrently.</w:t>
      </w:r>
    </w:p>
    <w:p>
      <w:pPr>
        <w:spacing w:after="120" w:line="360"/>
        <w:ind w:left="720"/>
        <w:jc w:val="both"/>
      </w:pPr>
      <w:r>
        <w:rPr>
          <w:rFonts w:ascii="Times New Roman" w:cs="Times New Roman" w:eastAsia="Times New Roman" w:hAnsi="Times New Roman"/>
          <w:b/>
          <w:bCs/>
          <w:sz w:val="24"/>
          <w:szCs w:val="24"/>
        </w:rPr>
        <w:t xml:space="preserve">Heading 2 – Evacuation Recommendation (target time: 15 minutes): </w:t>
      </w:r>
      <w:r>
        <w:rPr>
          <w:rFonts w:ascii="Times New Roman" w:cs="Times New Roman" w:eastAsia="Times New Roman" w:hAnsi="Times New Roman"/>
          <w:sz w:val="24"/>
          <w:szCs w:val="24"/>
        </w:rPr>
        <w:t xml:space="preserve">The onsite ERO issues a recommendation to evacuate to the offsite authorities.</w:t>
      </w:r>
    </w:p>
    <w:p>
      <w:pPr>
        <w:spacing w:after="120" w:line="360"/>
        <w:ind w:left="720"/>
        <w:jc w:val="both"/>
      </w:pPr>
      <w:r>
        <w:rPr>
          <w:rFonts w:ascii="Times New Roman" w:cs="Times New Roman" w:eastAsia="Times New Roman" w:hAnsi="Times New Roman"/>
          <w:b/>
          <w:bCs/>
          <w:sz w:val="24"/>
          <w:szCs w:val="24"/>
        </w:rPr>
        <w:t xml:space="preserve">Heading 3 – Evacuation Decision (target time: 15 minutes): </w:t>
      </w:r>
      <w:r>
        <w:rPr>
          <w:rFonts w:ascii="Times New Roman" w:cs="Times New Roman" w:eastAsia="Times New Roman" w:hAnsi="Times New Roman"/>
          <w:sz w:val="24"/>
          <w:szCs w:val="24"/>
        </w:rPr>
        <w:t xml:space="preserve">The central government’s offsite ERO reaches a formal decision to evacuate.</w:t>
      </w:r>
    </w:p>
    <w:p>
      <w:pPr>
        <w:spacing w:after="120" w:line="360"/>
        <w:ind w:left="720"/>
        <w:jc w:val="both"/>
      </w:pPr>
      <w:r>
        <w:rPr>
          <w:rFonts w:ascii="Times New Roman" w:cs="Times New Roman" w:eastAsia="Times New Roman" w:hAnsi="Times New Roman"/>
          <w:b/>
          <w:bCs/>
          <w:sz w:val="24"/>
          <w:szCs w:val="24"/>
        </w:rPr>
        <w:t xml:space="preserve">Heading 4 – Evacuation Order (target time: 15 minutes): </w:t>
      </w:r>
      <w:r>
        <w:rPr>
          <w:rFonts w:ascii="Times New Roman" w:cs="Times New Roman" w:eastAsia="Times New Roman" w:hAnsi="Times New Roman"/>
          <w:sz w:val="24"/>
          <w:szCs w:val="24"/>
        </w:rPr>
        <w:t xml:space="preserve">The local government issues the evacuation order to the public. The completion of this heading corresponds to the offsite alarm time (OALARM).</w:t>
      </w:r>
    </w:p>
    <w:p>
      <w:pPr>
        <w:spacing w:before="120" w:after="120"/>
        <w:jc w:val="center"/>
      </w:pPr>
      <w:r>
        <w:rPr>
          <w:rFonts w:ascii="Times New Roman" w:cs="Times New Roman" w:eastAsia="Times New Roman" w:hAnsi="Times New Roman"/>
          <w:i/>
          <w:iCs/>
          <w:color w:val="888888"/>
          <w:sz w:val="22"/>
          <w:szCs w:val="22"/>
        </w:rPr>
        <w:t xml:space="preserve">[Figure 3. Standard emergency response procedures and time objectives during general emergency]</w:t>
      </w:r>
    </w:p>
    <w:p>
      <w:pPr>
        <w:spacing w:before="120" w:after="240"/>
        <w:jc w:val="center"/>
      </w:pPr>
      <w:r>
        <w:rPr>
          <w:rFonts w:ascii="Times New Roman" w:cs="Times New Roman" w:eastAsia="Times New Roman" w:hAnsi="Times New Roman"/>
          <w:i/>
          <w:iCs/>
          <w:sz w:val="22"/>
          <w:szCs w:val="22"/>
        </w:rPr>
        <w:t xml:space="preserve">Figure 3. Standard emergency response procedures and time objectives during general emergency</w:t>
      </w:r>
    </w:p>
    <w:p>
      <w:pPr>
        <w:spacing w:after="120" w:line="360"/>
        <w:ind w:firstLine="360"/>
        <w:jc w:val="both"/>
      </w:pPr>
      <w:r>
        <w:rPr>
          <w:rFonts w:ascii="Times New Roman" w:cs="Times New Roman" w:eastAsia="Times New Roman" w:hAnsi="Times New Roman"/>
          <w:sz w:val="24"/>
          <w:szCs w:val="24"/>
        </w:rPr>
        <w:t xml:space="preserve">Two modeling assumptions underlie the event tree structure. First, the progression of the accident scenario is independent of the emergency response; that is, the timing at which EAL criteria are exceeded and the characteristics of the source term release are determined entirely by the accident simulation and are not altered by the success or failure of emergency response actions. Second, the emergency response headings are treated as independent and sequential; the time required for each heading accumulates rather than overlapping. These assumptions are conservative in the sense that they do not credit potential parallelism in emergency response actions.</w:t>
      </w:r>
    </w:p>
    <w:p>
      <w:pPr>
        <w:pStyle w:val="Heading2"/>
        <w:spacing w:before="240" w:after="120"/>
      </w:pPr>
      <w:r>
        <w:rPr>
          <w:rFonts w:ascii="Times New Roman" w:cs="Times New Roman" w:eastAsia="Times New Roman" w:hAnsi="Times New Roman"/>
          <w:b/>
          <w:bCs/>
          <w:sz w:val="26"/>
          <w:szCs w:val="26"/>
        </w:rPr>
        <w:t xml:space="preserve">3.2. Level 3 PSA Event Tree Structure</w:t>
      </w:r>
    </w:p>
    <w:p>
      <w:pPr>
        <w:spacing w:after="120" w:line="360"/>
        <w:ind w:firstLine="360"/>
        <w:jc w:val="both"/>
      </w:pPr>
      <w:r>
        <w:rPr>
          <w:rFonts w:ascii="Times New Roman" w:cs="Times New Roman" w:eastAsia="Times New Roman" w:hAnsi="Times New Roman"/>
          <w:sz w:val="24"/>
          <w:szCs w:val="24"/>
        </w:rPr>
        <w:t xml:space="preserve">With four headings and three possible outcomes per heading (success, delay, failure), the Level 3 PSA Event Tree produces 3⁴ = 81 distinct sequences. Because the accumulated emergency response time may coincide for different sequences, the number of unique OALARM values is smaller than 81. The time assigned to each outcome was determined by considering the sensitivity of offsite consequences to OALARM.</w:t>
      </w:r>
    </w:p>
    <w:p>
      <w:pPr>
        <w:spacing w:after="120" w:line="360"/>
        <w:ind w:firstLine="360"/>
        <w:jc w:val="both"/>
      </w:pPr>
      <w:r>
        <w:rPr>
          <w:rFonts w:ascii="Times New Roman" w:cs="Times New Roman" w:eastAsia="Times New Roman" w:hAnsi="Times New Roman"/>
          <w:sz w:val="24"/>
          <w:szCs w:val="24"/>
        </w:rPr>
        <w:t xml:space="preserve">Figure 4 shows the results of a sensitivity analysis performed with the MACCS code for the representative early-release scenario used in this study. The population-weighted individual risk (PWIR) of latent cancer fatality was computed as a function of OALARM for both the general public cohort and the tail (late-evacuation) cohort. As shown in the figure, consequences increase sharply between approximately 300 and 400 minutes after accident initiation, with continued gradual increase beyond 600 minutes. This behavior guided the design of the heading outcome times: the success time equals the target time shown in Table 1, the delay time is set to 60 minutes, and the failure time is set to 120 minutes, ensuring that the event tree branches span the region of greatest consequence sensitivity.</w:t>
      </w:r>
    </w:p>
    <w:p>
      <w:pPr>
        <w:spacing w:before="120" w:after="120"/>
        <w:jc w:val="center"/>
      </w:pPr>
      <w:r>
        <w:rPr>
          <w:rFonts w:ascii="Times New Roman" w:cs="Times New Roman" w:eastAsia="Times New Roman" w:hAnsi="Times New Roman"/>
          <w:i/>
          <w:iCs/>
          <w:color w:val="888888"/>
          <w:sz w:val="22"/>
          <w:szCs w:val="22"/>
        </w:rPr>
        <w:t xml:space="preserve">[Figure 4. OALARM sensitivity analysis: PWIR of latent cancer fatality vs. OALARM for general public and tail cohorts]</w:t>
      </w:r>
    </w:p>
    <w:p>
      <w:pPr>
        <w:spacing w:before="120" w:after="240"/>
        <w:jc w:val="center"/>
      </w:pPr>
      <w:r>
        <w:rPr>
          <w:rFonts w:ascii="Times New Roman" w:cs="Times New Roman" w:eastAsia="Times New Roman" w:hAnsi="Times New Roman"/>
          <w:i/>
          <w:iCs/>
          <w:sz w:val="22"/>
          <w:szCs w:val="22"/>
        </w:rPr>
        <w:t xml:space="preserve">Figure 4. OALARM sensitivity analysis: PWIR of latent cancer fatality vs. OALARM</w:t>
      </w:r>
    </w:p>
    <w:p>
      <w:pPr>
        <w:spacing w:after="120" w:line="360"/>
        <w:ind w:firstLine="360"/>
        <w:jc w:val="both"/>
      </w:pPr>
      <w:r>
        <w:rPr>
          <w:rFonts w:ascii="Times New Roman" w:cs="Times New Roman" w:eastAsia="Times New Roman" w:hAnsi="Times New Roman"/>
          <w:sz w:val="24"/>
          <w:szCs w:val="24"/>
        </w:rPr>
        <w:t xml:space="preserve">Figure 5 shows the structure of the designed Level 3 PSA Event Tree. Each heading first branches into success and not-success; the not-success branch further divides into delay and failure. The cumulative emergency response time for each sequence is computed by summing the individual heading times. For conservative analysis, the model assumes that even when an action succeeds, the full target time is consumed—that is, no credit is taken for early completion. Figure 6 shows the histogram of OALARM values across all 81 sequences, confirming that the design concentrates sequences in the 300–600 minute range where consequence sensitivity is greatest.</w:t>
      </w:r>
    </w:p>
    <w:p>
      <w:pPr>
        <w:spacing w:before="120" w:after="120"/>
        <w:jc w:val="center"/>
      </w:pPr>
      <w:r>
        <w:rPr>
          <w:rFonts w:ascii="Times New Roman" w:cs="Times New Roman" w:eastAsia="Times New Roman" w:hAnsi="Times New Roman"/>
          <w:i/>
          <w:iCs/>
          <w:color w:val="888888"/>
          <w:sz w:val="22"/>
          <w:szCs w:val="22"/>
        </w:rPr>
        <w:t xml:space="preserve">[Figure 5. Designed Level 3 PSA Event Tree with cumulative emergency response times]</w:t>
      </w:r>
    </w:p>
    <w:p>
      <w:pPr>
        <w:spacing w:before="120" w:after="240"/>
        <w:jc w:val="center"/>
      </w:pPr>
      <w:r>
        <w:rPr>
          <w:rFonts w:ascii="Times New Roman" w:cs="Times New Roman" w:eastAsia="Times New Roman" w:hAnsi="Times New Roman"/>
          <w:i/>
          <w:iCs/>
          <w:sz w:val="22"/>
          <w:szCs w:val="22"/>
        </w:rPr>
        <w:t xml:space="preserve">Figure 5. Designed Level 3 PSA Event Tree structure</w:t>
      </w:r>
    </w:p>
    <w:p>
      <w:pPr>
        <w:spacing w:before="120" w:after="120"/>
        <w:jc w:val="center"/>
      </w:pPr>
      <w:r>
        <w:rPr>
          <w:rFonts w:ascii="Times New Roman" w:cs="Times New Roman" w:eastAsia="Times New Roman" w:hAnsi="Times New Roman"/>
          <w:i/>
          <w:iCs/>
          <w:color w:val="888888"/>
          <w:sz w:val="22"/>
          <w:szCs w:val="22"/>
        </w:rPr>
        <w:t xml:space="preserve">[Figure 6. Histogram of OALARM values across Level 3 PSA Event Tree sequences]</w:t>
      </w:r>
    </w:p>
    <w:p>
      <w:pPr>
        <w:spacing w:before="120" w:after="240"/>
        <w:jc w:val="center"/>
      </w:pPr>
      <w:r>
        <w:rPr>
          <w:rFonts w:ascii="Times New Roman" w:cs="Times New Roman" w:eastAsia="Times New Roman" w:hAnsi="Times New Roman"/>
          <w:i/>
          <w:iCs/>
          <w:sz w:val="22"/>
          <w:szCs w:val="22"/>
        </w:rPr>
        <w:t xml:space="preserve">Figure 6. OALARM histogram for the designed Level 3 PSA Event Tree</w:t>
      </w:r>
    </w:p>
    <w:p>
      <w:pPr>
        <w:pStyle w:val="Heading2"/>
        <w:spacing w:before="240" w:after="120"/>
      </w:pPr>
      <w:r>
        <w:rPr>
          <w:rFonts w:ascii="Times New Roman" w:cs="Times New Roman" w:eastAsia="Times New Roman" w:hAnsi="Times New Roman"/>
          <w:b/>
          <w:bCs/>
          <w:sz w:val="26"/>
          <w:szCs w:val="26"/>
        </w:rPr>
        <w:t xml:space="preserve">3.3. Conceptual Fault Tree Design</w:t>
      </w:r>
    </w:p>
    <w:p>
      <w:pPr>
        <w:spacing w:after="120" w:line="360"/>
        <w:ind w:firstLine="360"/>
        <w:jc w:val="both"/>
      </w:pPr>
      <w:r>
        <w:rPr>
          <w:rFonts w:ascii="Times New Roman" w:cs="Times New Roman" w:eastAsia="Times New Roman" w:hAnsi="Times New Roman"/>
          <w:sz w:val="24"/>
          <w:szCs w:val="24"/>
        </w:rPr>
        <w:t xml:space="preserve">The integration of fault trees into the Level 3 PSA Event Tree model represents the most distinctive and methodologically significant aspect of this framework. While the event tree captures the sequential structure of the emergency response, the fault tree provides the causal decomposition needed to identify the root causes of heading delay or failure and to derive risk-significance measures.</w:t>
      </w:r>
    </w:p>
    <w:p>
      <w:pPr>
        <w:spacing w:after="120" w:line="360"/>
        <w:ind w:firstLine="360"/>
        <w:jc w:val="both"/>
      </w:pPr>
      <w:r>
        <w:rPr>
          <w:rFonts w:ascii="Times New Roman" w:cs="Times New Roman" w:eastAsia="Times New Roman" w:hAnsi="Times New Roman"/>
          <w:sz w:val="24"/>
          <w:szCs w:val="24"/>
        </w:rPr>
        <w:t xml:space="preserve">A conceptual fault tree has been developed for each of the four event tree headings. The general design philosophy is as follows. The top event of each fault tree represents the failure (or delay beyond the target time) of the corresponding heading. The top event is decomposed into intermediate events representing the major failure categories: (a) organizational activation failure, (b) human error, and (c) equipment failure. Each intermediate event is further decomposed into basic events representing specific failure modes.</w:t>
      </w:r>
    </w:p>
    <w:p>
      <w:pPr>
        <w:spacing w:after="120" w:line="360"/>
        <w:ind w:firstLine="360"/>
        <w:jc w:val="both"/>
      </w:pPr>
      <w:r>
        <w:rPr>
          <w:rFonts w:ascii="Times New Roman" w:cs="Times New Roman" w:eastAsia="Times New Roman" w:hAnsi="Times New Roman"/>
          <w:sz w:val="24"/>
          <w:szCs w:val="24"/>
        </w:rPr>
        <w:t xml:space="preserve">The conceptual fault tree for Heading 1 (GE Declaration and Notification) is structured around three principal failure categories. Organizational activation failure addresses the possibility that the on-shift emergency coordinator fails to recognize that EAL criteria have been exceeded, or that the ERO cannot be assembled within the required time. Human error encompasses failures in the decision-making process, such as misinterpretation of plant parameters or failure to follow the EAL classification procedure. Equipment failure includes the loss of instrumentation needed to monitor EAL parameters (e.g., core exit thermocouple failure), failure of the communication systems used for notification (e.g., dedicated telephone lines, Emergency Notification System), and failure of backup communication pathways.</w:t>
      </w:r>
    </w:p>
    <w:p>
      <w:pPr>
        <w:spacing w:after="120" w:line="360"/>
        <w:ind w:firstLine="360"/>
        <w:jc w:val="both"/>
      </w:pPr>
      <w:r>
        <w:rPr>
          <w:rFonts w:ascii="Times New Roman" w:cs="Times New Roman" w:eastAsia="Times New Roman" w:hAnsi="Times New Roman"/>
          <w:sz w:val="24"/>
          <w:szCs w:val="24"/>
        </w:rPr>
        <w:t xml:space="preserve">The conceptual fault trees for Headings 2 through 4 follow a similar structure adapted to the specific organizational context. Heading 2 (Evacuation Recommendation) involves the onsite ERO and focuses on factors such as the completeness of situational assessment, the availability of dose projection tools, and communication between the site and government authorities. Headings 3 and 4 (Evacuation Decision and Evacuation Order) involve the central and local government organizations, respectively, and include factors such as the operability of the offsite ERO command center, the availability of decision-making personnel, and the functioning of the public alert system.</w:t>
      </w:r>
    </w:p>
    <w:p>
      <w:pPr>
        <w:spacing w:after="120" w:line="360"/>
        <w:ind w:firstLine="360"/>
        <w:jc w:val="both"/>
      </w:pPr>
      <w:r>
        <w:rPr>
          <w:rFonts w:ascii="Times New Roman" w:cs="Times New Roman" w:eastAsia="Times New Roman" w:hAnsi="Times New Roman"/>
          <w:sz w:val="24"/>
          <w:szCs w:val="24"/>
        </w:rPr>
        <w:t xml:space="preserve">The conceptual fault trees also account for dependencies between headings. In particular, the success of Alert and SAE-phase preparatory actions (e.g., establishment of the offsite ERO command center within 6 hours of Alert declaration) affects the availability of resources for GE-phase actions. These dependencies are modeled through shared basic events or common-cause failure groups.</w:t>
      </w:r>
    </w:p>
    <w:p>
      <w:pPr>
        <w:spacing w:before="120" w:after="120"/>
        <w:jc w:val="center"/>
      </w:pPr>
      <w:r>
        <w:rPr>
          <w:rFonts w:ascii="Times New Roman" w:cs="Times New Roman" w:eastAsia="Times New Roman" w:hAnsi="Times New Roman"/>
          <w:i/>
          <w:iCs/>
          <w:color w:val="888888"/>
          <w:sz w:val="22"/>
          <w:szCs w:val="22"/>
        </w:rPr>
        <w:t xml:space="preserve">[Figure 7. Conceptual fault tree for Heading 1: GE Declaration and Notification]</w:t>
      </w:r>
    </w:p>
    <w:p>
      <w:pPr>
        <w:spacing w:before="120" w:after="240"/>
        <w:jc w:val="center"/>
      </w:pPr>
      <w:r>
        <w:rPr>
          <w:rFonts w:ascii="Times New Roman" w:cs="Times New Roman" w:eastAsia="Times New Roman" w:hAnsi="Times New Roman"/>
          <w:i/>
          <w:iCs/>
          <w:sz w:val="22"/>
          <w:szCs w:val="22"/>
        </w:rPr>
        <w:t xml:space="preserve">Figure 7. Conceptual fault tree for Heading 1 – GE Declaration and Notification</w:t>
      </w:r>
    </w:p>
    <w:p>
      <w:pPr>
        <w:spacing w:before="120" w:after="120"/>
        <w:jc w:val="center"/>
      </w:pPr>
      <w:r>
        <w:rPr>
          <w:rFonts w:ascii="Times New Roman" w:cs="Times New Roman" w:eastAsia="Times New Roman" w:hAnsi="Times New Roman"/>
          <w:i/>
          <w:iCs/>
          <w:color w:val="888888"/>
          <w:sz w:val="22"/>
          <w:szCs w:val="22"/>
        </w:rPr>
        <w:t xml:space="preserve">[Figure 8. Conceptual fault tree for Heading 2: Evacuation Recommendation]</w:t>
      </w:r>
    </w:p>
    <w:p>
      <w:pPr>
        <w:spacing w:before="120" w:after="240"/>
        <w:jc w:val="center"/>
      </w:pPr>
      <w:r>
        <w:rPr>
          <w:rFonts w:ascii="Times New Roman" w:cs="Times New Roman" w:eastAsia="Times New Roman" w:hAnsi="Times New Roman"/>
          <w:i/>
          <w:iCs/>
          <w:sz w:val="22"/>
          <w:szCs w:val="22"/>
        </w:rPr>
        <w:t xml:space="preserve">Figure 8. Conceptual fault tree for Heading 2 – Evacuation Recommendation</w:t>
      </w:r>
    </w:p>
    <w:p>
      <w:pPr>
        <w:spacing w:before="120" w:after="120"/>
        <w:jc w:val="center"/>
      </w:pPr>
      <w:r>
        <w:rPr>
          <w:rFonts w:ascii="Times New Roman" w:cs="Times New Roman" w:eastAsia="Times New Roman" w:hAnsi="Times New Roman"/>
          <w:i/>
          <w:iCs/>
          <w:color w:val="888888"/>
          <w:sz w:val="22"/>
          <w:szCs w:val="22"/>
        </w:rPr>
        <w:t xml:space="preserve">[Figure 9. Conceptual fault tree for Heading 3: Evacuation Decision]</w:t>
      </w:r>
    </w:p>
    <w:p>
      <w:pPr>
        <w:spacing w:before="120" w:after="240"/>
        <w:jc w:val="center"/>
      </w:pPr>
      <w:r>
        <w:rPr>
          <w:rFonts w:ascii="Times New Roman" w:cs="Times New Roman" w:eastAsia="Times New Roman" w:hAnsi="Times New Roman"/>
          <w:i/>
          <w:iCs/>
          <w:sz w:val="22"/>
          <w:szCs w:val="22"/>
        </w:rPr>
        <w:t xml:space="preserve">Figure 9. Conceptual fault tree for Heading 3 – Evacuation Decision</w:t>
      </w:r>
    </w:p>
    <w:p>
      <w:pPr>
        <w:spacing w:before="120" w:after="120"/>
        <w:jc w:val="center"/>
      </w:pPr>
      <w:r>
        <w:rPr>
          <w:rFonts w:ascii="Times New Roman" w:cs="Times New Roman" w:eastAsia="Times New Roman" w:hAnsi="Times New Roman"/>
          <w:i/>
          <w:iCs/>
          <w:color w:val="888888"/>
          <w:sz w:val="22"/>
          <w:szCs w:val="22"/>
        </w:rPr>
        <w:t xml:space="preserve">[Figure 10. Conceptual fault tree for Heading 4: Evacuation Order]</w:t>
      </w:r>
    </w:p>
    <w:p>
      <w:pPr>
        <w:spacing w:before="120" w:after="240"/>
        <w:jc w:val="center"/>
      </w:pPr>
      <w:r>
        <w:rPr>
          <w:rFonts w:ascii="Times New Roman" w:cs="Times New Roman" w:eastAsia="Times New Roman" w:hAnsi="Times New Roman"/>
          <w:i/>
          <w:iCs/>
          <w:sz w:val="22"/>
          <w:szCs w:val="22"/>
        </w:rPr>
        <w:t xml:space="preserve">Figure 10. Conceptual fault tree for Heading 4 – Evacuation Order</w:t>
      </w:r>
    </w:p>
    <w:p>
      <w:pPr>
        <w:spacing w:before="240" w:after="120"/>
        <w:jc w:val="center"/>
      </w:pPr>
      <w:r>
        <w:rPr>
          <w:rFonts w:ascii="Times New Roman" w:cs="Times New Roman" w:eastAsia="Times New Roman" w:hAnsi="Times New Roman"/>
          <w:i/>
          <w:iCs/>
          <w:sz w:val="22"/>
          <w:szCs w:val="22"/>
        </w:rPr>
        <w:t xml:space="preserve">Table 2. Summary of basic events in the conceptual fault trees</w:t>
      </w:r>
    </w:p>
    <w:p>
      <w:pPr>
        <w:spacing w:before="120" w:after="120"/>
        <w:jc w:val="center"/>
      </w:pPr>
      <w:r>
        <w:rPr>
          <w:rFonts w:ascii="Times New Roman" w:cs="Times New Roman" w:eastAsia="Times New Roman" w:hAnsi="Times New Roman"/>
          <w:i/>
          <w:iCs/>
          <w:color w:val="888888"/>
          <w:sz w:val="22"/>
          <w:szCs w:val="22"/>
        </w:rPr>
        <w:t xml:space="preserve">[Table 2. Basic event list with IDs, descriptions, fault tree heading association, and preliminary probability estimates]</w:t>
      </w:r>
    </w:p>
    <w:p>
      <w:pPr>
        <w:spacing w:after="120" w:line="360"/>
        <w:ind w:firstLine="360"/>
        <w:jc w:val="both"/>
      </w:pPr>
      <w:r>
        <w:rPr>
          <w:rFonts w:ascii="Times New Roman" w:cs="Times New Roman" w:eastAsia="Times New Roman" w:hAnsi="Times New Roman"/>
          <w:sz w:val="24"/>
          <w:szCs w:val="24"/>
        </w:rPr>
        <w:t xml:space="preserve">It must be emphasized that the basic event probabilities used in the present case study are rough estimates derived from preliminary expert judgment. These values serve to demonstrate the methodology and to illustrate the type of results that can be obtained; they do not represent validated reliability data. The systematic collection of reliable probability data—from plant operating experience, emergency exercise records, the Fukushima accident timeline, and formal expert elicitation—is identified as a critical task for the maturation of this framework. Once reliable data are available, the fault tree analysis will provide a rigorous basis for quantifying the OALARM distribution and for identifying the most risk-significant basic events in the emergency response chain.</w:t>
      </w:r>
    </w:p>
    <w:p>
      <w:pPr>
        <w:pStyle w:val="Heading1"/>
        <w:spacing w:before="240" w:after="120"/>
      </w:pPr>
      <w:r>
        <w:rPr>
          <w:rFonts w:ascii="Times New Roman" w:cs="Times New Roman" w:eastAsia="Times New Roman" w:hAnsi="Times New Roman"/>
          <w:b/>
          <w:bCs/>
          <w:sz w:val="28"/>
          <w:szCs w:val="28"/>
        </w:rPr>
        <w:t xml:space="preserve">4. Interface with Source Term and Consequence Analysis</w:t>
      </w:r>
    </w:p>
    <w:p>
      <w:pPr>
        <w:pStyle w:val="Heading2"/>
        <w:spacing w:before="240" w:after="120"/>
      </w:pPr>
      <w:r>
        <w:rPr>
          <w:rFonts w:ascii="Times New Roman" w:cs="Times New Roman" w:eastAsia="Times New Roman" w:hAnsi="Times New Roman"/>
          <w:b/>
          <w:bCs/>
          <w:sz w:val="26"/>
          <w:szCs w:val="26"/>
        </w:rPr>
        <w:t xml:space="preserve">4.1. Initial Source Term Category</w:t>
      </w:r>
    </w:p>
    <w:p>
      <w:pPr>
        <w:spacing w:after="120" w:line="360"/>
        <w:ind w:firstLine="360"/>
        <w:jc w:val="both"/>
      </w:pPr>
      <w:r>
        <w:rPr>
          <w:rFonts w:ascii="Times New Roman" w:cs="Times New Roman" w:eastAsia="Times New Roman" w:hAnsi="Times New Roman"/>
          <w:sz w:val="24"/>
          <w:szCs w:val="24"/>
        </w:rPr>
        <w:t xml:space="preserve">The source term category entering the Level 3 PSA Event Tree is designated as the Initial Source Term Category (ISTC). The primary purpose of characterizing the ISTC is to determine the time elapsed from accident initiation to the point at which GE-level EAL criteria are exceeded. This time, when added to the cumulative emergency response time produced by the event tree, yields the OALARM for each sequence.</w:t>
      </w:r>
    </w:p>
    <w:p>
      <w:pPr>
        <w:spacing w:after="120" w:line="360"/>
        <w:ind w:firstLine="360"/>
        <w:jc w:val="both"/>
      </w:pPr>
      <w:r>
        <w:rPr>
          <w:rFonts w:ascii="Times New Roman" w:cs="Times New Roman" w:eastAsia="Times New Roman" w:hAnsi="Times New Roman"/>
          <w:sz w:val="24"/>
          <w:szCs w:val="24"/>
        </w:rPr>
        <w:t xml:space="preserve">For the case study presented in this paper, a representative early-release ISTC was selected from among the accident scenarios identified in the Level 2 PSA. The selection considered both the significance of the scenario in terms of offsite consequence and the appropriateness of the OALARM range designed into the event tree. Late-release STCs, which involve very long times between accident initiation and radioactive release, were excluded because the sensitivity analysis showed that the variation in OALARM over the range spanned by the event tree would produce negligible differences in offsite consequence for such scenarios. A dedicated event tree with heading outcome times tailored to the late-release timeline would need to be developed separately.</w:t>
      </w:r>
    </w:p>
    <w:p>
      <w:pPr>
        <w:spacing w:after="120" w:line="360"/>
        <w:ind w:firstLine="360"/>
        <w:jc w:val="both"/>
      </w:pPr>
      <w:r>
        <w:rPr>
          <w:rFonts w:ascii="Times New Roman" w:cs="Times New Roman" w:eastAsia="Times New Roman" w:hAnsi="Times New Roman"/>
          <w:sz w:val="24"/>
          <w:szCs w:val="24"/>
        </w:rPr>
        <w:t xml:space="preserve">The selected representative scenario involves the following sequence of events: a loss of offsite power (LOOP) initiating event leads to a station blackout (SBO) upon failure of all emergency diesel generators; the turbine-driven auxiliary feedwater (TD-AFW) pump fails to start, resulting in core damage approximately 2 hours after accident initiation; containment failure due to hydrogen combustion occurs approximately 3 hours after core damage. This scenario represents one of the most rapid early-release pathways and was selected for its significance and representativeness.</w:t>
      </w:r>
    </w:p>
    <w:p>
      <w:pPr>
        <w:spacing w:after="120" w:line="360"/>
        <w:ind w:firstLine="360"/>
        <w:jc w:val="both"/>
      </w:pPr>
      <w:r>
        <w:rPr>
          <w:rFonts w:ascii="Times New Roman" w:cs="Times New Roman" w:eastAsia="Times New Roman" w:hAnsi="Times New Roman"/>
          <w:sz w:val="24"/>
          <w:szCs w:val="24"/>
        </w:rPr>
        <w:t xml:space="preserve">Analysis of the EAL classification for the OPR1000 reactor type reveals that the GE classification criterion (EAL 5D) would be reached when the core exit temperature (CET) exceeds 354.4°C. Thermal-hydraulic simulation of the selected SBO scenario shows that this condition is met approximately 123 minutes after accident initiation. This GE exceedance time of approximately 120 minutes is used as a fixed input to the Level 3 PSA Event Tree for the representative ISTC.</w:t>
      </w:r>
    </w:p>
    <w:p>
      <w:pPr>
        <w:spacing w:before="120" w:after="120"/>
        <w:jc w:val="center"/>
      </w:pPr>
      <w:r>
        <w:rPr>
          <w:rFonts w:ascii="Times New Roman" w:cs="Times New Roman" w:eastAsia="Times New Roman" w:hAnsi="Times New Roman"/>
          <w:i/>
          <w:iCs/>
          <w:color w:val="888888"/>
          <w:sz w:val="22"/>
          <w:szCs w:val="22"/>
        </w:rPr>
        <w:t xml:space="preserve">[Figure 11. Emergency Action Level logic for OPR1000 GE classification (EAL 5D) and timeline for representative ISTC]</w:t>
      </w:r>
    </w:p>
    <w:p>
      <w:pPr>
        <w:spacing w:before="120" w:after="240"/>
        <w:jc w:val="center"/>
      </w:pPr>
      <w:r>
        <w:rPr>
          <w:rFonts w:ascii="Times New Roman" w:cs="Times New Roman" w:eastAsia="Times New Roman" w:hAnsi="Times New Roman"/>
          <w:i/>
          <w:iCs/>
          <w:sz w:val="22"/>
          <w:szCs w:val="22"/>
        </w:rPr>
        <w:t xml:space="preserve">Figure 11. EAL logic and GE exceedance timeline for the representative ISTC</w:t>
      </w:r>
    </w:p>
    <w:p>
      <w:pPr>
        <w:pStyle w:val="Heading2"/>
        <w:spacing w:before="240" w:after="120"/>
      </w:pPr>
      <w:r>
        <w:rPr>
          <w:rFonts w:ascii="Times New Roman" w:cs="Times New Roman" w:eastAsia="Times New Roman" w:hAnsi="Times New Roman"/>
          <w:b/>
          <w:bCs/>
          <w:sz w:val="26"/>
          <w:szCs w:val="26"/>
        </w:rPr>
        <w:t xml:space="preserve">4.2. OALARM Determination and MACCS Interface</w:t>
      </w:r>
    </w:p>
    <w:p>
      <w:pPr>
        <w:spacing w:after="120" w:line="360"/>
        <w:ind w:firstLine="360"/>
        <w:jc w:val="both"/>
      </w:pPr>
      <w:r>
        <w:rPr>
          <w:rFonts w:ascii="Times New Roman" w:cs="Times New Roman" w:eastAsia="Times New Roman" w:hAnsi="Times New Roman"/>
          <w:sz w:val="24"/>
          <w:szCs w:val="24"/>
        </w:rPr>
        <w:t xml:space="preserve">The OALARM for each event tree sequence is calculated as:</w:t>
      </w:r>
    </w:p>
    <w:p>
      <w:pPr>
        <w:spacing w:before="120" w:after="120"/>
        <w:jc w:val="center"/>
      </w:pPr>
      <w:r>
        <w:rPr>
          <w:rFonts w:ascii="Times New Roman" w:cs="Times New Roman" w:eastAsia="Times New Roman" w:hAnsi="Times New Roman"/>
          <w:i/>
          <w:iCs/>
          <w:sz w:val="24"/>
          <w:szCs w:val="24"/>
        </w:rPr>
        <w:t xml:space="preserve">OALARM = T</w:t>
      </w:r>
      <w:r>
        <w:rPr>
          <w:rFonts w:ascii="Times New Roman" w:cs="Times New Roman" w:eastAsia="Times New Roman" w:hAnsi="Times New Roman"/>
          <w:sz w:val="20"/>
          <w:szCs w:val="20"/>
          <w:vertAlign w:val="subscript"/>
        </w:rPr>
        <w:t xml:space="preserve">GE</w:t>
      </w:r>
      <w:r>
        <w:rPr>
          <w:rFonts w:ascii="Times New Roman" w:cs="Times New Roman" w:eastAsia="Times New Roman" w:hAnsi="Times New Roman"/>
          <w:i/>
          <w:iCs/>
          <w:sz w:val="24"/>
          <w:szCs w:val="24"/>
        </w:rPr>
        <w:t xml:space="preserve"> + T</w:t>
      </w:r>
      <w:r>
        <w:rPr>
          <w:rFonts w:ascii="Times New Roman" w:cs="Times New Roman" w:eastAsia="Times New Roman" w:hAnsi="Times New Roman"/>
          <w:sz w:val="20"/>
          <w:szCs w:val="20"/>
          <w:vertAlign w:val="subscript"/>
        </w:rPr>
        <w:t xml:space="preserve">response</w:t>
      </w:r>
      <w:r>
        <w:rPr>
          <w:rFonts w:ascii="Times New Roman" w:cs="Times New Roman" w:eastAsia="Times New Roman" w:hAnsi="Times New Roman"/>
          <w:sz w:val="24"/>
          <w:szCs w:val="24"/>
        </w:rPr>
        <w:t xml:space="preserve">     (1)</w:t>
      </w:r>
    </w:p>
    <w:p>
      <w:pPr>
        <w:spacing w:after="120" w:line="360"/>
        <w:ind w:firstLine="360"/>
        <w:jc w:val="both"/>
      </w:pPr>
      <w:r>
        <w:rPr>
          <w:rFonts w:ascii="Times New Roman" w:cs="Times New Roman" w:eastAsia="Times New Roman" w:hAnsi="Times New Roman"/>
          <w:i/>
          <w:iCs/>
          <w:sz w:val="24"/>
          <w:szCs w:val="24"/>
        </w:rPr>
        <w:t xml:space="preserve">where T</w:t>
      </w:r>
      <w:r>
        <w:rPr>
          <w:rFonts w:ascii="Times New Roman" w:cs="Times New Roman" w:eastAsia="Times New Roman" w:hAnsi="Times New Roman"/>
          <w:sz w:val="20"/>
          <w:szCs w:val="20"/>
          <w:vertAlign w:val="subscript"/>
        </w:rPr>
        <w:t xml:space="preserve">GE</w:t>
      </w:r>
      <w:r>
        <w:rPr>
          <w:rFonts w:ascii="Times New Roman" w:cs="Times New Roman" w:eastAsia="Times New Roman" w:hAnsi="Times New Roman"/>
          <w:sz w:val="24"/>
          <w:szCs w:val="24"/>
        </w:rPr>
        <w:t xml:space="preserve"> is the time from accident initiation to GE-level EAL exceedance (a deterministic value specific to the ISTC, approximately 120 minutes for the representative scenario) and T</w:t>
      </w:r>
      <w:r>
        <w:rPr>
          <w:rFonts w:ascii="Times New Roman" w:cs="Times New Roman" w:eastAsia="Times New Roman" w:hAnsi="Times New Roman"/>
          <w:sz w:val="20"/>
          <w:szCs w:val="20"/>
          <w:vertAlign w:val="subscript"/>
        </w:rPr>
        <w:t xml:space="preserve">response</w:t>
      </w:r>
      <w:r>
        <w:rPr>
          <w:rFonts w:ascii="Times New Roman" w:cs="Times New Roman" w:eastAsia="Times New Roman" w:hAnsi="Times New Roman"/>
          <w:sz w:val="24"/>
          <w:szCs w:val="24"/>
        </w:rPr>
        <w:t xml:space="preserve"> is the cumulative emergency response time (a distribution derived from the Level 3 PSA Event Tree and fault trees). Sequences with the same cumulative emergency response time produce the same OALARM and therefore the same offsite consequence.</w:t>
      </w:r>
    </w:p>
    <w:p>
      <w:pPr>
        <w:spacing w:after="120" w:line="360"/>
        <w:ind w:firstLine="360"/>
        <w:jc w:val="both"/>
      </w:pPr>
      <w:r>
        <w:rPr>
          <w:rFonts w:ascii="Times New Roman" w:cs="Times New Roman" w:eastAsia="Times New Roman" w:hAnsi="Times New Roman"/>
          <w:sz w:val="24"/>
          <w:szCs w:val="24"/>
        </w:rPr>
        <w:t xml:space="preserve">For each unique OALARM value, a separate MACCS calculation is performed with all other parameters held constant. The MACCS code calculates the offsite consequence—expressed as population-weighted individual risk (PWIR) of latent cancer fatality—for each OALARM value. Risk is then computed as:</w:t>
      </w:r>
    </w:p>
    <w:p>
      <w:pPr>
        <w:spacing w:before="120" w:after="120"/>
        <w:jc w:val="center"/>
      </w:pPr>
      <w:r>
        <w:rPr>
          <w:rFonts w:ascii="Times New Roman" w:cs="Times New Roman" w:eastAsia="Times New Roman" w:hAnsi="Times New Roman"/>
          <w:i/>
          <w:iCs/>
          <w:sz w:val="24"/>
          <w:szCs w:val="24"/>
        </w:rPr>
        <w:t xml:space="preserve">Risk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i/>
          <w:iCs/>
          <w:sz w:val="24"/>
          <w:szCs w:val="24"/>
        </w:rPr>
        <w:t xml:space="preserve"> (Consequence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i/>
          <w:iCs/>
          <w:sz w:val="24"/>
          <w:szCs w:val="24"/>
        </w:rPr>
        <w:t xml:space="preserve"> × Frequency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4"/>
          <w:szCs w:val="24"/>
        </w:rPr>
        <w:t xml:space="preserve">)     (2)</w:t>
      </w:r>
    </w:p>
    <w:p>
      <w:pPr>
        <w:spacing w:after="120" w:line="360"/>
        <w:ind w:firstLine="360"/>
        <w:jc w:val="both"/>
      </w:pPr>
      <w:r>
        <w:rPr>
          <w:rFonts w:ascii="Times New Roman" w:cs="Times New Roman" w:eastAsia="Times New Roman" w:hAnsi="Times New Roman"/>
          <w:i/>
          <w:iCs/>
          <w:sz w:val="24"/>
          <w:szCs w:val="24"/>
        </w:rPr>
        <w:t xml:space="preserve">where Consequence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4"/>
          <w:szCs w:val="24"/>
        </w:rPr>
        <w:t xml:space="preserve"> is the PWIR-Cancer from MACCS for the i-th unique OALARM value, and Frequency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4"/>
          <w:szCs w:val="24"/>
        </w:rPr>
        <w:t xml:space="preserve"> is the total frequency of all event tree sequences producing that OALARM value. The actual site risk would additionally incorporate the core damage frequency (CDF) and the conditional probability of the specific STC.</w:t>
      </w:r>
    </w:p>
    <w:p>
      <w:pPr>
        <w:pStyle w:val="Heading1"/>
        <w:spacing w:before="240" w:after="120"/>
      </w:pPr>
      <w:r>
        <w:rPr>
          <w:rFonts w:ascii="Times New Roman" w:cs="Times New Roman" w:eastAsia="Times New Roman" w:hAnsi="Times New Roman"/>
          <w:b/>
          <w:bCs/>
          <w:sz w:val="28"/>
          <w:szCs w:val="28"/>
        </w:rPr>
        <w:t xml:space="preserve">5. Case Study Results</w:t>
      </w:r>
    </w:p>
    <w:p>
      <w:pPr>
        <w:spacing w:after="120" w:line="360"/>
        <w:ind w:firstLine="360"/>
        <w:jc w:val="both"/>
      </w:pPr>
      <w:r>
        <w:rPr>
          <w:rFonts w:ascii="Times New Roman" w:cs="Times New Roman" w:eastAsia="Times New Roman" w:hAnsi="Times New Roman"/>
          <w:sz w:val="24"/>
          <w:szCs w:val="24"/>
        </w:rPr>
        <w:t xml:space="preserve">To demonstrate the methodology, the Level 3 PSA ET/FT framework was applied to the representative early-release ISTC described in Section 4.1, using a reference site in the Republic of Korea. The following caveats apply to the interpretation of results:</w:t>
      </w:r>
    </w:p>
    <w:p>
      <w:pPr>
        <w:spacing w:after="120" w:line="360"/>
        <w:ind w:left="720"/>
        <w:jc w:val="both"/>
      </w:pPr>
      <w:r>
        <w:rPr>
          <w:rFonts w:ascii="Times New Roman" w:cs="Times New Roman" w:eastAsia="Times New Roman" w:hAnsi="Times New Roman"/>
          <w:sz w:val="24"/>
          <w:szCs w:val="24"/>
        </w:rPr>
        <w:t xml:space="preserve">(a) The fault tree basic event probabilities are preliminary estimates based on expert judgment and do not represent validated reliability data. The primary purpose of this case study is to demonstrate the methodology, not to provide quantitative safety conclusions.</w:t>
      </w:r>
    </w:p>
    <w:p>
      <w:pPr>
        <w:spacing w:after="120" w:line="360"/>
        <w:ind w:left="720"/>
        <w:jc w:val="both"/>
      </w:pPr>
      <w:r>
        <w:rPr>
          <w:rFonts w:ascii="Times New Roman" w:cs="Times New Roman" w:eastAsia="Times New Roman" w:hAnsi="Times New Roman"/>
          <w:sz w:val="24"/>
          <w:szCs w:val="24"/>
        </w:rPr>
        <w:t xml:space="preserve">(b) As this is a pilot study on a reference site, all consequence values are normalized to the maximum value to avoid misinterpretation of absolute numbers.</w:t>
      </w:r>
    </w:p>
    <w:p>
      <w:pPr>
        <w:spacing w:after="120" w:line="360"/>
        <w:ind w:left="720"/>
        <w:jc w:val="both"/>
      </w:pPr>
      <w:r>
        <w:rPr>
          <w:rFonts w:ascii="Times New Roman" w:cs="Times New Roman" w:eastAsia="Times New Roman" w:hAnsi="Times New Roman"/>
          <w:sz w:val="24"/>
          <w:szCs w:val="24"/>
        </w:rPr>
        <w:t xml:space="preserve">(c) Only one early-release ISTC is analyzed; comprehensive site risk would require analysis of all ISTCs.</w:t>
      </w:r>
    </w:p>
    <w:p>
      <w:pPr>
        <w:pStyle w:val="Heading2"/>
        <w:spacing w:before="240" w:after="120"/>
      </w:pPr>
      <w:r>
        <w:rPr>
          <w:rFonts w:ascii="Times New Roman" w:cs="Times New Roman" w:eastAsia="Times New Roman" w:hAnsi="Times New Roman"/>
          <w:b/>
          <w:bCs/>
          <w:sz w:val="26"/>
          <w:szCs w:val="26"/>
        </w:rPr>
        <w:t xml:space="preserve">5.1. Fault Tree Quantification and Event Tree Branch Probabilities</w:t>
      </w:r>
    </w:p>
    <w:p>
      <w:pPr>
        <w:spacing w:after="120" w:line="360"/>
        <w:ind w:firstLine="360"/>
        <w:jc w:val="both"/>
      </w:pPr>
      <w:r>
        <w:rPr>
          <w:rFonts w:ascii="Times New Roman" w:cs="Times New Roman" w:eastAsia="Times New Roman" w:hAnsi="Times New Roman"/>
          <w:sz w:val="24"/>
          <w:szCs w:val="24"/>
        </w:rPr>
        <w:t xml:space="preserve">The conceptual fault trees developed in Section 3.3 were quantified using preliminary basic event probabilities estimated through expert judgment. Table 3 presents the basic event probabilities and the resulting heading-level branch probabilities (success, delay, failure) for each of the four headings.</w:t>
      </w:r>
    </w:p>
    <w:p>
      <w:pPr>
        <w:spacing w:before="240" w:after="120"/>
        <w:jc w:val="center"/>
      </w:pPr>
      <w:r>
        <w:rPr>
          <w:rFonts w:ascii="Times New Roman" w:cs="Times New Roman" w:eastAsia="Times New Roman" w:hAnsi="Times New Roman"/>
          <w:i/>
          <w:iCs/>
          <w:sz w:val="22"/>
          <w:szCs w:val="22"/>
        </w:rPr>
        <w:t xml:space="preserve">Table 3. Preliminary basic event probabilities and resulting heading branch probabilities</w:t>
      </w:r>
    </w:p>
    <w:p>
      <w:pPr>
        <w:spacing w:before="120" w:after="120"/>
        <w:jc w:val="center"/>
      </w:pPr>
      <w:r>
        <w:rPr>
          <w:rFonts w:ascii="Times New Roman" w:cs="Times New Roman" w:eastAsia="Times New Roman" w:hAnsi="Times New Roman"/>
          <w:i/>
          <w:iCs/>
          <w:color w:val="888888"/>
          <w:sz w:val="22"/>
          <w:szCs w:val="22"/>
        </w:rPr>
        <w:t xml:space="preserve">[Table 3. Basic event probabilities (expert judgment) and heading-level success/delay/failure probabilities derived from fault tree quantification]</w:t>
      </w:r>
    </w:p>
    <w:p>
      <w:pPr>
        <w:spacing w:after="120" w:line="360"/>
        <w:jc w:val="both"/>
      </w:pPr>
      <w:r>
        <w:rPr>
          <w:rFonts w:ascii="Times New Roman" w:cs="Times New Roman" w:eastAsia="Times New Roman" w:hAnsi="Times New Roman"/>
          <w:i/>
          <w:iCs/>
          <w:color w:val="888888"/>
          <w:sz w:val="24"/>
          <w:szCs w:val="24"/>
        </w:rPr>
        <w:t xml:space="preserve">[Description and discussion of the fault tree quantification results, including the dominant failure modes for each heading and any notable dependencies between headings.]</w:t>
      </w:r>
    </w:p>
    <w:p>
      <w:pPr>
        <w:pStyle w:val="Heading2"/>
        <w:spacing w:before="240" w:after="120"/>
      </w:pPr>
      <w:r>
        <w:rPr>
          <w:rFonts w:ascii="Times New Roman" w:cs="Times New Roman" w:eastAsia="Times New Roman" w:hAnsi="Times New Roman"/>
          <w:b/>
          <w:bCs/>
          <w:sz w:val="26"/>
          <w:szCs w:val="26"/>
        </w:rPr>
        <w:t xml:space="preserve">5.2. Offsite Consequence Analysis</w:t>
      </w:r>
    </w:p>
    <w:p>
      <w:pPr>
        <w:spacing w:after="120" w:line="360"/>
        <w:ind w:firstLine="360"/>
        <w:jc w:val="both"/>
      </w:pPr>
      <w:r>
        <w:rPr>
          <w:rFonts w:ascii="Times New Roman" w:cs="Times New Roman" w:eastAsia="Times New Roman" w:hAnsi="Times New Roman"/>
          <w:sz w:val="24"/>
          <w:szCs w:val="24"/>
        </w:rPr>
        <w:t xml:space="preserve">Using the heading branch probabilities derived from the fault tree quantification, the Level 3 PSA Event Tree was quantified to obtain the frequency distribution of OALARM values. Each unique OALARM value was then input to the MACCS code to calculate the population-weighted individual risk (PWIR) of latent cancer fatality for the general public cohort and the tail cohort. Table 4 presents the normalized PWIR-Cancer values, the corresponding sequence frequencies, and the resulting normalized risk contributions for both cohorts.</w:t>
      </w:r>
    </w:p>
    <w:p>
      <w:pPr>
        <w:spacing w:before="240" w:after="120"/>
        <w:jc w:val="center"/>
      </w:pPr>
      <w:r>
        <w:rPr>
          <w:rFonts w:ascii="Times New Roman" w:cs="Times New Roman" w:eastAsia="Times New Roman" w:hAnsi="Times New Roman"/>
          <w:i/>
          <w:iCs/>
          <w:sz w:val="22"/>
          <w:szCs w:val="22"/>
        </w:rPr>
        <w:t xml:space="preserve">Table 4. Normalized PWIR-Cancer, frequency, and risk distribution for the representative ISTC</w:t>
      </w:r>
    </w:p>
    <w:p>
      <w:pPr>
        <w:spacing w:before="120" w:after="120"/>
        <w:jc w:val="center"/>
      </w:pPr>
      <w:r>
        <w:rPr>
          <w:rFonts w:ascii="Times New Roman" w:cs="Times New Roman" w:eastAsia="Times New Roman" w:hAnsi="Times New Roman"/>
          <w:i/>
          <w:iCs/>
          <w:color w:val="888888"/>
          <w:sz w:val="22"/>
          <w:szCs w:val="22"/>
        </w:rPr>
        <w:t xml:space="preserve">[Table 4. Normalized PWIR-Cancer vs. Frequency vs. Normalized Risk for General Public and Tail cohorts — derived from FT-based branch probabilities]</w:t>
      </w:r>
    </w:p>
    <w:p>
      <w:pPr>
        <w:spacing w:after="120" w:line="360"/>
        <w:jc w:val="both"/>
      </w:pPr>
      <w:r>
        <w:rPr>
          <w:rFonts w:ascii="Times New Roman" w:cs="Times New Roman" w:eastAsia="Times New Roman" w:hAnsi="Times New Roman"/>
          <w:i/>
          <w:iCs/>
          <w:color w:val="888888"/>
          <w:sz w:val="24"/>
          <w:szCs w:val="24"/>
        </w:rPr>
        <w:t xml:space="preserve">[Discussion of the consequence analysis results. Comparison with the preliminary results obtained using assumed branch probabilities (0.7/0.3 split) in the earlier conference paper. Analysis of how the FT-derived branch probabilities affect the OALARM distribution and the resulting risk profile. Discussion of the probability of zero or near-zero PWIR-Cancer and its interpretation.]</w:t>
      </w:r>
    </w:p>
    <w:p>
      <w:pPr>
        <w:spacing w:before="120" w:after="120"/>
        <w:jc w:val="center"/>
      </w:pPr>
      <w:r>
        <w:rPr>
          <w:rFonts w:ascii="Times New Roman" w:cs="Times New Roman" w:eastAsia="Times New Roman" w:hAnsi="Times New Roman"/>
          <w:i/>
          <w:iCs/>
          <w:color w:val="888888"/>
          <w:sz w:val="22"/>
          <w:szCs w:val="22"/>
        </w:rPr>
        <w:t xml:space="preserve">[Figure 12. PWIR-Cancer frequency distribution for general public cohort (FT-based analysis)]</w:t>
      </w:r>
    </w:p>
    <w:p>
      <w:pPr>
        <w:spacing w:before="120" w:after="240"/>
        <w:jc w:val="center"/>
      </w:pPr>
      <w:r>
        <w:rPr>
          <w:rFonts w:ascii="Times New Roman" w:cs="Times New Roman" w:eastAsia="Times New Roman" w:hAnsi="Times New Roman"/>
          <w:i/>
          <w:iCs/>
          <w:sz w:val="22"/>
          <w:szCs w:val="22"/>
        </w:rPr>
        <w:t xml:space="preserve">Figure 12. PWIR-Cancer frequency distribution for general public cohort</w:t>
      </w:r>
    </w:p>
    <w:p>
      <w:pPr>
        <w:spacing w:before="120" w:after="120"/>
        <w:jc w:val="center"/>
      </w:pPr>
      <w:r>
        <w:rPr>
          <w:rFonts w:ascii="Times New Roman" w:cs="Times New Roman" w:eastAsia="Times New Roman" w:hAnsi="Times New Roman"/>
          <w:i/>
          <w:iCs/>
          <w:color w:val="888888"/>
          <w:sz w:val="22"/>
          <w:szCs w:val="22"/>
        </w:rPr>
        <w:t xml:space="preserve">[Figure 13. PWIR-Cancer frequency distribution for tail cohort (FT-based analysis)]</w:t>
      </w:r>
    </w:p>
    <w:p>
      <w:pPr>
        <w:spacing w:before="120" w:after="240"/>
        <w:jc w:val="center"/>
      </w:pPr>
      <w:r>
        <w:rPr>
          <w:rFonts w:ascii="Times New Roman" w:cs="Times New Roman" w:eastAsia="Times New Roman" w:hAnsi="Times New Roman"/>
          <w:i/>
          <w:iCs/>
          <w:sz w:val="22"/>
          <w:szCs w:val="22"/>
        </w:rPr>
        <w:t xml:space="preserve">Figure 13. PWIR-Cancer frequency distribution for tail cohort</w:t>
      </w:r>
    </w:p>
    <w:p>
      <w:pPr>
        <w:spacing w:before="120" w:after="120"/>
        <w:jc w:val="center"/>
      </w:pPr>
      <w:r>
        <w:rPr>
          <w:rFonts w:ascii="Times New Roman" w:cs="Times New Roman" w:eastAsia="Times New Roman" w:hAnsi="Times New Roman"/>
          <w:i/>
          <w:iCs/>
          <w:color w:val="888888"/>
          <w:sz w:val="22"/>
          <w:szCs w:val="22"/>
        </w:rPr>
        <w:t xml:space="preserve">[Figure 14. Cumulative risk contribution as a function of OALARM for both cohorts]</w:t>
      </w:r>
    </w:p>
    <w:p>
      <w:pPr>
        <w:spacing w:before="120" w:after="240"/>
        <w:jc w:val="center"/>
      </w:pPr>
      <w:r>
        <w:rPr>
          <w:rFonts w:ascii="Times New Roman" w:cs="Times New Roman" w:eastAsia="Times New Roman" w:hAnsi="Times New Roman"/>
          <w:i/>
          <w:iCs/>
          <w:sz w:val="22"/>
          <w:szCs w:val="22"/>
        </w:rPr>
        <w:t xml:space="preserve">Figure 14. Cumulative risk contribution vs. OALARM</w:t>
      </w:r>
    </w:p>
    <w:p>
      <w:pPr>
        <w:pStyle w:val="Heading2"/>
        <w:spacing w:before="240" w:after="120"/>
      </w:pPr>
      <w:r>
        <w:rPr>
          <w:rFonts w:ascii="Times New Roman" w:cs="Times New Roman" w:eastAsia="Times New Roman" w:hAnsi="Times New Roman"/>
          <w:b/>
          <w:bCs/>
          <w:sz w:val="26"/>
          <w:szCs w:val="26"/>
        </w:rPr>
        <w:t xml:space="preserve">5.3. Risk-Significance Analysis</w:t>
      </w:r>
    </w:p>
    <w:p>
      <w:pPr>
        <w:spacing w:after="120" w:line="360"/>
        <w:ind w:firstLine="360"/>
        <w:jc w:val="both"/>
      </w:pPr>
      <w:r>
        <w:rPr>
          <w:rFonts w:ascii="Times New Roman" w:cs="Times New Roman" w:eastAsia="Times New Roman" w:hAnsi="Times New Roman"/>
          <w:sz w:val="24"/>
          <w:szCs w:val="24"/>
        </w:rPr>
        <w:t xml:space="preserve">One of the principal objectives of the Level 3 PSA ET/FT framework is to identify the basic events in the emergency response chain that have the greatest influence on public risk. To this end, standard risk importance measures were computed for all basic events in the fault trees. Three importance measures were evaluated:</w:t>
      </w:r>
    </w:p>
    <w:p>
      <w:pPr>
        <w:spacing w:after="120" w:line="360"/>
        <w:ind w:left="720"/>
        <w:jc w:val="both"/>
      </w:pPr>
      <w:r>
        <w:rPr>
          <w:rFonts w:ascii="Times New Roman" w:cs="Times New Roman" w:eastAsia="Times New Roman" w:hAnsi="Times New Roman"/>
          <w:b/>
          <w:bCs/>
          <w:sz w:val="24"/>
          <w:szCs w:val="24"/>
        </w:rPr>
        <w:t xml:space="preserve">Risk Achievement Worth (RAW): </w:t>
      </w:r>
      <w:r>
        <w:rPr>
          <w:rFonts w:ascii="Times New Roman" w:cs="Times New Roman" w:eastAsia="Times New Roman" w:hAnsi="Times New Roman"/>
          <w:sz w:val="24"/>
          <w:szCs w:val="24"/>
        </w:rPr>
        <w:t xml:space="preserve">RAW measures the factor by which the total risk would increase if a given basic event were assumed to occur with certainty (probability = 1). A high RAW indicates that the event, if it occurs, would have a large impact on risk.</w:t>
      </w:r>
    </w:p>
    <w:p>
      <w:pPr>
        <w:spacing w:after="120" w:line="360"/>
        <w:ind w:left="720"/>
        <w:jc w:val="both"/>
      </w:pPr>
      <w:r>
        <w:rPr>
          <w:rFonts w:ascii="Times New Roman" w:cs="Times New Roman" w:eastAsia="Times New Roman" w:hAnsi="Times New Roman"/>
          <w:b/>
          <w:bCs/>
          <w:sz w:val="24"/>
          <w:szCs w:val="24"/>
        </w:rPr>
        <w:t xml:space="preserve">Risk Reduction Worth (RRW): </w:t>
      </w:r>
      <w:r>
        <w:rPr>
          <w:rFonts w:ascii="Times New Roman" w:cs="Times New Roman" w:eastAsia="Times New Roman" w:hAnsi="Times New Roman"/>
          <w:sz w:val="24"/>
          <w:szCs w:val="24"/>
        </w:rPr>
        <w:t xml:space="preserve">RRW measures the factor by which the total risk would decrease if a given basic event were prevented from occurring (probability = 0). A high RRW indicates that preventing the event would significantly reduce risk.</w:t>
      </w:r>
    </w:p>
    <w:p>
      <w:pPr>
        <w:spacing w:after="120" w:line="360"/>
        <w:ind w:left="720"/>
        <w:jc w:val="both"/>
      </w:pPr>
      <w:r>
        <w:rPr>
          <w:rFonts w:ascii="Times New Roman" w:cs="Times New Roman" w:eastAsia="Times New Roman" w:hAnsi="Times New Roman"/>
          <w:b/>
          <w:bCs/>
          <w:sz w:val="24"/>
          <w:szCs w:val="24"/>
        </w:rPr>
        <w:t xml:space="preserve">Fussell–Vesely (FV) Importance: </w:t>
      </w:r>
      <w:r>
        <w:rPr>
          <w:rFonts w:ascii="Times New Roman" w:cs="Times New Roman" w:eastAsia="Times New Roman" w:hAnsi="Times New Roman"/>
          <w:sz w:val="24"/>
          <w:szCs w:val="24"/>
        </w:rPr>
        <w:t xml:space="preserve">FV measures the fraction of the total risk that involves cut sets containing the given basic event. A high FV indicates that the event is a significant contributor to the overall risk profile.</w:t>
      </w:r>
    </w:p>
    <w:p>
      <w:pPr>
        <w:spacing w:before="240" w:after="120"/>
        <w:jc w:val="center"/>
      </w:pPr>
      <w:r>
        <w:rPr>
          <w:rFonts w:ascii="Times New Roman" w:cs="Times New Roman" w:eastAsia="Times New Roman" w:hAnsi="Times New Roman"/>
          <w:i/>
          <w:iCs/>
          <w:sz w:val="22"/>
          <w:szCs w:val="22"/>
        </w:rPr>
        <w:t xml:space="preserve">Table 5. Risk importance measures for basic events (RAW, RRW, FV)</w:t>
      </w:r>
    </w:p>
    <w:p>
      <w:pPr>
        <w:spacing w:before="120" w:after="120"/>
        <w:jc w:val="center"/>
      </w:pPr>
      <w:r>
        <w:rPr>
          <w:rFonts w:ascii="Times New Roman" w:cs="Times New Roman" w:eastAsia="Times New Roman" w:hAnsi="Times New Roman"/>
          <w:i/>
          <w:iCs/>
          <w:color w:val="888888"/>
          <w:sz w:val="22"/>
          <w:szCs w:val="22"/>
        </w:rPr>
        <w:t xml:space="preserve">[Table 5. Basic event importance ranking table: Basic Event ID, Description, Heading, Probability, RAW, RRW, FV — sorted by FV or RAW]</w:t>
      </w:r>
    </w:p>
    <w:p>
      <w:pPr>
        <w:spacing w:after="120" w:line="360"/>
        <w:jc w:val="both"/>
      </w:pPr>
      <w:r>
        <w:rPr>
          <w:rFonts w:ascii="Times New Roman" w:cs="Times New Roman" w:eastAsia="Times New Roman" w:hAnsi="Times New Roman"/>
          <w:i/>
          <w:iCs/>
          <w:color w:val="888888"/>
          <w:sz w:val="24"/>
          <w:szCs w:val="24"/>
        </w:rPr>
        <w:t xml:space="preserve">[Discussion of the risk-significance results. Identification of the top-ranked basic events by RAW, RRW, and FV. Interpretation of which failure categories (organizational, human, equipment) dominate the risk profile. Discussion of the implications for emergency response improvement priorities.]</w:t>
      </w:r>
    </w:p>
    <w:p>
      <w:pPr>
        <w:pStyle w:val="Heading2"/>
        <w:spacing w:before="240" w:after="120"/>
      </w:pPr>
      <w:r>
        <w:rPr>
          <w:rFonts w:ascii="Times New Roman" w:cs="Times New Roman" w:eastAsia="Times New Roman" w:hAnsi="Times New Roman"/>
          <w:b/>
          <w:bCs/>
          <w:sz w:val="26"/>
          <w:szCs w:val="26"/>
        </w:rPr>
        <w:t xml:space="preserve">5.4. Cut Set Analysis</w:t>
      </w:r>
    </w:p>
    <w:p>
      <w:pPr>
        <w:spacing w:after="120" w:line="360"/>
        <w:ind w:firstLine="360"/>
        <w:jc w:val="both"/>
      </w:pPr>
      <w:r>
        <w:rPr>
          <w:rFonts w:ascii="Times New Roman" w:cs="Times New Roman" w:eastAsia="Times New Roman" w:hAnsi="Times New Roman"/>
          <w:sz w:val="24"/>
          <w:szCs w:val="24"/>
        </w:rPr>
        <w:t xml:space="preserve">The minimal cut sets of the Level 3 PSA Event Tree/Fault Tree model were identified and ranked by their contribution to total risk. The cut set analysis provides insight into the combinations of basic events that, occurring together, lead to the highest-consequence event tree sequences.</w:t>
      </w:r>
    </w:p>
    <w:p>
      <w:pPr>
        <w:spacing w:before="240" w:after="120"/>
        <w:jc w:val="center"/>
      </w:pPr>
      <w:r>
        <w:rPr>
          <w:rFonts w:ascii="Times New Roman" w:cs="Times New Roman" w:eastAsia="Times New Roman" w:hAnsi="Times New Roman"/>
          <w:i/>
          <w:iCs/>
          <w:sz w:val="22"/>
          <w:szCs w:val="22"/>
        </w:rPr>
        <w:t xml:space="preserve">Table 6. Dominant minimal cut sets ranked by risk contribution</w:t>
      </w:r>
    </w:p>
    <w:p>
      <w:pPr>
        <w:spacing w:before="120" w:after="120"/>
        <w:jc w:val="center"/>
      </w:pPr>
      <w:r>
        <w:rPr>
          <w:rFonts w:ascii="Times New Roman" w:cs="Times New Roman" w:eastAsia="Times New Roman" w:hAnsi="Times New Roman"/>
          <w:i/>
          <w:iCs/>
          <w:color w:val="888888"/>
          <w:sz w:val="22"/>
          <w:szCs w:val="22"/>
        </w:rPr>
        <w:t xml:space="preserve">[Table 6. Top N minimal cut sets: cut set composition, cumulative emergency response time, OALARM, consequence, frequency, and risk contribution]</w:t>
      </w:r>
    </w:p>
    <w:p>
      <w:pPr>
        <w:spacing w:after="120" w:line="360"/>
        <w:jc w:val="both"/>
      </w:pPr>
      <w:r>
        <w:rPr>
          <w:rFonts w:ascii="Times New Roman" w:cs="Times New Roman" w:eastAsia="Times New Roman" w:hAnsi="Times New Roman"/>
          <w:i/>
          <w:iCs/>
          <w:color w:val="888888"/>
          <w:sz w:val="24"/>
          <w:szCs w:val="24"/>
        </w:rPr>
        <w:t xml:space="preserve">[Discussion of the dominant cut sets. Identification of common patterns or recurring basic events across the top cut sets. Discussion of single-point vulnerabilities and common-cause failures. Implications for emergency response system design and procedural improvements.]</w:t>
      </w:r>
    </w:p>
    <w:p>
      <w:pPr>
        <w:pStyle w:val="Heading1"/>
        <w:spacing w:before="240" w:after="120"/>
      </w:pPr>
      <w:r>
        <w:rPr>
          <w:rFonts w:ascii="Times New Roman" w:cs="Times New Roman" w:eastAsia="Times New Roman" w:hAnsi="Times New Roman"/>
          <w:b/>
          <w:bCs/>
          <w:sz w:val="28"/>
          <w:szCs w:val="28"/>
        </w:rPr>
        <w:t xml:space="preserve">6. Discussion</w:t>
      </w:r>
    </w:p>
    <w:p>
      <w:pPr>
        <w:pStyle w:val="Heading2"/>
        <w:spacing w:before="240" w:after="120"/>
      </w:pPr>
      <w:r>
        <w:rPr>
          <w:rFonts w:ascii="Times New Roman" w:cs="Times New Roman" w:eastAsia="Times New Roman" w:hAnsi="Times New Roman"/>
          <w:b/>
          <w:bCs/>
          <w:sz w:val="26"/>
          <w:szCs w:val="26"/>
        </w:rPr>
        <w:t xml:space="preserve">6.1. Methodological Contributions</w:t>
      </w:r>
    </w:p>
    <w:p>
      <w:pPr>
        <w:spacing w:after="120" w:line="360"/>
        <w:ind w:firstLine="360"/>
        <w:jc w:val="both"/>
      </w:pPr>
      <w:r>
        <w:rPr>
          <w:rFonts w:ascii="Times New Roman" w:cs="Times New Roman" w:eastAsia="Times New Roman" w:hAnsi="Times New Roman"/>
          <w:sz w:val="24"/>
          <w:szCs w:val="24"/>
        </w:rPr>
        <w:t xml:space="preserve">The Level 3 PSA ET/FT framework presented in this paper makes several methodological contributions to the field of nuclear safety assessment. First, it provides a structured and systematic approach to incorporating emergency response uncertainty into Level 3 PSA, replacing the conventional deterministic treatment of OALARM with a probabilistic distribution grounded in causal analysis. Second, the integration of fault trees enables the identification of risk-significant basic events within the emergency response chain—information that is not available from parametric uncertainty analysis alone. Third, the framework establishes a clear interface between the emergency response reliability model and the offsite consequence code, facilitating the propagation of uncertainty from organizational and human performance factors through to population risk metrics.</w:t>
      </w:r>
    </w:p>
    <w:p>
      <w:pPr>
        <w:spacing w:after="120" w:line="360"/>
        <w:ind w:firstLine="360"/>
        <w:jc w:val="both"/>
      </w:pPr>
      <w:r>
        <w:rPr>
          <w:rFonts w:ascii="Times New Roman" w:cs="Times New Roman" w:eastAsia="Times New Roman" w:hAnsi="Times New Roman"/>
          <w:sz w:val="24"/>
          <w:szCs w:val="24"/>
        </w:rPr>
        <w:t xml:space="preserve">The ability to derive risk importance measures (RAW, RRW, FV) for emergency response basic events has particular practical significance. These measures can inform regulatory and operator decision-making by identifying which aspects of emergency preparedness have the greatest potential to reduce public risk. For example, if human errors in EAL classification emerge as high-RAW events, this would suggest prioritizing improvements in EAL training and procedure design. If communication system failures dominate the risk profile, this would support investments in communication redundancy and resilience.</w:t>
      </w:r>
    </w:p>
    <w:p>
      <w:pPr>
        <w:pStyle w:val="Heading2"/>
        <w:spacing w:before="240" w:after="120"/>
      </w:pPr>
      <w:r>
        <w:rPr>
          <w:rFonts w:ascii="Times New Roman" w:cs="Times New Roman" w:eastAsia="Times New Roman" w:hAnsi="Times New Roman"/>
          <w:b/>
          <w:bCs/>
          <w:sz w:val="26"/>
          <w:szCs w:val="26"/>
        </w:rPr>
        <w:t xml:space="preserve">6.2. Limitations and Uncertainty</w:t>
      </w:r>
    </w:p>
    <w:p>
      <w:pPr>
        <w:spacing w:after="120" w:line="360"/>
        <w:ind w:firstLine="360"/>
        <w:jc w:val="both"/>
      </w:pPr>
      <w:r>
        <w:rPr>
          <w:rFonts w:ascii="Times New Roman" w:cs="Times New Roman" w:eastAsia="Times New Roman" w:hAnsi="Times New Roman"/>
          <w:sz w:val="24"/>
          <w:szCs w:val="24"/>
        </w:rPr>
        <w:t xml:space="preserve">Several important limitations must be acknowledged. The most significant is the preliminary nature of the fault tree basic event probabilities. The expert judgment estimates used in this study were intended to demonstrate the methodology rather than to produce quantitative safety conclusions. The development of a comprehensive and reliable fault tree—with basic event probabilities grounded in operational data, emergency exercise performance records, and formal expert elicitation—represents a substantial and challenging undertaking. The scope of this effort includes not only the estimation of individual basic event probabilities but also the treatment of dependencies, common-cause failures, and the potential influence of scenario-specific factors (e.g., time of day, weather conditions) on human performance.</w:t>
      </w:r>
    </w:p>
    <w:p>
      <w:pPr>
        <w:spacing w:after="120" w:line="360"/>
        <w:ind w:firstLine="360"/>
        <w:jc w:val="both"/>
      </w:pPr>
      <w:r>
        <w:rPr>
          <w:rFonts w:ascii="Times New Roman" w:cs="Times New Roman" w:eastAsia="Times New Roman" w:hAnsi="Times New Roman"/>
          <w:sz w:val="24"/>
          <w:szCs w:val="24"/>
        </w:rPr>
        <w:t xml:space="preserve">Additionally, the present study is limited to a single early-release ISTC and a single reference site. Comprehensive application of the framework would require analysis of all relevant ISTCs, including late-release scenarios for which a separate event tree structure may be needed. The extension to external events (seismic, flooding) and multi-unit sites introduces additional complexity in both the accident progression and the emergency response dimensions.</w:t>
      </w:r>
    </w:p>
    <w:p>
      <w:pPr>
        <w:spacing w:after="120" w:line="360"/>
        <w:ind w:firstLine="360"/>
        <w:jc w:val="both"/>
      </w:pPr>
      <w:r>
        <w:rPr>
          <w:rFonts w:ascii="Times New Roman" w:cs="Times New Roman" w:eastAsia="Times New Roman" w:hAnsi="Times New Roman"/>
          <w:sz w:val="24"/>
          <w:szCs w:val="24"/>
        </w:rPr>
        <w:t xml:space="preserve">The modeling assumption that emergency response headings occur independently and sequentially is conservative but may not fully capture the actual dynamics of emergency response, in which some actions may proceed in parallel or in which the outcome of one action may influence the performance of subsequent actions. More realistic treatment of these dependencies is an area for future development.</w:t>
      </w:r>
    </w:p>
    <w:p>
      <w:pPr>
        <w:pStyle w:val="Heading2"/>
        <w:spacing w:before="240" w:after="120"/>
      </w:pPr>
      <w:r>
        <w:rPr>
          <w:rFonts w:ascii="Times New Roman" w:cs="Times New Roman" w:eastAsia="Times New Roman" w:hAnsi="Times New Roman"/>
          <w:b/>
          <w:bCs/>
          <w:sz w:val="26"/>
          <w:szCs w:val="26"/>
        </w:rPr>
        <w:t xml:space="preserve">6.3. Future Work</w:t>
      </w:r>
    </w:p>
    <w:p>
      <w:pPr>
        <w:spacing w:after="120" w:line="360"/>
        <w:ind w:firstLine="360"/>
        <w:jc w:val="both"/>
      </w:pPr>
      <w:r>
        <w:rPr>
          <w:rFonts w:ascii="Times New Roman" w:cs="Times New Roman" w:eastAsia="Times New Roman" w:hAnsi="Times New Roman"/>
          <w:sz w:val="24"/>
          <w:szCs w:val="24"/>
        </w:rPr>
        <w:t xml:space="preserve">Several directions for future research are identified:</w:t>
      </w:r>
    </w:p>
    <w:p>
      <w:pPr>
        <w:spacing w:after="120" w:line="360"/>
        <w:jc w:val="both"/>
      </w:pPr>
      <w:r>
        <w:rPr>
          <w:rFonts w:ascii="Times New Roman" w:cs="Times New Roman" w:eastAsia="Times New Roman" w:hAnsi="Times New Roman"/>
          <w:b/>
          <w:bCs/>
          <w:sz w:val="24"/>
          <w:szCs w:val="24"/>
        </w:rPr>
        <w:t xml:space="preserve">(1) Detailed fault tree design and data collection: </w:t>
      </w:r>
      <w:r>
        <w:rPr>
          <w:rFonts w:ascii="Times New Roman" w:cs="Times New Roman" w:eastAsia="Times New Roman" w:hAnsi="Times New Roman"/>
          <w:sz w:val="24"/>
          <w:szCs w:val="24"/>
        </w:rPr>
        <w:t xml:space="preserve">The conceptual fault trees presented in this paper must be refined into detailed, validated fault tree models with basic event probabilities derived from reliable data sources. This represents the most critical near-term task and is expected to be a significant effort encompassing data mining from plant records and emergency exercises, formal expert elicitation, and benchmarking against international experience.</w:t>
      </w:r>
    </w:p>
    <w:p>
      <w:pPr>
        <w:spacing w:after="120" w:line="360"/>
        <w:jc w:val="both"/>
      </w:pPr>
      <w:r>
        <w:rPr>
          <w:rFonts w:ascii="Times New Roman" w:cs="Times New Roman" w:eastAsia="Times New Roman" w:hAnsi="Times New Roman"/>
          <w:b/>
          <w:bCs/>
          <w:sz w:val="24"/>
          <w:szCs w:val="24"/>
        </w:rPr>
        <w:t xml:space="preserve">(2) Extension to all ISTCs: </w:t>
      </w:r>
      <w:r>
        <w:rPr>
          <w:rFonts w:ascii="Times New Roman" w:cs="Times New Roman" w:eastAsia="Times New Roman" w:hAnsi="Times New Roman"/>
          <w:sz w:val="24"/>
          <w:szCs w:val="24"/>
        </w:rPr>
        <w:t xml:space="preserve">Site-level risk quantification requires applying the framework to all source term categories identified in the Level 2 PSA, with appropriate event tree structures for both early- and late-release scenarios.</w:t>
      </w:r>
    </w:p>
    <w:p>
      <w:pPr>
        <w:spacing w:after="120" w:line="360"/>
        <w:jc w:val="both"/>
      </w:pPr>
      <w:r>
        <w:rPr>
          <w:rFonts w:ascii="Times New Roman" w:cs="Times New Roman" w:eastAsia="Times New Roman" w:hAnsi="Times New Roman"/>
          <w:b/>
          <w:bCs/>
          <w:sz w:val="24"/>
          <w:szCs w:val="24"/>
        </w:rPr>
        <w:t xml:space="preserve">(3) Expansion to sheltering and evacuation: </w:t>
      </w:r>
      <w:r>
        <w:rPr>
          <w:rFonts w:ascii="Times New Roman" w:cs="Times New Roman" w:eastAsia="Times New Roman" w:hAnsi="Times New Roman"/>
          <w:sz w:val="24"/>
          <w:szCs w:val="24"/>
        </w:rPr>
        <w:t xml:space="preserve">The current scope is limited to the OALARM determination. The framework can be extended to encompass the subsequent emergency response phases—sheltering, evacuation mobilization, and evacuation execution—by adding additional event tree headings with corresponding fault trees.</w:t>
      </w:r>
    </w:p>
    <w:p>
      <w:pPr>
        <w:spacing w:after="120" w:line="360"/>
        <w:jc w:val="both"/>
      </w:pPr>
      <w:r>
        <w:rPr>
          <w:rFonts w:ascii="Times New Roman" w:cs="Times New Roman" w:eastAsia="Times New Roman" w:hAnsi="Times New Roman"/>
          <w:b/>
          <w:bCs/>
          <w:sz w:val="24"/>
          <w:szCs w:val="24"/>
        </w:rPr>
        <w:t xml:space="preserve">(4) External events and multi-unit considerations: </w:t>
      </w:r>
      <w:r>
        <w:rPr>
          <w:rFonts w:ascii="Times New Roman" w:cs="Times New Roman" w:eastAsia="Times New Roman" w:hAnsi="Times New Roman"/>
          <w:sz w:val="24"/>
          <w:szCs w:val="24"/>
        </w:rPr>
        <w:t xml:space="preserve">Natural hazard initiators (e.g., seismic events, flooding) can simultaneously affect both the accident progression and the emergency response infrastructure, introducing additional dependencies that must be modeled.</w:t>
      </w:r>
    </w:p>
    <w:p>
      <w:pPr>
        <w:spacing w:after="120" w:line="360"/>
        <w:jc w:val="both"/>
      </w:pPr>
      <w:r>
        <w:rPr>
          <w:rFonts w:ascii="Times New Roman" w:cs="Times New Roman" w:eastAsia="Times New Roman" w:hAnsi="Times New Roman"/>
          <w:b/>
          <w:bCs/>
          <w:sz w:val="24"/>
          <w:szCs w:val="24"/>
        </w:rPr>
        <w:t xml:space="preserve">(5) Level 3 Human Reliability Analysis: </w:t>
      </w:r>
      <w:r>
        <w:rPr>
          <w:rFonts w:ascii="Times New Roman" w:cs="Times New Roman" w:eastAsia="Times New Roman" w:hAnsi="Times New Roman"/>
          <w:sz w:val="24"/>
          <w:szCs w:val="24"/>
        </w:rPr>
        <w:t xml:space="preserve">The human actions within the emergency response chain present unique challenges for HRA methods, as they involve decision-making under extreme stress with limited information. The development of HRA methods specifically adapted to the Level 3 emergency response context is an important complementary research area.</w:t>
      </w:r>
    </w:p>
    <w:p>
      <w:pPr>
        <w:pStyle w:val="Heading1"/>
        <w:spacing w:before="240" w:after="120"/>
      </w:pPr>
      <w:r>
        <w:rPr>
          <w:rFonts w:ascii="Times New Roman" w:cs="Times New Roman" w:eastAsia="Times New Roman" w:hAnsi="Times New Roman"/>
          <w:b/>
          <w:bCs/>
          <w:sz w:val="28"/>
          <w:szCs w:val="28"/>
        </w:rPr>
        <w:t xml:space="preserve">7. Conclusions</w:t>
      </w:r>
    </w:p>
    <w:p>
      <w:pPr>
        <w:spacing w:after="120" w:line="360"/>
        <w:ind w:firstLine="360"/>
        <w:jc w:val="both"/>
      </w:pPr>
      <w:r>
        <w:rPr>
          <w:rFonts w:ascii="Times New Roman" w:cs="Times New Roman" w:eastAsia="Times New Roman" w:hAnsi="Times New Roman"/>
          <w:sz w:val="24"/>
          <w:szCs w:val="24"/>
        </w:rPr>
        <w:t xml:space="preserve">This paper has presented a Level 3 PSA Event Tree/Fault Tree framework for the probabilistic assessment of offsite alarm time in nuclear emergency response. The framework decomposes the chain of organizational actions from general emergency declaration to evacuation order into four event tree headings, each modeled with three outcomes (success, delay, failure) and underpinned by a conceptual fault tree that captures the causal factors determining the outcome. The framework interfaces with the MACCS offsite consequence code through the OALARM parameter and enables the computation of population-weighted individual risk and associated risk-significance measures.</w:t>
      </w:r>
    </w:p>
    <w:p>
      <w:pPr>
        <w:spacing w:after="120" w:line="360"/>
        <w:ind w:firstLine="360"/>
        <w:jc w:val="both"/>
      </w:pPr>
      <w:r>
        <w:rPr>
          <w:rFonts w:ascii="Times New Roman" w:cs="Times New Roman" w:eastAsia="Times New Roman" w:hAnsi="Times New Roman"/>
          <w:sz w:val="24"/>
          <w:szCs w:val="24"/>
        </w:rPr>
        <w:t xml:space="preserve">A case study applying the framework to a representative early-release scenario on an OPR1000-type plant has demonstrated the complete analytical process, from event tree/fault tree construction through offsite consequence calculation to risk-significance evaluation. The case study employed preliminary fault tree probabilities based on expert judgment, and consequently the absolute risk values are illustrative rather than definitive. Nevertheless, the case study has established that the framework is capable of producing meaningful probabilistic risk distributions and of identifying the basic events with the greatest influence on public risk through RAW, RRW, and Fussell–Vesely importance measures.</w:t>
      </w:r>
    </w:p>
    <w:p>
      <w:pPr>
        <w:spacing w:after="120" w:line="360"/>
        <w:ind w:firstLine="360"/>
        <w:jc w:val="both"/>
      </w:pPr>
      <w:r>
        <w:rPr>
          <w:rFonts w:ascii="Times New Roman" w:cs="Times New Roman" w:eastAsia="Times New Roman" w:hAnsi="Times New Roman"/>
          <w:sz w:val="24"/>
          <w:szCs w:val="24"/>
        </w:rPr>
        <w:t xml:space="preserve">The principal value of this work lies in its methodological contribution: it provides a structured, reproducible approach to incorporating emergency response uncertainty into Level 3 PSA. The detailed design and validation of the fault trees, the collection of reliable probability data, and the extension to the full scope of source term categories and emergency response phases remain as substantial future tasks. Upon completion of these tasks, the framework is expected to yield quantitatively reliable probabilistic consequence estimates and actionable risk insights that can inform emergency preparedness strategy and regulatory decision-making.</w:t>
      </w:r>
    </w:p>
    <w:p>
      <w:pPr>
        <w:pStyle w:val="Heading1"/>
        <w:spacing w:before="240" w:after="120"/>
      </w:pPr>
      <w:r>
        <w:rPr>
          <w:rFonts w:ascii="Times New Roman" w:cs="Times New Roman" w:eastAsia="Times New Roman" w:hAnsi="Times New Roman"/>
          <w:b/>
          <w:bCs/>
          <w:sz w:val="28"/>
          <w:szCs w:val="28"/>
        </w:rPr>
        <w:t xml:space="preserve">Acknowledgements</w:t>
      </w:r>
    </w:p>
    <w:p>
      <w:pPr>
        <w:spacing w:after="120" w:line="360"/>
        <w:jc w:val="both"/>
      </w:pPr>
      <w:r>
        <w:rPr>
          <w:rFonts w:ascii="Times New Roman" w:cs="Times New Roman" w:eastAsia="Times New Roman" w:hAnsi="Times New Roman"/>
          <w:sz w:val="24"/>
          <w:szCs w:val="24"/>
        </w:rPr>
        <w:t xml:space="preserve">This work was supported by a National Research Foundation of Korea (NRF) grant funded by the Korean government (MSIT: Ministry of Science, ICT) (No. RS-2022-00144405).</w:t>
      </w:r>
    </w:p>
    <w:p>
      <w:pPr>
        <w:pStyle w:val="Heading1"/>
        <w:spacing w:before="240" w:after="120"/>
      </w:pPr>
      <w:r>
        <w:rPr>
          <w:rFonts w:ascii="Times New Roman" w:cs="Times New Roman" w:eastAsia="Times New Roman" w:hAnsi="Times New Roman"/>
          <w:b/>
          <w:bCs/>
          <w:sz w:val="28"/>
          <w:szCs w:val="28"/>
        </w:rPr>
        <w:t xml:space="preserve">References</w:t>
      </w:r>
    </w:p>
    <w:p>
      <w:pPr>
        <w:spacing w:after="60"/>
        <w:jc w:val="both"/>
      </w:pPr>
      <w:r>
        <w:rPr>
          <w:rFonts w:ascii="Times New Roman" w:cs="Times New Roman" w:eastAsia="Times New Roman" w:hAnsi="Times New Roman"/>
          <w:sz w:val="22"/>
          <w:szCs w:val="22"/>
        </w:rPr>
        <w:t xml:space="preserve">[1] US Nuclear Regulatory Commission, NUREG-1935, State-of-the-Art Reactor Consequence Analyses (SOARCA) Report, Washington DC, 2012.</w:t>
      </w:r>
    </w:p>
    <w:p>
      <w:pPr>
        <w:spacing w:after="60"/>
        <w:jc w:val="both"/>
      </w:pPr>
      <w:r>
        <w:rPr>
          <w:rFonts w:ascii="Times New Roman" w:cs="Times New Roman" w:eastAsia="Times New Roman" w:hAnsi="Times New Roman"/>
          <w:sz w:val="22"/>
          <w:szCs w:val="22"/>
        </w:rPr>
        <w:t xml:space="preserve">[2] International Atomic Energy Agency, Probabilistic Safety Assessment for Nuclear Power Plants, Safety Series No. 50-P-4, IAEA, Vienna, 1992.</w:t>
      </w:r>
    </w:p>
    <w:p>
      <w:pPr>
        <w:spacing w:after="60"/>
        <w:jc w:val="both"/>
      </w:pPr>
      <w:r>
        <w:rPr>
          <w:rFonts w:ascii="Times New Roman" w:cs="Times New Roman" w:eastAsia="Times New Roman" w:hAnsi="Times New Roman"/>
          <w:sz w:val="22"/>
          <w:szCs w:val="22"/>
        </w:rPr>
        <w:t xml:space="preserve">[3] Sandia National Laboratories, MACCS User Guide – Version 4.2, SAND2023-01315, Albuquerque, 2023.</w:t>
      </w:r>
    </w:p>
    <w:p>
      <w:pPr>
        <w:spacing w:after="60"/>
        <w:jc w:val="both"/>
      </w:pPr>
      <w:r>
        <w:rPr>
          <w:rFonts w:ascii="Times New Roman" w:cs="Times New Roman" w:eastAsia="Times New Roman" w:hAnsi="Times New Roman"/>
          <w:sz w:val="22"/>
          <w:szCs w:val="22"/>
        </w:rPr>
        <w:t xml:space="preserve">[4] National Radiological Protection Board, COSYMA: A New Programme Package for Accident Consequence Assessment, EUR 13028, Commission of the European Communities, 1991.</w:t>
      </w:r>
    </w:p>
    <w:p>
      <w:pPr>
        <w:spacing w:after="60"/>
        <w:jc w:val="both"/>
      </w:pPr>
      <w:r>
        <w:rPr>
          <w:rFonts w:ascii="Times New Roman" w:cs="Times New Roman" w:eastAsia="Times New Roman" w:hAnsi="Times New Roman"/>
          <w:sz w:val="22"/>
          <w:szCs w:val="22"/>
        </w:rPr>
        <w:t xml:space="preserve">[5] International Atomic Energy Agency, Arrangements for Preparedness for a Nuclear or Radiological Emergency, GSG-2, IAEA, Vienna, 2007.</w:t>
      </w:r>
    </w:p>
    <w:p>
      <w:pPr>
        <w:spacing w:after="60"/>
        <w:jc w:val="both"/>
      </w:pPr>
      <w:r>
        <w:rPr>
          <w:rFonts w:ascii="Times New Roman" w:cs="Times New Roman" w:eastAsia="Times New Roman" w:hAnsi="Times New Roman"/>
          <w:sz w:val="22"/>
          <w:szCs w:val="22"/>
        </w:rPr>
        <w:t xml:space="preserve">[6] US Nuclear Regulatory Commission, NUREG/CR-7155, State-of-the-Art Reactor Consequence Analyses Project: Uncertainty Analysis of the Unmitigated Long-Term Station Blackout of the Peach Bottom Atomic Power Station, Washington DC, 2016.</w:t>
      </w:r>
    </w:p>
    <w:p>
      <w:pPr>
        <w:spacing w:after="60"/>
        <w:jc w:val="both"/>
      </w:pPr>
      <w:r>
        <w:rPr>
          <w:rFonts w:ascii="Times New Roman" w:cs="Times New Roman" w:eastAsia="Times New Roman" w:hAnsi="Times New Roman"/>
          <w:sz w:val="22"/>
          <w:szCs w:val="22"/>
        </w:rPr>
        <w:t xml:space="preserve">[7] US Nuclear Regulatory Commission, NUREG/CR-7245, State-of-the-Art Reactor Consequence Analyses (SOARCA) Project: Sequoyah Integrated Deterministic and Uncertainty Analyses, Washington DC, 2019.</w:t>
      </w:r>
    </w:p>
    <w:p>
      <w:pPr>
        <w:spacing w:after="60"/>
        <w:jc w:val="both"/>
      </w:pPr>
      <w:r>
        <w:rPr>
          <w:rFonts w:ascii="Times New Roman" w:cs="Times New Roman" w:eastAsia="Times New Roman" w:hAnsi="Times New Roman"/>
          <w:sz w:val="22"/>
          <w:szCs w:val="22"/>
        </w:rPr>
        <w:t xml:space="preserve">[8] I. Karanta, T. Tyrväinen, and J. Rossi, Improvements to a Level 3 PSA Event Tree Model and Case Study, VTT Technical Research Centre of Finland, Espoo, Finland, 2016.</w:t>
      </w:r>
    </w:p>
    <w:p>
      <w:pPr>
        <w:spacing w:after="60"/>
        <w:jc w:val="both"/>
      </w:pPr>
      <w:r>
        <w:rPr>
          <w:rFonts w:ascii="Times New Roman" w:cs="Times New Roman" w:eastAsia="Times New Roman" w:hAnsi="Times New Roman"/>
          <w:sz w:val="22"/>
          <w:szCs w:val="22"/>
        </w:rPr>
        <w:t xml:space="preserve">[9] J. Cho, et al., Framework to model severe accident management guidelines into Level 2 probabilistic safety assessment of a nuclear power plant, Reliability Engineering &amp; System Safety, 217, 108076, 2022.</w:t>
      </w:r>
    </w:p>
    <w:p>
      <w:pPr>
        <w:spacing w:after="60"/>
        <w:jc w:val="both"/>
      </w:pPr>
      <w:r>
        <w:rPr>
          <w:rFonts w:ascii="Times New Roman" w:cs="Times New Roman" w:eastAsia="Times New Roman" w:hAnsi="Times New Roman"/>
          <w:sz w:val="22"/>
          <w:szCs w:val="22"/>
        </w:rPr>
        <w:t xml:space="preserve">[10] C. Rabiti, et al., Deployment and Overview of RAVEN as the Risk Analysis Virtual Environment of the RISMC Toolkit, Idaho National Laboratory, INL/CON-13-28291, 2013.</w:t>
      </w:r>
    </w:p>
    <w:p>
      <w:pPr>
        <w:spacing w:after="60"/>
        <w:jc w:val="both"/>
      </w:pPr>
      <w:r>
        <w:rPr>
          <w:rFonts w:ascii="Times New Roman" w:cs="Times New Roman" w:eastAsia="Times New Roman" w:hAnsi="Times New Roman"/>
          <w:sz w:val="22"/>
          <w:szCs w:val="22"/>
        </w:rPr>
        <w:t xml:space="preserve">[11] N. Muhlheim and R. Belles, Dynamic Event Tree Analysis and Its Application to Nuclear Plant Probabilistic Risk Assessment, Proceedings of ANS PSA 2019, 2019.</w:t>
      </w:r>
    </w:p>
    <w:p>
      <w:pPr>
        <w:spacing w:after="60"/>
        <w:jc w:val="both"/>
      </w:pPr>
      <w:r>
        <w:rPr>
          <w:rFonts w:ascii="Times New Roman" w:cs="Times New Roman" w:eastAsia="Times New Roman" w:hAnsi="Times New Roman"/>
          <w:sz w:val="22"/>
          <w:szCs w:val="22"/>
        </w:rPr>
        <w:t xml:space="preserve">[12] International Atomic Energy Agency, Preparedness and Response for a Nuclear or Radiological Emergency, GSR Part 7, IAEA, Vienna, 2015.</w:t>
      </w:r>
    </w:p>
    <w:p>
      <w:pPr>
        <w:spacing w:after="60"/>
        <w:jc w:val="both"/>
      </w:pPr>
      <w:r>
        <w:rPr>
          <w:rFonts w:ascii="Times New Roman" w:cs="Times New Roman" w:eastAsia="Times New Roman" w:hAnsi="Times New Roman"/>
          <w:sz w:val="22"/>
          <w:szCs w:val="22"/>
        </w:rPr>
        <w:t xml:space="preserve">[13] Nuclear Energy Institute, Development of Emergency Action Levels for Non-Passive Reactors, NEI 99-01, Revision 6, 2012.</w:t>
      </w:r>
    </w:p>
    <w:p>
      <w:pPr>
        <w:spacing w:after="60"/>
        <w:jc w:val="both"/>
      </w:pPr>
      <w:r>
        <w:rPr>
          <w:rFonts w:ascii="Times New Roman" w:cs="Times New Roman" w:eastAsia="Times New Roman" w:hAnsi="Times New Roman"/>
          <w:sz w:val="22"/>
          <w:szCs w:val="22"/>
        </w:rPr>
        <w:t xml:space="preserve">[14] National Diet of Japan, The Official Report of The Fukushima Nuclear Accident Independent Investigation Commission, 2012.</w:t>
      </w:r>
    </w:p>
    <w:p>
      <w:pPr>
        <w:spacing w:after="60"/>
        <w:jc w:val="both"/>
      </w:pPr>
      <w:r>
        <w:rPr>
          <w:rFonts w:ascii="Times New Roman" w:cs="Times New Roman" w:eastAsia="Times New Roman" w:hAnsi="Times New Roman"/>
          <w:sz w:val="22"/>
          <w:szCs w:val="22"/>
        </w:rPr>
        <w:t xml:space="preserve">[15] International Atomic Energy Agency, The Fukushima Daiichi Accident: Report by the Director General, IAEA, Vienna, 2015.</w:t>
      </w:r>
    </w:p>
    <w:p>
      <w:pPr>
        <w:spacing w:after="60"/>
        <w:jc w:val="both"/>
      </w:pPr>
      <w:r>
        <w:rPr>
          <w:rFonts w:ascii="Times New Roman" w:cs="Times New Roman" w:eastAsia="Times New Roman" w:hAnsi="Times New Roman"/>
          <w:sz w:val="22"/>
          <w:szCs w:val="22"/>
        </w:rPr>
        <w:t xml:space="preserve">[16] US Nuclear Regulatory Commission, NUREG-1792, Good Practices for Implementing Human Reliability Analysis, Washington DC, 2005.</w:t>
      </w:r>
    </w:p>
    <w:p>
      <w:pPr>
        <w:spacing w:after="60"/>
        <w:jc w:val="both"/>
      </w:pPr>
      <w:r>
        <w:rPr>
          <w:rFonts w:ascii="Times New Roman" w:cs="Times New Roman" w:eastAsia="Times New Roman" w:hAnsi="Times New Roman"/>
          <w:sz w:val="22"/>
          <w:szCs w:val="22"/>
        </w:rPr>
        <w:t xml:space="preserve">[17] C. Lee, W.H. Ha, K. Song, H.K. Kim, and S.Y. Kim, Preliminary Analyses of Nuclear Emergency Response Procedures in Korea for Application to Level 3 Probabilistic Safety Assessment, Transactions of the Korean Nuclear Society Spring Meeting, Jeju, Korea, 2024.</w:t>
      </w:r>
    </w:p>
    <w:p>
      <w:pPr>
        <w:spacing w:after="60"/>
        <w:jc w:val="both"/>
      </w:pPr>
      <w:r>
        <w:rPr>
          <w:rFonts w:ascii="Times New Roman" w:cs="Times New Roman" w:eastAsia="Times New Roman" w:hAnsi="Times New Roman"/>
          <w:sz w:val="22"/>
          <w:szCs w:val="22"/>
        </w:rPr>
        <w:t xml:space="preserve">[18] K. Song, S.Y. Kim, W.H. Ha, and C. Lee, Development of Level 3 PSA Event Tree Model for Determination of Offsite Alarm Time, Transactions of the Korean Nuclear Society Spring Meeting, Jeju, Korea,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Journal Paper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2026-02-12T04:48:07.226Z</dcterms:created>
  <dcterms:modified xsi:type="dcterms:W3CDTF">2026-02-12T04:48:07.227Z</dcterms:modified>
</cp:coreProperties>
</file>

<file path=docProps/custom.xml><?xml version="1.0" encoding="utf-8"?>
<Properties xmlns="http://schemas.openxmlformats.org/officeDocument/2006/custom-properties" xmlns:vt="http://schemas.openxmlformats.org/officeDocument/2006/docPropsVTypes"/>
</file>