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Cost Baseline &amp; Budget Report</w:t>
      </w:r>
    </w:p>
    <w:p w:rsidR="00000000" w:rsidDel="00000000" w:rsidP="00000000" w:rsidRDefault="00000000" w:rsidRPr="00000000" w14:paraId="00000002">
      <w:pPr>
        <w:rPr/>
      </w:pPr>
      <w:r w:rsidDel="00000000" w:rsidR="00000000" w:rsidRPr="00000000">
        <w:rPr>
          <w:b w:val="1"/>
          <w:bCs w:val="1"/>
          <w:rtl w:val="0"/>
        </w:rPr>
        <w:br w:type="textWrapping"/>
        <w:t xml:space="preserve">Project Name</w:t>
      </w:r>
      <w:r w:rsidDel="00000000" w:rsidR="00000000" w:rsidRPr="00000000">
        <w:rPr>
          <w:rtl w:val="0"/>
        </w:rPr>
        <w:t xml:space="preserve">: CryptoFlux - Automated Trading Bot (Release v1.0.0.0) </w:t>
        <w:br w:type="textWrapping"/>
      </w:r>
      <w:r w:rsidDel="00000000" w:rsidR="00000000" w:rsidRPr="00000000">
        <w:rPr>
          <w:b w:val="1"/>
          <w:bCs w:val="1"/>
          <w:rtl w:val="0"/>
        </w:rPr>
        <w:t xml:space="preserve">Date:</w:t>
      </w:r>
      <w:r w:rsidDel="00000000" w:rsidR="00000000" w:rsidRPr="00000000">
        <w:rPr>
          <w:rtl w:val="0"/>
        </w:rPr>
        <w:t xml:space="preserve"> April 24, 2026 </w:t>
        <w:br w:type="textWrapping"/>
      </w:r>
      <w:r w:rsidDel="00000000" w:rsidR="00000000" w:rsidRPr="00000000">
        <w:rPr>
          <w:b w:val="1"/>
          <w:bCs w:val="1"/>
          <w:rtl w:val="0"/>
        </w:rPr>
        <w:t xml:space="preserve">Student Names:</w:t>
      </w:r>
      <w:r w:rsidDel="00000000" w:rsidR="00000000" w:rsidRPr="00000000">
        <w:rPr>
          <w:rtl w:val="0"/>
        </w:rPr>
        <w:t xml:space="preserve"> Syed Waqar, Ali Asadullah Shah, Muhammad </w:t>
        <w:br w:type="textWrapping"/>
      </w:r>
      <w:r w:rsidDel="00000000" w:rsidR="00000000" w:rsidRPr="00000000">
        <w:rPr>
          <w:b w:val="1"/>
          <w:bCs w:val="1"/>
          <w:rtl w:val="0"/>
        </w:rPr>
        <w:t xml:space="preserve">Student Roll Nos</w:t>
      </w:r>
      <w:r w:rsidDel="00000000" w:rsidR="00000000" w:rsidRPr="00000000">
        <w:rPr>
          <w:rtl w:val="0"/>
        </w:rPr>
        <w:t xml:space="preserve">: 24k-8301, 24k-8324, 24k-8305</w:t>
        <w:br w:type="textWrapping"/>
      </w:r>
      <w:r w:rsidDel="00000000" w:rsidR="00000000" w:rsidRPr="00000000">
        <w:rPr>
          <w:b w:val="1"/>
          <w:bCs w:val="1"/>
          <w:rtl w:val="0"/>
        </w:rPr>
        <w:t xml:space="preserve">Currency:</w:t>
      </w:r>
      <w:r w:rsidDel="00000000" w:rsidR="00000000" w:rsidRPr="00000000">
        <w:rPr>
          <w:rtl w:val="0"/>
        </w:rPr>
        <w:t xml:space="preserve"> PKR (Pakistani Rupee)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1. Brief description of the project </w:t>
      </w:r>
    </w:p>
    <w:p w:rsidR="00000000" w:rsidDel="00000000" w:rsidP="00000000" w:rsidRDefault="00000000" w:rsidRPr="00000000" w14:paraId="00000005">
      <w:pPr>
        <w:rPr>
          <w:sz w:val="24"/>
          <w:szCs w:val="24"/>
        </w:rPr>
      </w:pPr>
      <w:r w:rsidDel="00000000" w:rsidR="00000000" w:rsidRPr="00000000">
        <w:rPr>
          <w:sz w:val="24"/>
          <w:szCs w:val="24"/>
          <w:rtl w:val="0"/>
        </w:rPr>
        <w:t xml:space="preserve">A Quality Assurance and testing phase for CryptoFlux, an automated cryptocurrency trading bot. The project focuses on executing manual UI, functional, and API integration tests across core modules (Authentication, Homepage, Market, News, Traders) to ensure financial accuracy and system reliability before the final v1.0.0.0 release. </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2. Executive Summary</w:t>
      </w:r>
    </w:p>
    <w:p w:rsidR="00000000" w:rsidDel="00000000" w:rsidP="00000000" w:rsidRDefault="00000000" w:rsidRPr="00000000" w14:paraId="00000007">
      <w:pPr>
        <w:rPr>
          <w:sz w:val="24"/>
          <w:szCs w:val="24"/>
        </w:rPr>
      </w:pPr>
      <w:r w:rsidDel="00000000" w:rsidR="00000000" w:rsidRPr="00000000">
        <w:rPr>
          <w:sz w:val="24"/>
          <w:szCs w:val="24"/>
          <w:rtl w:val="0"/>
        </w:rPr>
        <w:t xml:space="preserve">This document establishes the approved cost baseline and total budget for the Quality Assurance and testing phase of the CryptoFlux Release v1.0.0.0. It consolidates all direct, indirect, and contingency costs estimated for the project and outlines the time-phased budget execution mapped across the project timeline. </w:t>
      </w:r>
    </w:p>
    <w:p w:rsidR="00000000" w:rsidDel="00000000" w:rsidP="00000000" w:rsidRDefault="00000000" w:rsidRPr="00000000" w14:paraId="00000008">
      <w:pPr>
        <w:rPr>
          <w:sz w:val="28"/>
          <w:szCs w:val="28"/>
        </w:rPr>
      </w:pPr>
      <w:r w:rsidDel="00000000" w:rsidR="00000000" w:rsidRPr="00000000">
        <w:rPr>
          <w:sz w:val="28"/>
          <w:szCs w:val="28"/>
          <w:rtl w:val="0"/>
        </w:rPr>
        <w:t xml:space="preserve">3. Assumptions and Constraints </w:t>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4"/>
          <w:szCs w:val="24"/>
          <w:rtl w:val="0"/>
        </w:rPr>
        <w:t xml:space="preserve">Assumptions</w:t>
      </w:r>
      <w:r w:rsidDel="00000000" w:rsidR="00000000" w:rsidRPr="00000000">
        <w:rPr>
          <w:b w:val="1"/>
          <w:bCs w:val="1"/>
          <w:sz w:val="28"/>
          <w:szCs w:val="28"/>
          <w:rtl w:val="0"/>
        </w:rPr>
        <w:t xml:space="preserve">:</w:t>
      </w:r>
    </w:p>
    <w:p w:rsidR="00000000" w:rsidDel="00000000" w:rsidP="00000000" w:rsidRDefault="00000000" w:rsidRPr="00000000" w14:paraId="0000000A">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Team &amp; Resources:</w:t>
      </w:r>
      <w:r w:rsidDel="00000000" w:rsidR="00000000" w:rsidRPr="00000000">
        <w:rPr>
          <w:sz w:val="24"/>
          <w:szCs w:val="24"/>
          <w:rtl w:val="0"/>
        </w:rPr>
        <w:t xml:space="preserve"> Team consists of 3-4 members playing QA roles. Members are available 20-25 hours/week.</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Tools &amp; Technology:</w:t>
      </w:r>
      <w:r w:rsidDel="00000000" w:rsidR="00000000" w:rsidRPr="00000000">
        <w:rPr>
          <w:sz w:val="24"/>
          <w:szCs w:val="24"/>
          <w:rtl w:val="0"/>
        </w:rPr>
        <w:t xml:space="preserve"> Testing will utilize free/open-source tools or academic licenses (Postman, Excel/Google Sheets, GitHub).</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Dependencies:</w:t>
      </w:r>
      <w:r w:rsidDel="00000000" w:rsidR="00000000" w:rsidRPr="00000000">
        <w:rPr>
          <w:sz w:val="24"/>
          <w:szCs w:val="24"/>
          <w:rtl w:val="0"/>
        </w:rPr>
        <w:t xml:space="preserve"> Sandbox crypto market APIs (for injecting mock pricing data) will remain available and stable.</w:t>
      </w:r>
    </w:p>
    <w:p w:rsidR="00000000" w:rsidDel="00000000" w:rsidP="00000000" w:rsidRDefault="00000000" w:rsidRPr="00000000" w14:paraId="0000000D">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Costing Assumptions:</w:t>
      </w:r>
      <w:r w:rsidDel="00000000" w:rsidR="00000000" w:rsidRPr="00000000">
        <w:rPr>
          <w:sz w:val="24"/>
          <w:szCs w:val="24"/>
          <w:rtl w:val="0"/>
        </w:rPr>
        <w:t xml:space="preserve"> Cost is based on current SQA freelance rates in PKR/hour. No hardware purchases are required as students have their own machines.</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Budget Constraints:</w:t>
      </w:r>
      <w:r w:rsidDel="00000000" w:rsidR="00000000" w:rsidRPr="00000000">
        <w:rPr>
          <w:sz w:val="24"/>
          <w:szCs w:val="24"/>
          <w:rtl w:val="0"/>
        </w:rPr>
        <w:t xml:space="preserve"> Total budget must remain within the estimated baseline. No access to paid premium automation frameworks.</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Time Constraints:</w:t>
      </w:r>
      <w:r w:rsidDel="00000000" w:rsidR="00000000" w:rsidRPr="00000000">
        <w:rPr>
          <w:sz w:val="24"/>
          <w:szCs w:val="24"/>
          <w:rtl w:val="0"/>
        </w:rPr>
        <w:t xml:space="preserve"> Project must be completed within the 5-week academic deadline.</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Technical Constraints:</w:t>
      </w:r>
      <w:r w:rsidDel="00000000" w:rsidR="00000000" w:rsidRPr="00000000">
        <w:rPr>
          <w:sz w:val="24"/>
          <w:szCs w:val="24"/>
          <w:rtl w:val="0"/>
        </w:rPr>
        <w:t xml:space="preserve"> Testing is limited to manual execution and API payload injection; automated CI/CD pipeline testing is excluded.</w:t>
      </w:r>
    </w:p>
    <w:p w:rsidR="00000000" w:rsidDel="00000000" w:rsidP="00000000" w:rsidRDefault="00000000" w:rsidRPr="00000000" w14:paraId="00000013">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Operational Constraints:</w:t>
      </w:r>
      <w:r w:rsidDel="00000000" w:rsidR="00000000" w:rsidRPr="00000000">
        <w:rPr>
          <w:sz w:val="24"/>
          <w:szCs w:val="24"/>
          <w:rtl w:val="0"/>
        </w:rPr>
        <w:t xml:space="preserve"> Real financial transactions cannot be tested; testing must rely entirely on simulated sandbox funds, meaning real-world network fees (gas fees) cannot be perfectly replicated.</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4. Cost Baseline Breakdown </w:t>
      </w:r>
    </w:p>
    <w:sdt>
      <w:sdtPr>
        <w:lock w:val="contentLocked"/>
        <w:id w:val="-1162044711"/>
        <w:tag w:val="goog_rdk_0"/>
      </w:sdtPr>
      <w:sdtContent>
        <w:tbl>
          <w:tblPr>
            <w:tblStyle w:val="Table1"/>
            <w:tblW w:w="1026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240"/>
            <w:gridCol w:w="1605"/>
            <w:gridCol w:w="1200"/>
            <w:gridCol w:w="1665"/>
            <w:gridCol w:w="1470"/>
            <w:tblGridChange w:id="0">
              <w:tblGrid>
                <w:gridCol w:w="1080"/>
                <w:gridCol w:w="3240"/>
                <w:gridCol w:w="1605"/>
                <w:gridCol w:w="1200"/>
                <w:gridCol w:w="166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WBS /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Activity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Direct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Indirect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Contingency 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Total Baseline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Planning &amp; Strategy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78200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Case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119600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 Environment &amp; DB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 API &amp; 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86020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 UI &amp; Exploratory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87400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Defect Retesting &amp; Regression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48760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Closure, Retrospective &amp; Release 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Cost Baseline Accumulation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471200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74880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574080</w:t>
                </w:r>
              </w:p>
            </w:tc>
          </w:tr>
        </w:tbl>
      </w:sdtContent>
    </w:sdt>
    <w:p w:rsidR="00000000" w:rsidDel="00000000" w:rsidP="00000000" w:rsidRDefault="00000000" w:rsidRPr="00000000" w14:paraId="0000004C">
      <w:pPr>
        <w:pStyle w:val="Heading3"/>
        <w:keepNext w:val="0"/>
        <w:keepLines w:val="0"/>
        <w:spacing w:after="80" w:before="280" w:lineRule="auto"/>
        <w:rPr>
          <w:rFonts w:ascii="Cambria" w:cs="Cambria" w:eastAsia="Cambria" w:hAnsi="Cambria"/>
          <w:color w:val="000000"/>
          <w:sz w:val="26"/>
          <w:szCs w:val="26"/>
        </w:rPr>
      </w:pPr>
      <w:bookmarkStart w:colFirst="0" w:colLast="0" w:name="_heading=h.k5zhl6wqbfsi" w:id="0"/>
      <w:bookmarkEnd w:id="0"/>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Rule="auto"/>
        <w:rPr>
          <w:rFonts w:ascii="Cambria" w:cs="Cambria" w:eastAsia="Cambria" w:hAnsi="Cambria"/>
          <w:color w:val="000000"/>
          <w:sz w:val="26"/>
          <w:szCs w:val="26"/>
        </w:rPr>
      </w:pPr>
      <w:bookmarkStart w:colFirst="0" w:colLast="0" w:name="_heading=h.qr1flu387w2f" w:id="1"/>
      <w:bookmarkEnd w:id="1"/>
      <w:r w:rsidDel="00000000" w:rsidR="00000000" w:rsidRPr="00000000">
        <w:rPr>
          <w:rtl w:val="0"/>
        </w:rPr>
      </w:r>
    </w:p>
    <w:p w:rsidR="00000000" w:rsidDel="00000000" w:rsidP="00000000" w:rsidRDefault="00000000" w:rsidRPr="00000000" w14:paraId="0000004E">
      <w:pPr>
        <w:pStyle w:val="Heading3"/>
        <w:keepNext w:val="0"/>
        <w:keepLines w:val="0"/>
        <w:spacing w:after="80" w:before="280" w:lineRule="auto"/>
        <w:rPr>
          <w:rFonts w:ascii="Cambria" w:cs="Cambria" w:eastAsia="Cambria" w:hAnsi="Cambria"/>
          <w:color w:val="000000"/>
          <w:sz w:val="28"/>
          <w:szCs w:val="28"/>
        </w:rPr>
      </w:pPr>
      <w:bookmarkStart w:colFirst="0" w:colLast="0" w:name="_heading=h.9d9ipnru1b4c" w:id="2"/>
      <w:bookmarkEnd w:id="2"/>
      <w:r w:rsidDel="00000000" w:rsidR="00000000" w:rsidRPr="00000000">
        <w:rPr>
          <w:rFonts w:ascii="Cambria" w:cs="Cambria" w:eastAsia="Cambria" w:hAnsi="Cambria"/>
          <w:color w:val="000000"/>
          <w:sz w:val="28"/>
          <w:szCs w:val="28"/>
          <w:rtl w:val="0"/>
        </w:rPr>
        <w:t xml:space="preserve">5. Time-Phased Budget (April - May 2026)</w:t>
      </w:r>
    </w:p>
    <w:p w:rsidR="00000000" w:rsidDel="00000000" w:rsidP="00000000" w:rsidRDefault="00000000" w:rsidRPr="00000000" w14:paraId="0000004F">
      <w:pPr>
        <w:spacing w:after="240" w:before="240" w:lineRule="auto"/>
        <w:rPr>
          <w:sz w:val="28"/>
          <w:szCs w:val="28"/>
        </w:rPr>
      </w:pPr>
      <w:r w:rsidDel="00000000" w:rsidR="00000000" w:rsidRPr="00000000">
        <w:rPr>
          <w:sz w:val="24"/>
          <w:szCs w:val="24"/>
          <w:rtl w:val="0"/>
        </w:rPr>
        <w:t xml:space="preserve">To accurately measure project performance (Earned Value Management), the Cost Baseline is distributed across the timeline as defined in the project milestones.</w:t>
      </w:r>
      <w:r w:rsidDel="00000000" w:rsidR="00000000" w:rsidRPr="00000000">
        <w:rPr>
          <w:rtl w:val="0"/>
        </w:rPr>
      </w:r>
    </w:p>
    <w:sdt>
      <w:sdtPr>
        <w:lock w:val="contentLocked"/>
        <w:id w:val="-178887947"/>
        <w:tag w:val="goog_rdk_1"/>
      </w:sdtPr>
      <w:sdtContent>
        <w:tbl>
          <w:tblPr>
            <w:tblStyle w:val="Table2"/>
            <w:tblW w:w="1083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45"/>
            <w:gridCol w:w="2055"/>
            <w:gridCol w:w="2610"/>
            <w:tblGridChange w:id="0">
              <w:tblGrid>
                <w:gridCol w:w="2520"/>
                <w:gridCol w:w="3645"/>
                <w:gridCol w:w="2055"/>
                <w:gridCol w:w="261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Phase / Week</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Activities Included</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Planned Spend </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Cumulative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Week 1 (Apr 6 - Apr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Test Planning &amp; Case Design (1.1,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197,800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197,800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Week 2 (Apr 13 - Apr 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QA Environment Setup (2.1)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112,700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310,500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Week 3 (Apr 20 - Apr 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API &amp; UI Testing (3.1, 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173,420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483,920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Week 4 (Apr 27 - May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Defect Retesting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48,760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532,680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Week 5 (May 4 - May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Closure &amp; Retrospective (5.1)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41,400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574,080</w:t>
                </w:r>
                <w:r w:rsidDel="00000000" w:rsidR="00000000" w:rsidRPr="00000000">
                  <w:rPr>
                    <w:rtl w:val="0"/>
                  </w:rPr>
                </w:r>
              </w:p>
            </w:tc>
          </w:tr>
        </w:tbl>
      </w:sdtContent>
    </w:sdt>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b w:val="1"/>
          <w:bCs w:val="1"/>
          <w:sz w:val="28"/>
          <w:szCs w:val="28"/>
          <w:rtl w:val="0"/>
        </w:rPr>
        <w:t xml:space="preserve">6. Total Project Budget Approval </w:t>
      </w:r>
      <w:r w:rsidDel="00000000" w:rsidR="00000000" w:rsidRPr="00000000">
        <w:rPr>
          <w:rtl w:val="0"/>
        </w:rPr>
      </w:r>
    </w:p>
    <w:sdt>
      <w:sdtPr>
        <w:lock w:val="contentLocked"/>
        <w:id w:val="-934215443"/>
        <w:tag w:val="goog_rdk_2"/>
      </w:sdtPr>
      <w:sdtContent>
        <w:tbl>
          <w:tblPr>
            <w:tblStyle w:val="Table3"/>
            <w:tblW w:w="999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2415"/>
            <w:tblGridChange w:id="0">
              <w:tblGrid>
                <w:gridCol w:w="7575"/>
                <w:gridCol w:w="2415"/>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Budget Component</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Amount (PKR)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Total Activity Estimates (Direct + Indirect)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499,200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Contingency Reserve (15% for known risks)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74,880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Approved Cost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574,080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Management Reserve (10% for unknown risks)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57,408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Total Approved Project 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631,488</w:t>
                </w:r>
                <w:r w:rsidDel="00000000" w:rsidR="00000000" w:rsidRPr="00000000">
                  <w:rPr>
                    <w:rtl w:val="0"/>
                  </w:rPr>
                </w:r>
              </w:p>
            </w:tc>
          </w:tr>
        </w:tbl>
      </w:sdtContent>
    </w:sdt>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b w:val="1"/>
          <w:bCs w:val="1"/>
          <w:sz w:val="28"/>
          <w:szCs w:val="28"/>
          <w:rtl w:val="0"/>
        </w:rPr>
        <w:t xml:space="preserve">7. Justification of Estimates </w:t>
      </w:r>
    </w:p>
    <w:p w:rsidR="00000000" w:rsidDel="00000000" w:rsidP="00000000" w:rsidRDefault="00000000" w:rsidRPr="00000000" w14:paraId="00000078">
      <w:pPr>
        <w:rPr>
          <w:sz w:val="24"/>
          <w:szCs w:val="24"/>
        </w:rPr>
      </w:pPr>
      <w:r w:rsidDel="00000000" w:rsidR="00000000" w:rsidRPr="00000000">
        <w:rPr>
          <w:sz w:val="24"/>
          <w:szCs w:val="24"/>
          <w:rtl w:val="0"/>
        </w:rPr>
        <w:t xml:space="preserve">Estimates are based on parametric and analogous estimating techniques. Hourly effort is calculated against the 5-week Master Test Plan schedule. Rates are derived from current 2025-2026 freelance SQA market averages in Pakistan (e.g., Test Manager @ PKR 4,000/hr, Test Analyst @ PKR 2,500/hr, Testers @ PKR 1,200/hr). Shared tool costs are factored in as indirect fixed overhead. </w:t>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8. Conclusion </w:t>
      </w:r>
    </w:p>
    <w:p w:rsidR="00000000" w:rsidDel="00000000" w:rsidP="00000000" w:rsidRDefault="00000000" w:rsidRPr="00000000" w14:paraId="0000007A">
      <w:pPr>
        <w:rPr>
          <w:sz w:val="26"/>
          <w:szCs w:val="26"/>
        </w:rPr>
      </w:pPr>
      <w:r w:rsidDel="00000000" w:rsidR="00000000" w:rsidRPr="00000000">
        <w:rPr>
          <w:sz w:val="24"/>
          <w:szCs w:val="24"/>
          <w:rtl w:val="0"/>
        </w:rPr>
        <w:t xml:space="preserve">The Quality Assurance phase for CryptoFlux v1.0.0.0 is financially feasible and well-structured within the proposed budget of 574,080 PKR. The 15% contingency reserve adequately covers operational risks, such as volatile third-party API dependencies or higher-than-expected defect rates that could require extended regression testing cycles.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AU6ffFFbsn50jXgBdH1mud+IA==">CgMxLjAaHwoBMBIaChgICVIUChJ0YWJsZS45cGF0NTdqY2Z1YnQaHwoBMRIaChgICVIUChJ0YWJsZS5mdnkxbnM0aHUxaGEaHwoBMhIaChgICVIUChJ0YWJsZS53YXEwNzB4cmR0eTUyDmguazV6aGw2d3FiZnNpMg5oLnFyMWZsdTM4N3cyZjIOaC45ZDlpcG5ydTFiNGM4AHIhMU1sY21DbUJMdEFldXZsM2tNeDUyR3dzd3p4M0FJNmJE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