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Start Menu with options to play or exit the game.                             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background layout corresponding to the figure in section 4.1 of the requirements document.                                                                                            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starts with a set amount of money, and the money amount increases with each enemy defeated.                                                                                  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starts with a set amount of lives that decrease when an enemy reaches the end of the route.                                                                                          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click a tower type and place the tower by clicking a location on the map.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_________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tower has a graphic, does damage to enemies within a specific range and at a certain speed, and costs a certain amount to place.                           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Enemies, or mobs, have a graphic, hit point amount that decreases as they are hit, and a speed at which they move through the route.                                      _________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Team 11 Checklist</w:t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  <w:t xml:space="preserve">Team 11 Checklist</w:t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  <w:t xml:space="preserve">Bryce Andresen, Ronnie Gallagher, Dat Nguyen, Hoa Nguyen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