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SERVLINK</w:t>
      </w:r>
    </w:p>
    <w:p>
      <w:pPr>
        <w:spacing w:after="400" w:before="120"/>
        <w:jc w:val="center"/>
      </w:pPr>
      <w:r>
        <w:rPr>
          <w:i/>
          <w:iCs/>
          <w:color w:val="595959"/>
          <w:sz w:val="28"/>
          <w:szCs w:val="28"/>
        </w:rPr>
        <w:t xml:space="preserve">AI-Powered Service Execution &amp; Skills-to-Income Platform</w:t>
      </w:r>
    </w:p>
    <w:p>
      <w:pPr>
        <w:jc w:val="center"/>
      </w:pPr>
      <w:r>
        <w:rPr>
          <w:b/>
          <w:bCs/>
          <w:sz w:val="30"/>
          <w:szCs w:val="30"/>
        </w:rPr>
        <w:t xml:space="preserve">Product Requirements Document &amp; Product Bible</w:t>
      </w:r>
    </w:p>
    <w:p>
      <w:pPr>
        <w:spacing w:after="800" w:before="60"/>
        <w:jc w:val="center"/>
      </w:pPr>
      <w:r>
        <w:rPr>
          <w:color w:val="595959"/>
          <w:sz w:val="22"/>
          <w:szCs w:val="22"/>
        </w:rPr>
        <w:t xml:space="preserve">Version 1.0  ·  September 2026  ·  MVP Definition Stage</w:t>
      </w:r>
    </w:p>
    <w:p>
      <w:pPr>
        <w:jc w:val="center"/>
      </w:pPr>
      <w:r>
        <w:rPr>
          <w:sz w:val="20"/>
          <w:szCs w:val="20"/>
        </w:rPr>
        <w:t xml:space="preserve">Prepared for: Qubators AI Foundry, Cohort 2</w:t>
      </w:r>
    </w:p>
    <w:p>
      <w:pPr>
        <w:spacing w:after="60"/>
        <w:jc w:val="center"/>
      </w:pPr>
      <w:r>
        <w:rPr>
          <w:sz w:val="20"/>
          <w:szCs w:val="20"/>
        </w:rPr>
        <w:t xml:space="preserve">Owner: Kedengs Yakong "Yax" Ubayo</w:t>
      </w:r>
    </w:p>
    <w:p>
      <w:r>
        <w:br w:type="page"/>
      </w:r>
    </w:p>
    <w:p>
      <w:pPr>
        <w:pStyle w:val="Heading1"/>
        <w:spacing w:after="160" w:before="360"/>
      </w:pPr>
      <w:r>
        <w:t xml:space="preserve">Contents</w:t>
      </w:r>
    </w:p>
    <w:p>
      <w:pPr>
        <w:spacing w:after="140"/>
        <w:jc w:val="left"/>
      </w:pPr>
      <w:r>
        <w:rPr>
          <w:b w:val="false"/>
          <w:bCs w:val="false"/>
          <w:i w:val="false"/>
          <w:iCs w:val="false"/>
          <w:sz w:val="22"/>
          <w:szCs w:val="22"/>
        </w:rPr>
        <w:t xml:space="preserve">1. Executive Summary</w:t>
      </w:r>
    </w:p>
    <w:p>
      <w:pPr>
        <w:spacing w:after="140"/>
        <w:jc w:val="left"/>
      </w:pPr>
      <w:r>
        <w:rPr>
          <w:b w:val="false"/>
          <w:bCs w:val="false"/>
          <w:i w:val="false"/>
          <w:iCs w:val="false"/>
          <w:sz w:val="22"/>
          <w:szCs w:val="22"/>
        </w:rPr>
        <w:t xml:space="preserve">2. Product Brief</w:t>
      </w:r>
    </w:p>
    <w:p>
      <w:pPr>
        <w:spacing w:after="140"/>
        <w:jc w:val="left"/>
      </w:pPr>
      <w:r>
        <w:rPr>
          <w:b w:val="false"/>
          <w:bCs w:val="false"/>
          <w:i w:val="false"/>
          <w:iCs w:val="false"/>
          <w:sz w:val="22"/>
          <w:szCs w:val="22"/>
        </w:rPr>
        <w:t xml:space="preserve">3. The Problem</w:t>
      </w:r>
    </w:p>
    <w:p>
      <w:pPr>
        <w:spacing w:after="140"/>
        <w:jc w:val="left"/>
      </w:pPr>
      <w:r>
        <w:rPr>
          <w:b w:val="false"/>
          <w:bCs w:val="false"/>
          <w:i w:val="false"/>
          <w:iCs w:val="false"/>
          <w:sz w:val="22"/>
          <w:szCs w:val="22"/>
        </w:rPr>
        <w:t xml:space="preserve">4. Vision</w:t>
      </w:r>
    </w:p>
    <w:p>
      <w:pPr>
        <w:spacing w:after="140"/>
        <w:jc w:val="left"/>
      </w:pPr>
      <w:r>
        <w:rPr>
          <w:b w:val="false"/>
          <w:bCs w:val="false"/>
          <w:i w:val="false"/>
          <w:iCs w:val="false"/>
          <w:sz w:val="22"/>
          <w:szCs w:val="22"/>
        </w:rPr>
        <w:t xml:space="preserve">5. Target Users &amp; Market</w:t>
      </w:r>
    </w:p>
    <w:p>
      <w:pPr>
        <w:spacing w:after="140"/>
        <w:jc w:val="left"/>
      </w:pPr>
      <w:r>
        <w:rPr>
          <w:b w:val="false"/>
          <w:bCs w:val="false"/>
          <w:i w:val="false"/>
          <w:iCs w:val="false"/>
          <w:sz w:val="22"/>
          <w:szCs w:val="22"/>
        </w:rPr>
        <w:t xml:space="preserve">6. MVP Definition (Scope)</w:t>
      </w:r>
    </w:p>
    <w:p>
      <w:pPr>
        <w:spacing w:after="140"/>
        <w:jc w:val="left"/>
      </w:pPr>
      <w:r>
        <w:rPr>
          <w:b w:val="false"/>
          <w:bCs w:val="false"/>
          <w:i w:val="false"/>
          <w:iCs w:val="false"/>
          <w:sz w:val="22"/>
          <w:szCs w:val="22"/>
        </w:rPr>
        <w:t xml:space="preserve">7. Customer Journey</w:t>
      </w:r>
    </w:p>
    <w:p>
      <w:pPr>
        <w:spacing w:after="140"/>
        <w:jc w:val="left"/>
      </w:pPr>
      <w:r>
        <w:rPr>
          <w:b w:val="false"/>
          <w:bCs w:val="false"/>
          <w:i w:val="false"/>
          <w:iCs w:val="false"/>
          <w:sz w:val="22"/>
          <w:szCs w:val="22"/>
        </w:rPr>
        <w:t xml:space="preserve">8. Provider Ecosystem</w:t>
      </w:r>
    </w:p>
    <w:p>
      <w:pPr>
        <w:spacing w:after="140"/>
        <w:jc w:val="left"/>
      </w:pPr>
      <w:r>
        <w:rPr>
          <w:b w:val="false"/>
          <w:bCs w:val="false"/>
          <w:i w:val="false"/>
          <w:iCs w:val="false"/>
          <w:sz w:val="22"/>
          <w:szCs w:val="22"/>
        </w:rPr>
        <w:t xml:space="preserve">9. Validation Strategy</w:t>
      </w:r>
    </w:p>
    <w:p>
      <w:pPr>
        <w:spacing w:after="140"/>
        <w:jc w:val="left"/>
      </w:pPr>
      <w:r>
        <w:rPr>
          <w:b w:val="false"/>
          <w:bCs w:val="false"/>
          <w:i w:val="false"/>
          <w:iCs w:val="false"/>
          <w:sz w:val="22"/>
          <w:szCs w:val="22"/>
        </w:rPr>
        <w:t xml:space="preserve">10. Business Model</w:t>
      </w:r>
    </w:p>
    <w:p>
      <w:pPr>
        <w:spacing w:after="140"/>
        <w:jc w:val="left"/>
      </w:pPr>
      <w:r>
        <w:rPr>
          <w:b w:val="false"/>
          <w:bCs w:val="false"/>
          <w:i w:val="false"/>
          <w:iCs w:val="false"/>
          <w:sz w:val="22"/>
          <w:szCs w:val="22"/>
        </w:rPr>
        <w:t xml:space="preserve">11. Long-Term Roadmap</w:t>
      </w:r>
    </w:p>
    <w:p>
      <w:pPr>
        <w:spacing w:after="140"/>
        <w:jc w:val="left"/>
      </w:pPr>
      <w:r>
        <w:rPr>
          <w:b w:val="false"/>
          <w:bCs w:val="false"/>
          <w:i w:val="false"/>
          <w:iCs w:val="false"/>
          <w:sz w:val="22"/>
          <w:szCs w:val="22"/>
        </w:rPr>
        <w:t xml:space="preserve">12. Risks &amp; Kill Criteria</w:t>
      </w:r>
    </w:p>
    <w:p>
      <w:pPr>
        <w:spacing w:after="140"/>
        <w:jc w:val="left"/>
      </w:pPr>
      <w:r>
        <w:rPr>
          <w:b w:val="false"/>
          <w:bCs w:val="false"/>
          <w:i w:val="false"/>
          <w:iCs w:val="false"/>
          <w:sz w:val="22"/>
          <w:szCs w:val="22"/>
        </w:rPr>
        <w:t xml:space="preserve">13. Glossary</w:t>
      </w:r>
    </w:p>
    <w:p>
      <w:r>
        <w:br w:type="page"/>
      </w:r>
    </w:p>
    <w:p>
      <w:pPr>
        <w:pStyle w:val="Heading1"/>
        <w:spacing w:after="160" w:before="360"/>
      </w:pPr>
      <w:r>
        <w:t xml:space="preserve">1. Executive Summary</w:t>
      </w:r>
    </w:p>
    <w:p>
      <w:pPr>
        <w:pBdr>
          <w:left w:val="single" w:color="1F3864" w:sz="18" w:space="10"/>
        </w:pBdr>
        <w:spacing w:after="200" w:before="120"/>
        <w:ind w:left="200"/>
      </w:pPr>
      <w:r>
        <w:rPr>
          <w:i/>
          <w:iCs/>
          <w:color w:val="1F3864"/>
          <w:sz w:val="24"/>
          <w:szCs w:val="24"/>
        </w:rPr>
        <w:t xml:space="preserve">ServLink is an AI-powered service execution platform that helps people get everyday services done by intelligently connecting them with trusted, capable providers — while giving skilled people a pathway to learn, get verified, receive jobs, and earn.</w:t>
      </w:r>
    </w:p>
    <w:p>
      <w:pPr>
        <w:spacing w:after="140"/>
        <w:jc w:val="left"/>
      </w:pPr>
      <w:r>
        <w:rPr>
          <w:b/>
          <w:bCs/>
          <w:i w:val="false"/>
          <w:iCs w:val="false"/>
          <w:sz w:val="22"/>
          <w:szCs w:val="22"/>
        </w:rPr>
        <w:t xml:space="preserve">Consumer promise: </w:t>
      </w:r>
    </w:p>
    <w:p>
      <w:pPr>
        <w:pBdr>
          <w:left w:val="single" w:color="1F3864" w:sz="18" w:space="10"/>
        </w:pBdr>
        <w:spacing w:after="200" w:before="120"/>
        <w:ind w:left="200"/>
      </w:pPr>
      <w:r>
        <w:rPr>
          <w:i/>
          <w:iCs/>
          <w:color w:val="1F3864"/>
          <w:sz w:val="24"/>
          <w:szCs w:val="24"/>
        </w:rPr>
        <w:t xml:space="preserve">Speak. Match. Book. Done.</w:t>
      </w:r>
    </w:p>
    <w:p>
      <w:pPr>
        <w:spacing w:after="140"/>
        <w:jc w:val="left"/>
      </w:pPr>
      <w:r>
        <w:rPr>
          <w:b w:val="false"/>
          <w:bCs w:val="false"/>
          <w:i w:val="false"/>
          <w:iCs w:val="false"/>
          <w:sz w:val="22"/>
          <w:szCs w:val="22"/>
        </w:rPr>
        <w:t xml:space="preserve">The core idea isn't "finding a service provider." It's turning a person's request into a completed real-world service — end to end, with trust built in at every step.</w:t>
      </w:r>
    </w:p>
    <w:p>
      <w:pPr>
        <w:spacing w:after="140"/>
        <w:jc w:val="left"/>
      </w:pPr>
      <w:r>
        <w:rPr>
          <w:b w:val="false"/>
          <w:bCs w:val="false"/>
          <w:i w:val="false"/>
          <w:iCs w:val="false"/>
          <w:sz w:val="22"/>
          <w:szCs w:val="22"/>
        </w:rPr>
        <w:t xml:space="preserve">This document captures where ServLink stands as it enters Qubators AI Foundry Cohort 2: the confirmed problem, the confirmed first target user, the confirmed MVP scope, and the longer-term vision the MVP is a first step toward.</w:t>
      </w:r>
    </w:p>
    <w:p>
      <w:pPr>
        <w:pStyle w:val="Heading1"/>
        <w:spacing w:after="160" w:before="360"/>
      </w:pPr>
      <w:r>
        <w:t xml:space="preserve">2. Product Brief</w:t>
      </w:r>
    </w:p>
    <w:p>
      <w:pPr>
        <w:pStyle w:val="Heading2"/>
        <w:spacing w:after="120" w:before="240"/>
      </w:pPr>
      <w:r>
        <w:t xml:space="preserve">User</w:t>
      </w:r>
    </w:p>
    <w:p>
      <w:pPr>
        <w:spacing w:after="140"/>
        <w:jc w:val="left"/>
      </w:pPr>
      <w:r>
        <w:rPr>
          <w:b w:val="false"/>
          <w:bCs w:val="false"/>
          <w:i w:val="false"/>
          <w:iCs w:val="false"/>
          <w:sz w:val="22"/>
          <w:szCs w:val="22"/>
        </w:rPr>
        <w:t xml:space="preserve">Anyone who doesn't have a trusted and reliable contact to call for home repair services. Mostly new residents, renters, and visitors with no local network yet.</w:t>
      </w:r>
    </w:p>
    <w:p>
      <w:pPr>
        <w:pStyle w:val="Heading2"/>
        <w:spacing w:after="120" w:before="240"/>
      </w:pPr>
      <w:r>
        <w:t xml:space="preserve">Problem</w:t>
      </w:r>
    </w:p>
    <w:p>
      <w:pPr>
        <w:spacing w:after="140"/>
        <w:jc w:val="left"/>
      </w:pPr>
      <w:r>
        <w:rPr>
          <w:b w:val="false"/>
          <w:bCs w:val="false"/>
          <w:i w:val="false"/>
          <w:iCs w:val="false"/>
          <w:sz w:val="22"/>
          <w:szCs w:val="22"/>
        </w:rPr>
        <w:t xml:space="preserve">No easy way to find trusted service providers quickly. Current options lack verification and accountability, with poor quality assurance.</w:t>
      </w:r>
    </w:p>
    <w:p>
      <w:pPr>
        <w:pStyle w:val="Heading2"/>
        <w:spacing w:after="120" w:before="240"/>
      </w:pPr>
      <w:r>
        <w:t xml:space="preserve">Main Journey</w:t>
      </w:r>
    </w:p>
    <w:p>
      <w:pPr>
        <w:spacing w:after="140"/>
        <w:jc w:val="left"/>
      </w:pPr>
      <w:r>
        <w:rPr>
          <w:b w:val="false"/>
          <w:bCs w:val="false"/>
          <w:i w:val="false"/>
          <w:iCs w:val="false"/>
          <w:sz w:val="22"/>
          <w:szCs w:val="22"/>
        </w:rPr>
        <w:t xml:space="preserve">Request → Match → Confirm → Follow-up. Users indicate what's broken and where they live, they get connected to someone who can fix it, they're told who's coming, and after the job is done, they're asked if it was done well.</w:t>
      </w:r>
    </w:p>
    <w:p>
      <w:pPr>
        <w:pStyle w:val="Heading1"/>
        <w:spacing w:after="160" w:before="360"/>
      </w:pPr>
      <w:r>
        <w:t xml:space="preserve">3. The Problem</w:t>
      </w:r>
    </w:p>
    <w:p>
      <w:pPr>
        <w:spacing w:after="140"/>
        <w:jc w:val="left"/>
      </w:pPr>
      <w:r>
        <w:rPr>
          <w:b w:val="false"/>
          <w:bCs w:val="false"/>
          <w:i w:val="false"/>
          <w:iCs w:val="false"/>
          <w:sz w:val="22"/>
          <w:szCs w:val="22"/>
        </w:rPr>
        <w:t xml:space="preserve">Finding a reliable service provider in Abuja today is fragmented. The typical process looks like:</w:t>
      </w:r>
    </w:p>
    <w:p>
      <w:pPr>
        <w:pBdr>
          <w:left w:val="single" w:color="1F3864" w:sz="18" w:space="10"/>
        </w:pBdr>
        <w:spacing w:after="200" w:before="120"/>
        <w:ind w:left="200"/>
      </w:pPr>
      <w:r>
        <w:rPr>
          <w:i/>
          <w:iCs/>
          <w:color w:val="1F3864"/>
          <w:sz w:val="24"/>
          <w:szCs w:val="24"/>
        </w:rPr>
        <w:t xml:space="preserve">Ask friends → WhatsApp contacts → search social media → call several people → explain the problem repeatedly → negotiate price → wait → hope they show up → deal with uncertainty.</w:t>
      </w:r>
    </w:p>
    <w:p>
      <w:pPr>
        <w:spacing w:after="140"/>
        <w:jc w:val="left"/>
      </w:pPr>
      <w:r>
        <w:rPr>
          <w:b w:val="false"/>
          <w:bCs w:val="false"/>
          <w:i w:val="false"/>
          <w:iCs w:val="false"/>
          <w:sz w:val="22"/>
          <w:szCs w:val="22"/>
        </w:rPr>
        <w:t xml:space="preserve">Research and personal experience point to two distinct failures inside that process, not one:</w:t>
      </w:r>
    </w:p>
    <w:p>
      <w:pPr>
        <w:pStyle w:val="ListParagraph"/>
        <w:numPr>
          <w:ilvl w:val="0"/>
          <w:numId w:val="2"/>
        </w:numPr>
        <w:spacing w:after="80"/>
      </w:pPr>
      <w:r>
        <w:t xml:space="preserve">Discovery failure — hard to find someone reliable in the first place.</w:t>
      </w:r>
    </w:p>
    <w:p>
      <w:pPr>
        <w:pStyle w:val="ListParagraph"/>
        <w:numPr>
          <w:ilvl w:val="0"/>
          <w:numId w:val="2"/>
        </w:numPr>
        <w:spacing w:after="80"/>
      </w:pPr>
      <w:r>
        <w:t xml:space="preserve">Recourse failure — even after a provider is found, no assurance the work will be done properly, and no straightforward way to get it fixed if it isn't.</w:t>
      </w:r>
    </w:p>
    <w:p>
      <w:pPr>
        <w:spacing w:after="140"/>
        <w:jc w:val="left"/>
      </w:pPr>
      <w:r>
        <w:rPr>
          <w:b w:val="false"/>
          <w:bCs w:val="false"/>
          <w:i w:val="false"/>
          <w:iCs w:val="false"/>
          <w:sz w:val="22"/>
          <w:szCs w:val="22"/>
        </w:rPr>
        <w:t xml:space="preserve">Most existing Nigerian competitors address discovery. Almost none specifically address recourse — this is where ServLink can differentiate.</w:t>
      </w:r>
    </w:p>
    <w:p>
      <w:pPr>
        <w:pStyle w:val="Heading2"/>
        <w:spacing w:after="120" w:before="240"/>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Platform</w:t>
            </w:r>
          </w:p>
        </w:tc>
        <w:tc>
          <w:tcPr>
            <w:tcW w:type="dxa" w:w="3800"/>
            <w:shd w:fill="1F3864" w:val="clear"/>
            <w:tcMar>
              <w:top w:type="dxa" w:w="80"/>
              <w:left w:type="dxa" w:w="100"/>
              <w:bottom w:type="dxa" w:w="80"/>
              <w:right w:type="dxa" w:w="100"/>
            </w:tcMar>
          </w:tcPr>
          <w:p>
            <w:r>
              <w:rPr>
                <w:b/>
                <w:bCs/>
                <w:color w:val="FFFFFF"/>
                <w:sz w:val="20"/>
                <w:szCs w:val="20"/>
              </w:rPr>
              <w:t xml:space="preserve">Strength</w:t>
            </w:r>
          </w:p>
        </w:tc>
        <w:tc>
          <w:tcPr>
            <w:tcW w:type="dxa" w:w="3360"/>
            <w:shd w:fill="1F3864" w:val="clear"/>
            <w:tcMar>
              <w:top w:type="dxa" w:w="80"/>
              <w:left w:type="dxa" w:w="100"/>
              <w:bottom w:type="dxa" w:w="80"/>
              <w:right w:type="dxa" w:w="100"/>
            </w:tcMar>
          </w:tcPr>
          <w:p>
            <w:r>
              <w:rPr>
                <w:b/>
                <w:bCs/>
                <w:color w:val="FFFFFF"/>
                <w:sz w:val="20"/>
                <w:szCs w:val="20"/>
              </w:rPr>
              <w:t xml:space="preserve">ServLink's Response</w:t>
            </w:r>
          </w:p>
        </w:tc>
      </w:tr>
      <w:tr>
        <w:tc>
          <w:tcPr>
            <w:tcW w:type="dxa" w:w="2200"/>
            <w:shd w:fill="DCE6F1" w:val="clear"/>
            <w:tcMar>
              <w:top w:type="dxa" w:w="80"/>
              <w:left w:type="dxa" w:w="100"/>
              <w:bottom w:type="dxa" w:w="80"/>
              <w:right w:type="dxa" w:w="100"/>
            </w:tcMar>
          </w:tcPr>
          <w:p>
            <w:r>
              <w:rPr>
                <w:b w:val="false"/>
                <w:bCs w:val="false"/>
                <w:sz w:val="20"/>
                <w:szCs w:val="20"/>
              </w:rPr>
              <w:t xml:space="preserve">CitiTasker</w:t>
            </w:r>
          </w:p>
        </w:tc>
        <w:tc>
          <w:tcPr>
            <w:tcW w:type="dxa" w:w="3800"/>
            <w:shd w:fill="DCE6F1" w:val="clear"/>
            <w:tcMar>
              <w:top w:type="dxa" w:w="80"/>
              <w:left w:type="dxa" w:w="100"/>
              <w:bottom w:type="dxa" w:w="80"/>
              <w:right w:type="dxa" w:w="100"/>
            </w:tcMar>
          </w:tcPr>
          <w:p>
            <w:r>
              <w:rPr>
                <w:b w:val="false"/>
                <w:bCs w:val="false"/>
                <w:sz w:val="20"/>
                <w:szCs w:val="20"/>
              </w:rPr>
              <w:t xml:space="preserve">Local professional directory</w:t>
            </w:r>
          </w:p>
        </w:tc>
        <w:tc>
          <w:tcPr>
            <w:tcW w:type="dxa" w:w="3360"/>
            <w:shd w:fill="DCE6F1" w:val="clear"/>
            <w:tcMar>
              <w:top w:type="dxa" w:w="80"/>
              <w:left w:type="dxa" w:w="100"/>
              <w:bottom w:type="dxa" w:w="80"/>
              <w:right w:type="dxa" w:w="100"/>
            </w:tcMar>
          </w:tcPr>
          <w:p>
            <w:r>
              <w:rPr>
                <w:b w:val="false"/>
                <w:bCs w:val="false"/>
                <w:sz w:val="20"/>
                <w:szCs w:val="20"/>
              </w:rPr>
              <w:t xml:space="preserve">Execution, not just discovery</w:t>
            </w:r>
          </w:p>
        </w:tc>
      </w:tr>
      <w:tr>
        <w:tc>
          <w:tcPr>
            <w:tcW w:type="dxa" w:w="2200"/>
            <w:tcMar>
              <w:top w:type="dxa" w:w="80"/>
              <w:left w:type="dxa" w:w="100"/>
              <w:bottom w:type="dxa" w:w="80"/>
              <w:right w:type="dxa" w:w="100"/>
            </w:tcMar>
          </w:tcPr>
          <w:p>
            <w:r>
              <w:rPr>
                <w:b w:val="false"/>
                <w:bCs w:val="false"/>
                <w:sz w:val="20"/>
                <w:szCs w:val="20"/>
              </w:rPr>
              <w:t xml:space="preserve">Hustlam</w:t>
            </w:r>
          </w:p>
        </w:tc>
        <w:tc>
          <w:tcPr>
            <w:tcW w:type="dxa" w:w="3800"/>
            <w:tcMar>
              <w:top w:type="dxa" w:w="80"/>
              <w:left w:type="dxa" w:w="100"/>
              <w:bottom w:type="dxa" w:w="80"/>
              <w:right w:type="dxa" w:w="100"/>
            </w:tcMar>
          </w:tcPr>
          <w:p>
            <w:r>
              <w:rPr>
                <w:b w:val="false"/>
                <w:bCs w:val="false"/>
                <w:sz w:val="20"/>
                <w:szCs w:val="20"/>
              </w:rPr>
              <w:t xml:space="preserve">Bidding, protected payment</w:t>
            </w:r>
          </w:p>
        </w:tc>
        <w:tc>
          <w:tcPr>
            <w:tcW w:type="dxa" w:w="3360"/>
            <w:tcMar>
              <w:top w:type="dxa" w:w="80"/>
              <w:left w:type="dxa" w:w="100"/>
              <w:bottom w:type="dxa" w:w="80"/>
              <w:right w:type="dxa" w:w="100"/>
            </w:tcMar>
          </w:tcPr>
          <w:p>
            <w:r>
              <w:rPr>
                <w:b w:val="false"/>
                <w:bCs w:val="false"/>
                <w:sz w:val="20"/>
                <w:szCs w:val="20"/>
              </w:rPr>
              <w:t xml:space="preserve">AI matching over price competition</w:t>
            </w:r>
          </w:p>
        </w:tc>
      </w:tr>
      <w:tr>
        <w:tc>
          <w:tcPr>
            <w:tcW w:type="dxa" w:w="2200"/>
            <w:shd w:fill="DCE6F1" w:val="clear"/>
            <w:tcMar>
              <w:top w:type="dxa" w:w="80"/>
              <w:left w:type="dxa" w:w="100"/>
              <w:bottom w:type="dxa" w:w="80"/>
              <w:right w:type="dxa" w:w="100"/>
            </w:tcMar>
          </w:tcPr>
          <w:p>
            <w:r>
              <w:rPr>
                <w:b w:val="false"/>
                <w:bCs w:val="false"/>
                <w:sz w:val="20"/>
                <w:szCs w:val="20"/>
              </w:rPr>
              <w:t xml:space="preserve">Kwikly</w:t>
            </w:r>
          </w:p>
        </w:tc>
        <w:tc>
          <w:tcPr>
            <w:tcW w:type="dxa" w:w="3800"/>
            <w:shd w:fill="DCE6F1" w:val="clear"/>
            <w:tcMar>
              <w:top w:type="dxa" w:w="80"/>
              <w:left w:type="dxa" w:w="100"/>
              <w:bottom w:type="dxa" w:w="80"/>
              <w:right w:type="dxa" w:w="100"/>
            </w:tcMar>
          </w:tcPr>
          <w:p>
            <w:r>
              <w:rPr>
                <w:b w:val="false"/>
                <w:bCs w:val="false"/>
                <w:sz w:val="20"/>
                <w:szCs w:val="20"/>
              </w:rPr>
              <w:t xml:space="preserve">Scale (claims 50K+ providers)</w:t>
            </w:r>
          </w:p>
        </w:tc>
        <w:tc>
          <w:tcPr>
            <w:tcW w:type="dxa" w:w="3360"/>
            <w:shd w:fill="DCE6F1" w:val="clear"/>
            <w:tcMar>
              <w:top w:type="dxa" w:w="80"/>
              <w:left w:type="dxa" w:w="100"/>
              <w:bottom w:type="dxa" w:w="80"/>
              <w:right w:type="dxa" w:w="100"/>
            </w:tcMar>
          </w:tcPr>
          <w:p>
            <w:r>
              <w:rPr>
                <w:b w:val="false"/>
                <w:bCs w:val="false"/>
                <w:sz w:val="20"/>
                <w:szCs w:val="20"/>
              </w:rPr>
              <w:t xml:space="preserve">Trust + operational data over raw scale</w:t>
            </w:r>
          </w:p>
        </w:tc>
      </w:tr>
      <w:tr>
        <w:tc>
          <w:tcPr>
            <w:tcW w:type="dxa" w:w="2200"/>
            <w:tcMar>
              <w:top w:type="dxa" w:w="80"/>
              <w:left w:type="dxa" w:w="100"/>
              <w:bottom w:type="dxa" w:w="80"/>
              <w:right w:type="dxa" w:w="100"/>
            </w:tcMar>
          </w:tcPr>
          <w:p>
            <w:r>
              <w:rPr>
                <w:b w:val="false"/>
                <w:bCs w:val="false"/>
                <w:sz w:val="20"/>
                <w:szCs w:val="20"/>
              </w:rPr>
              <w:t xml:space="preserve">TrustAm</w:t>
            </w:r>
          </w:p>
        </w:tc>
        <w:tc>
          <w:tcPr>
            <w:tcW w:type="dxa" w:w="3800"/>
            <w:tcMar>
              <w:top w:type="dxa" w:w="80"/>
              <w:left w:type="dxa" w:w="100"/>
              <w:bottom w:type="dxa" w:w="80"/>
              <w:right w:type="dxa" w:w="100"/>
            </w:tcMar>
          </w:tcPr>
          <w:p>
            <w:r>
              <w:rPr>
                <w:b w:val="false"/>
                <w:bCs w:val="false"/>
                <w:sz w:val="20"/>
                <w:szCs w:val="20"/>
              </w:rPr>
              <w:t xml:space="preserve">Verification, escrow-style payment</w:t>
            </w:r>
          </w:p>
        </w:tc>
        <w:tc>
          <w:tcPr>
            <w:tcW w:type="dxa" w:w="3360"/>
            <w:tcMar>
              <w:top w:type="dxa" w:w="80"/>
              <w:left w:type="dxa" w:w="100"/>
              <w:bottom w:type="dxa" w:w="80"/>
              <w:right w:type="dxa" w:w="100"/>
            </w:tcMar>
          </w:tcPr>
          <w:p>
            <w:r>
              <w:rPr>
                <w:b w:val="false"/>
                <w:bCs w:val="false"/>
                <w:sz w:val="20"/>
                <w:szCs w:val="20"/>
              </w:rPr>
              <w:t xml:space="preserve">Full transaction lifecycle</w:t>
            </w:r>
          </w:p>
        </w:tc>
      </w:tr>
      <w:tr>
        <w:tc>
          <w:tcPr>
            <w:tcW w:type="dxa" w:w="2200"/>
            <w:shd w:fill="DCE6F1" w:val="clear"/>
            <w:tcMar>
              <w:top w:type="dxa" w:w="80"/>
              <w:left w:type="dxa" w:w="100"/>
              <w:bottom w:type="dxa" w:w="80"/>
              <w:right w:type="dxa" w:w="100"/>
            </w:tcMar>
          </w:tcPr>
          <w:p>
            <w:r>
              <w:rPr>
                <w:b w:val="false"/>
                <w:bCs w:val="false"/>
                <w:sz w:val="20"/>
                <w:szCs w:val="20"/>
              </w:rPr>
              <w:t xml:space="preserve">Vendoh</w:t>
            </w:r>
          </w:p>
        </w:tc>
        <w:tc>
          <w:tcPr>
            <w:tcW w:type="dxa" w:w="3800"/>
            <w:shd w:fill="DCE6F1" w:val="clear"/>
            <w:tcMar>
              <w:top w:type="dxa" w:w="80"/>
              <w:left w:type="dxa" w:w="100"/>
              <w:bottom w:type="dxa" w:w="80"/>
              <w:right w:type="dxa" w:w="100"/>
            </w:tcMar>
          </w:tcPr>
          <w:p>
            <w:r>
              <w:rPr>
                <w:b w:val="false"/>
                <w:bCs w:val="false"/>
                <w:sz w:val="20"/>
                <w:szCs w:val="20"/>
              </w:rPr>
              <w:t xml:space="preserve">Voice-powered discovery (launching)</w:t>
            </w:r>
          </w:p>
        </w:tc>
        <w:tc>
          <w:tcPr>
            <w:tcW w:type="dxa" w:w="3360"/>
            <w:shd w:fill="DCE6F1" w:val="clear"/>
            <w:tcMar>
              <w:top w:type="dxa" w:w="80"/>
              <w:left w:type="dxa" w:w="100"/>
              <w:bottom w:type="dxa" w:w="80"/>
              <w:right w:type="dxa" w:w="100"/>
            </w:tcMar>
          </w:tcPr>
          <w:p>
            <w:r>
              <w:rPr>
                <w:b w:val="false"/>
                <w:bCs w:val="false"/>
                <w:sz w:val="20"/>
                <w:szCs w:val="20"/>
              </w:rPr>
              <w:t xml:space="preserve">Voice + deeper execution, not just discovery</w:t>
            </w:r>
          </w:p>
        </w:tc>
      </w:tr>
      <w:tr>
        <w:tc>
          <w:tcPr>
            <w:tcW w:type="dxa" w:w="2200"/>
            <w:tcMar>
              <w:top w:type="dxa" w:w="80"/>
              <w:left w:type="dxa" w:w="100"/>
              <w:bottom w:type="dxa" w:w="80"/>
              <w:right w:type="dxa" w:w="100"/>
            </w:tcMar>
          </w:tcPr>
          <w:p>
            <w:r>
              <w:rPr>
                <w:b w:val="false"/>
                <w:bCs w:val="false"/>
                <w:sz w:val="20"/>
                <w:szCs w:val="20"/>
              </w:rPr>
              <w:t xml:space="preserve">MyFixam</w:t>
            </w:r>
          </w:p>
        </w:tc>
        <w:tc>
          <w:tcPr>
            <w:tcW w:type="dxa" w:w="3800"/>
            <w:tcMar>
              <w:top w:type="dxa" w:w="80"/>
              <w:left w:type="dxa" w:w="100"/>
              <w:bottom w:type="dxa" w:w="80"/>
              <w:right w:type="dxa" w:w="100"/>
            </w:tcMar>
          </w:tcPr>
          <w:p>
            <w:r>
              <w:rPr>
                <w:b w:val="false"/>
                <w:bCs w:val="false"/>
                <w:sz w:val="20"/>
                <w:szCs w:val="20"/>
              </w:rPr>
              <w:t xml:space="preserve">In-app payment, live tracking</w:t>
            </w:r>
          </w:p>
        </w:tc>
        <w:tc>
          <w:tcPr>
            <w:tcW w:type="dxa" w:w="3360"/>
            <w:tcMar>
              <w:top w:type="dxa" w:w="80"/>
              <w:left w:type="dxa" w:w="100"/>
              <w:bottom w:type="dxa" w:w="80"/>
              <w:right w:type="dxa" w:w="100"/>
            </w:tcMar>
          </w:tcPr>
          <w:p>
            <w:r>
              <w:rPr>
                <w:b w:val="false"/>
                <w:bCs w:val="false"/>
                <w:sz w:val="20"/>
                <w:szCs w:val="20"/>
              </w:rPr>
              <w:t xml:space="preserve">Recourse/rework guarantee</w:t>
            </w:r>
          </w:p>
        </w:tc>
      </w:tr>
      <w:tr>
        <w:tc>
          <w:tcPr>
            <w:tcW w:type="dxa" w:w="2200"/>
            <w:shd w:fill="DCE6F1" w:val="clear"/>
            <w:tcMar>
              <w:top w:type="dxa" w:w="80"/>
              <w:left w:type="dxa" w:w="100"/>
              <w:bottom w:type="dxa" w:w="80"/>
              <w:right w:type="dxa" w:w="100"/>
            </w:tcMar>
          </w:tcPr>
          <w:p>
            <w:r>
              <w:rPr>
                <w:b w:val="false"/>
                <w:bCs w:val="false"/>
                <w:sz w:val="20"/>
                <w:szCs w:val="20"/>
              </w:rPr>
              <w:t xml:space="preserve">Worker.ng</w:t>
            </w:r>
          </w:p>
        </w:tc>
        <w:tc>
          <w:tcPr>
            <w:tcW w:type="dxa" w:w="3800"/>
            <w:shd w:fill="DCE6F1" w:val="clear"/>
            <w:tcMar>
              <w:top w:type="dxa" w:w="80"/>
              <w:left w:type="dxa" w:w="100"/>
              <w:bottom w:type="dxa" w:w="80"/>
              <w:right w:type="dxa" w:w="100"/>
            </w:tcMar>
          </w:tcPr>
          <w:p>
            <w:r>
              <w:rPr>
                <w:b w:val="false"/>
                <w:bCs w:val="false"/>
                <w:sz w:val="20"/>
                <w:szCs w:val="20"/>
              </w:rPr>
              <w:t xml:space="preserve">Free directory</w:t>
            </w:r>
          </w:p>
        </w:tc>
        <w:tc>
          <w:tcPr>
            <w:tcW w:type="dxa" w:w="3360"/>
            <w:shd w:fill="DCE6F1" w:val="clear"/>
            <w:tcMar>
              <w:top w:type="dxa" w:w="80"/>
              <w:left w:type="dxa" w:w="100"/>
              <w:bottom w:type="dxa" w:w="80"/>
              <w:right w:type="dxa" w:w="100"/>
            </w:tcMar>
          </w:tcPr>
          <w:p>
            <w:r>
              <w:rPr>
                <w:b w:val="false"/>
                <w:bCs w:val="false"/>
                <w:sz w:val="20"/>
                <w:szCs w:val="20"/>
              </w:rPr>
              <w:t xml:space="preserve">Verified, accountable matching</w:t>
            </w:r>
          </w:p>
        </w:tc>
      </w:tr>
      <w:tr>
        <w:tc>
          <w:tcPr>
            <w:tcW w:type="dxa" w:w="2200"/>
            <w:tcMar>
              <w:top w:type="dxa" w:w="80"/>
              <w:left w:type="dxa" w:w="100"/>
              <w:bottom w:type="dxa" w:w="80"/>
              <w:right w:type="dxa" w:w="100"/>
            </w:tcMar>
          </w:tcPr>
          <w:p>
            <w:r>
              <w:rPr>
                <w:b w:val="false"/>
                <w:bCs w:val="false"/>
                <w:sz w:val="20"/>
                <w:szCs w:val="20"/>
              </w:rPr>
              <w:t xml:space="preserve">OgaBuild</w:t>
            </w:r>
          </w:p>
        </w:tc>
        <w:tc>
          <w:tcPr>
            <w:tcW w:type="dxa" w:w="3800"/>
            <w:tcMar>
              <w:top w:type="dxa" w:w="80"/>
              <w:left w:type="dxa" w:w="100"/>
              <w:bottom w:type="dxa" w:w="80"/>
              <w:right w:type="dxa" w:w="100"/>
            </w:tcMar>
          </w:tcPr>
          <w:p>
            <w:r>
              <w:rPr>
                <w:b w:val="false"/>
                <w:bCs w:val="false"/>
                <w:sz w:val="20"/>
                <w:szCs w:val="20"/>
              </w:rPr>
              <w:t xml:space="preserve">Reliability scores, staged payment</w:t>
            </w:r>
          </w:p>
        </w:tc>
        <w:tc>
          <w:tcPr>
            <w:tcW w:type="dxa" w:w="3360"/>
            <w:tcMar>
              <w:top w:type="dxa" w:w="80"/>
              <w:left w:type="dxa" w:w="100"/>
              <w:bottom w:type="dxa" w:w="80"/>
              <w:right w:type="dxa" w:w="100"/>
            </w:tcMar>
          </w:tcPr>
          <w:p>
            <w:r>
              <w:rPr>
                <w:b w:val="false"/>
                <w:bCs w:val="false"/>
                <w:sz w:val="20"/>
                <w:szCs w:val="20"/>
              </w:rPr>
              <w:t xml:space="preserve">Abuja-specific density + voice-first</w:t>
            </w:r>
          </w:p>
        </w:tc>
      </w:tr>
      <w:tr>
        <w:tc>
          <w:tcPr>
            <w:tcW w:type="dxa" w:w="2200"/>
            <w:shd w:fill="DCE6F1" w:val="clear"/>
            <w:tcMar>
              <w:top w:type="dxa" w:w="80"/>
              <w:left w:type="dxa" w:w="100"/>
              <w:bottom w:type="dxa" w:w="80"/>
              <w:right w:type="dxa" w:w="100"/>
            </w:tcMar>
          </w:tcPr>
          <w:p>
            <w:r>
              <w:rPr>
                <w:b w:val="false"/>
                <w:bCs w:val="false"/>
                <w:sz w:val="20"/>
                <w:szCs w:val="20"/>
              </w:rPr>
              <w:t xml:space="preserve">Porchplus</w:t>
            </w:r>
          </w:p>
        </w:tc>
        <w:tc>
          <w:tcPr>
            <w:tcW w:type="dxa" w:w="3800"/>
            <w:shd w:fill="DCE6F1" w:val="clear"/>
            <w:tcMar>
              <w:top w:type="dxa" w:w="80"/>
              <w:left w:type="dxa" w:w="100"/>
              <w:bottom w:type="dxa" w:w="80"/>
              <w:right w:type="dxa" w:w="100"/>
            </w:tcMar>
          </w:tcPr>
          <w:p>
            <w:r>
              <w:rPr>
                <w:b w:val="false"/>
                <w:bCs w:val="false"/>
                <w:sz w:val="20"/>
                <w:szCs w:val="20"/>
              </w:rPr>
              <w:t xml:space="preserve">Artisans for renters specifically</w:t>
            </w:r>
          </w:p>
        </w:tc>
        <w:tc>
          <w:tcPr>
            <w:tcW w:type="dxa" w:w="3360"/>
            <w:shd w:fill="DCE6F1" w:val="clear"/>
            <w:tcMar>
              <w:top w:type="dxa" w:w="80"/>
              <w:left w:type="dxa" w:w="100"/>
              <w:bottom w:type="dxa" w:w="80"/>
              <w:right w:type="dxa" w:w="100"/>
            </w:tcMar>
          </w:tcPr>
          <w:p>
            <w:r>
              <w:rPr>
                <w:b w:val="false"/>
                <w:bCs w:val="false"/>
                <w:sz w:val="20"/>
                <w:szCs w:val="20"/>
              </w:rPr>
              <w:t xml:space="preserve">Broader category set + AI concierge</w:t>
            </w:r>
          </w:p>
        </w:tc>
      </w:tr>
    </w:tbl>
    <w:p>
      <w:pPr>
        <w:pStyle w:val="Heading1"/>
        <w:spacing w:after="160" w:before="360"/>
      </w:pPr>
      <w:r>
        <w:t xml:space="preserve">4. Vision</w:t>
      </w:r>
    </w:p>
    <w:p>
      <w:pPr>
        <w:pBdr>
          <w:left w:val="single" w:color="1F3864" w:sz="18" w:space="10"/>
        </w:pBdr>
        <w:spacing w:after="200" w:before="120"/>
        <w:ind w:left="200"/>
      </w:pPr>
      <w:r>
        <w:rPr>
          <w:i/>
          <w:iCs/>
          <w:color w:val="1F3864"/>
          <w:sz w:val="24"/>
          <w:szCs w:val="24"/>
        </w:rPr>
        <w:t xml:space="preserve">To become an intelligent infrastructure for getting everyday services done.</w:t>
      </w:r>
    </w:p>
    <w:p>
      <w:pPr>
        <w:spacing w:after="140"/>
        <w:jc w:val="left"/>
      </w:pPr>
      <w:r>
        <w:rPr>
          <w:b w:val="false"/>
          <w:bCs w:val="false"/>
          <w:i w:val="false"/>
          <w:iCs w:val="false"/>
          <w:sz w:val="22"/>
          <w:szCs w:val="22"/>
        </w:rPr>
        <w:t xml:space="preserve">A user shouldn't have to understand the service marketplace underneath. They simply tell ServLink what they need — in plain language — and ServLink handles the rest: understanding the request, matching supply, coordinating payment, and building trust throughout.</w:t>
      </w:r>
    </w:p>
    <w:p>
      <w:pPr>
        <w:spacing w:after="140"/>
        <w:jc w:val="left"/>
      </w:pPr>
      <w:r>
        <w:rPr>
          <w:b w:val="false"/>
          <w:bCs w:val="false"/>
          <w:i w:val="false"/>
          <w:iCs w:val="false"/>
          <w:sz w:val="22"/>
          <w:szCs w:val="22"/>
        </w:rPr>
        <w:t xml:space="preserve">Long-term, ServLink is not one product but three interconnected layers:</w:t>
      </w:r>
    </w:p>
    <w:p>
      <w:pPr>
        <w:pStyle w:val="ListParagraph"/>
        <w:numPr>
          <w:ilvl w:val="0"/>
          <w:numId w:val="2"/>
        </w:numPr>
        <w:spacing w:after="80"/>
      </w:pPr>
      <w:r>
        <w:t xml:space="preserve">ServLink Consumer — find and book services</w:t>
      </w:r>
    </w:p>
    <w:p>
      <w:pPr>
        <w:pStyle w:val="ListParagraph"/>
        <w:numPr>
          <w:ilvl w:val="0"/>
          <w:numId w:val="2"/>
        </w:numPr>
        <w:spacing w:after="80"/>
      </w:pPr>
      <w:r>
        <w:t xml:space="preserve">ServLink Business — B2B service operations and maintenance management</w:t>
      </w:r>
    </w:p>
    <w:p>
      <w:pPr>
        <w:pStyle w:val="ListParagraph"/>
        <w:numPr>
          <w:ilvl w:val="0"/>
          <w:numId w:val="2"/>
        </w:numPr>
        <w:spacing w:after="80"/>
      </w:pPr>
      <w:r>
        <w:t xml:space="preserve">ServLink Academy — train and activate new service providers, creating supply rather than only discovering it</w:t>
      </w:r>
    </w:p>
    <w:p>
      <w:pPr>
        <w:spacing w:after="140"/>
        <w:jc w:val="left"/>
      </w:pPr>
      <w:r>
        <w:rPr>
          <w:b w:val="false"/>
          <w:bCs w:val="false"/>
          <w:i w:val="false"/>
          <w:iCs w:val="false"/>
          <w:sz w:val="22"/>
          <w:szCs w:val="22"/>
        </w:rPr>
        <w:t xml:space="preserve">These should not all be built at once — see Section 11, Long-Term Roadmap.</w:t>
      </w:r>
    </w:p>
    <w:p>
      <w:pPr>
        <w:pStyle w:val="Heading1"/>
        <w:spacing w:after="160" w:before="360"/>
      </w:pPr>
      <w:r>
        <w:t xml:space="preserve">5. Target Users &amp; Market</w:t>
      </w:r>
    </w:p>
    <w:p>
      <w:pPr>
        <w:pStyle w:val="Heading2"/>
        <w:spacing w:after="120" w:before="240"/>
      </w:pPr>
      <w:r>
        <w:t xml:space="preserve">Primary Beachhead (confirmed)</w:t>
      </w:r>
    </w:p>
    <w:p>
      <w:pPr>
        <w:spacing w:after="140"/>
        <w:jc w:val="left"/>
      </w:pPr>
      <w:r>
        <w:rPr>
          <w:b w:val="false"/>
          <w:bCs w:val="false"/>
          <w:i w:val="false"/>
          <w:iCs w:val="false"/>
          <w:sz w:val="22"/>
          <w:szCs w:val="22"/>
        </w:rPr>
        <w:t xml:space="preserve">People with no established local trusted-artisan network — renters, new relocators to Abuja, and tourists/visitors. The shared trait is the absence of a local trust network, not the renter/tourist label itself.</w:t>
      </w:r>
    </w:p>
    <w:p>
      <w:pPr>
        <w:pStyle w:val="Heading2"/>
        <w:spacing w:after="120" w:before="240"/>
      </w:pPr>
      <w:r>
        <w:t xml:space="preserve">Parked for Phase 2</w:t>
      </w:r>
    </w:p>
    <w:p>
      <w:pPr>
        <w:spacing w:after="140"/>
        <w:jc w:val="left"/>
      </w:pPr>
      <w:r>
        <w:rPr>
          <w:b w:val="false"/>
          <w:bCs w:val="false"/>
          <w:i w:val="false"/>
          <w:iCs w:val="false"/>
          <w:sz w:val="22"/>
          <w:szCs w:val="22"/>
        </w:rPr>
        <w:t xml:space="preserve">Estates and property managers (B2B). Their core pain — coordinating multiple vendors across many units — and their buyer (a manager, not a household) differ enough from the consumer beachhead that building for both at once would likely serve neither well.</w:t>
      </w:r>
    </w:p>
    <w:p>
      <w:pPr>
        <w:pStyle w:val="Heading2"/>
        <w:spacing w:after="120" w:before="240"/>
      </w:pPr>
      <w:r>
        <w:t xml:space="preserve">Launch Zones</w:t>
      </w:r>
    </w:p>
    <w:p>
      <w:pPr>
        <w:spacing w:after="140"/>
        <w:jc w:val="left"/>
      </w:pPr>
      <w:r>
        <w:rPr>
          <w:b w:val="false"/>
          <w:bCs w:val="false"/>
          <w:i w:val="false"/>
          <w:iCs w:val="false"/>
          <w:sz w:val="22"/>
          <w:szCs w:val="22"/>
        </w:rPr>
        <w:t xml:space="preserve">Gwarinpa, Wuse 2, Jabi, Maitama, Asokoro — chosen for marketplace liquidity (enough demand and supply concentrated together), and validated by real estate market data showing young professionals and civil servants concentrated in exactly these areas.</w:t>
      </w:r>
    </w:p>
    <w:p>
      <w:pPr>
        <w:pStyle w:val="Heading2"/>
        <w:spacing w:after="120" w:before="240"/>
      </w:pPr>
      <w:r>
        <w:t xml:space="preserve">Initial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Category</w:t>
            </w:r>
          </w:p>
        </w:tc>
        <w:tc>
          <w:tcPr>
            <w:tcW w:type="dxa" w:w="6360"/>
            <w:shd w:fill="1F3864" w:val="clear"/>
            <w:tcMar>
              <w:top w:type="dxa" w:w="80"/>
              <w:left w:type="dxa" w:w="100"/>
              <w:bottom w:type="dxa" w:w="80"/>
              <w:right w:type="dxa" w:w="100"/>
            </w:tcMar>
          </w:tcPr>
          <w:p>
            <w:r>
              <w:rPr>
                <w:b/>
                <w:bCs/>
                <w:color w:val="FFFFFF"/>
                <w:sz w:val="20"/>
                <w:szCs w:val="20"/>
              </w:rPr>
              <w:t xml:space="preserve">Why it's a priority</w:t>
            </w:r>
          </w:p>
        </w:tc>
      </w:tr>
      <w:tr>
        <w:tc>
          <w:tcPr>
            <w:tcW w:type="dxa" w:w="3000"/>
            <w:shd w:fill="DCE6F1" w:val="clear"/>
            <w:tcMar>
              <w:top w:type="dxa" w:w="80"/>
              <w:left w:type="dxa" w:w="100"/>
              <w:bottom w:type="dxa" w:w="80"/>
              <w:right w:type="dxa" w:w="100"/>
            </w:tcMar>
          </w:tcPr>
          <w:p>
            <w:r>
              <w:rPr>
                <w:b w:val="false"/>
                <w:bCs w:val="false"/>
                <w:sz w:val="20"/>
                <w:szCs w:val="20"/>
              </w:rPr>
              <w:t xml:space="preserve">Plumbing</w:t>
            </w:r>
          </w:p>
        </w:tc>
        <w:tc>
          <w:tcPr>
            <w:tcW w:type="dxa" w:w="6360"/>
            <w:shd w:fill="DCE6F1" w:val="clear"/>
            <w:tcMar>
              <w:top w:type="dxa" w:w="80"/>
              <w:left w:type="dxa" w:w="100"/>
              <w:bottom w:type="dxa" w:w="80"/>
              <w:right w:type="dxa" w:w="100"/>
            </w:tcMar>
          </w:tcPr>
          <w:p>
            <w:r>
              <w:rPr>
                <w:b w:val="false"/>
                <w:bCs w:val="false"/>
                <w:sz w:val="20"/>
                <w:szCs w:val="20"/>
              </w:rPr>
              <w:t xml:space="preserve">High frequency, high urgency, high repeat</w:t>
            </w:r>
          </w:p>
        </w:tc>
      </w:tr>
      <w:tr>
        <w:tc>
          <w:tcPr>
            <w:tcW w:type="dxa" w:w="3000"/>
            <w:tcMar>
              <w:top w:type="dxa" w:w="80"/>
              <w:left w:type="dxa" w:w="100"/>
              <w:bottom w:type="dxa" w:w="80"/>
              <w:right w:type="dxa" w:w="100"/>
            </w:tcMar>
          </w:tcPr>
          <w:p>
            <w:r>
              <w:rPr>
                <w:b w:val="false"/>
                <w:bCs w:val="false"/>
                <w:sz w:val="20"/>
                <w:szCs w:val="20"/>
              </w:rPr>
              <w:t xml:space="preserve">Electrical</w:t>
            </w:r>
          </w:p>
        </w:tc>
        <w:tc>
          <w:tcPr>
            <w:tcW w:type="dxa" w:w="6360"/>
            <w:tcMar>
              <w:top w:type="dxa" w:w="80"/>
              <w:left w:type="dxa" w:w="100"/>
              <w:bottom w:type="dxa" w:w="80"/>
              <w:right w:type="dxa" w:w="100"/>
            </w:tcMar>
          </w:tcPr>
          <w:p>
            <w:r>
              <w:rPr>
                <w:b w:val="false"/>
                <w:bCs w:val="false"/>
                <w:sz w:val="20"/>
                <w:szCs w:val="20"/>
              </w:rPr>
              <w:t xml:space="preserve">High frequency, high urgency, high repeat</w:t>
            </w:r>
          </w:p>
        </w:tc>
      </w:tr>
      <w:tr>
        <w:tc>
          <w:tcPr>
            <w:tcW w:type="dxa" w:w="3000"/>
            <w:shd w:fill="DCE6F1" w:val="clear"/>
            <w:tcMar>
              <w:top w:type="dxa" w:w="80"/>
              <w:left w:type="dxa" w:w="100"/>
              <w:bottom w:type="dxa" w:w="80"/>
              <w:right w:type="dxa" w:w="100"/>
            </w:tcMar>
          </w:tcPr>
          <w:p>
            <w:r>
              <w:rPr>
                <w:b w:val="false"/>
                <w:bCs w:val="false"/>
                <w:sz w:val="20"/>
                <w:szCs w:val="20"/>
              </w:rPr>
              <w:t xml:space="preserve">AC/HVAC</w:t>
            </w:r>
          </w:p>
        </w:tc>
        <w:tc>
          <w:tcPr>
            <w:tcW w:type="dxa" w:w="6360"/>
            <w:shd w:fill="DCE6F1" w:val="clear"/>
            <w:tcMar>
              <w:top w:type="dxa" w:w="80"/>
              <w:left w:type="dxa" w:w="100"/>
              <w:bottom w:type="dxa" w:w="80"/>
              <w:right w:type="dxa" w:w="100"/>
            </w:tcMar>
          </w:tcPr>
          <w:p>
            <w:r>
              <w:rPr>
                <w:b w:val="false"/>
                <w:bCs w:val="false"/>
                <w:sz w:val="20"/>
                <w:szCs w:val="20"/>
              </w:rPr>
              <w:t xml:space="preserve">High frequency, high urgency, high repeat</w:t>
            </w:r>
          </w:p>
        </w:tc>
      </w:tr>
      <w:tr>
        <w:tc>
          <w:tcPr>
            <w:tcW w:type="dxa" w:w="3000"/>
            <w:tcMar>
              <w:top w:type="dxa" w:w="80"/>
              <w:left w:type="dxa" w:w="100"/>
              <w:bottom w:type="dxa" w:w="80"/>
              <w:right w:type="dxa" w:w="100"/>
            </w:tcMar>
          </w:tcPr>
          <w:p>
            <w:r>
              <w:rPr>
                <w:b w:val="false"/>
                <w:bCs w:val="false"/>
                <w:sz w:val="20"/>
                <w:szCs w:val="20"/>
              </w:rPr>
              <w:t xml:space="preserve">Cleaning</w:t>
            </w:r>
          </w:p>
        </w:tc>
        <w:tc>
          <w:tcPr>
            <w:tcW w:type="dxa" w:w="6360"/>
            <w:tcMar>
              <w:top w:type="dxa" w:w="80"/>
              <w:left w:type="dxa" w:w="100"/>
              <w:bottom w:type="dxa" w:w="80"/>
              <w:right w:type="dxa" w:w="100"/>
            </w:tcMar>
          </w:tcPr>
          <w:p>
            <w:r>
              <w:rPr>
                <w:b w:val="false"/>
                <w:bCs w:val="false"/>
                <w:sz w:val="20"/>
                <w:szCs w:val="20"/>
              </w:rPr>
              <w:t xml:space="preserve">High frequency, very high repeat potential</w:t>
            </w:r>
          </w:p>
        </w:tc>
      </w:tr>
      <w:tr>
        <w:tc>
          <w:tcPr>
            <w:tcW w:type="dxa" w:w="3000"/>
            <w:shd w:fill="DCE6F1" w:val="clear"/>
            <w:tcMar>
              <w:top w:type="dxa" w:w="80"/>
              <w:left w:type="dxa" w:w="100"/>
              <w:bottom w:type="dxa" w:w="80"/>
              <w:right w:type="dxa" w:w="100"/>
            </w:tcMar>
          </w:tcPr>
          <w:p>
            <w:r>
              <w:rPr>
                <w:b w:val="false"/>
                <w:bCs w:val="false"/>
                <w:sz w:val="20"/>
                <w:szCs w:val="20"/>
              </w:rPr>
              <w:t xml:space="preserve">Generator/Solar</w:t>
            </w:r>
          </w:p>
        </w:tc>
        <w:tc>
          <w:tcPr>
            <w:tcW w:type="dxa" w:w="6360"/>
            <w:shd w:fill="DCE6F1" w:val="clear"/>
            <w:tcMar>
              <w:top w:type="dxa" w:w="80"/>
              <w:left w:type="dxa" w:w="100"/>
              <w:bottom w:type="dxa" w:w="80"/>
              <w:right w:type="dxa" w:w="100"/>
            </w:tcMar>
          </w:tcPr>
          <w:p>
            <w:r>
              <w:rPr>
                <w:b w:val="false"/>
                <w:bCs w:val="false"/>
                <w:sz w:val="20"/>
                <w:szCs w:val="20"/>
              </w:rPr>
              <w:t xml:space="preserve">Medium frequency, high urgency</w:t>
            </w:r>
          </w:p>
        </w:tc>
      </w:tr>
      <w:tr>
        <w:tc>
          <w:tcPr>
            <w:tcW w:type="dxa" w:w="3000"/>
            <w:tcMar>
              <w:top w:type="dxa" w:w="80"/>
              <w:left w:type="dxa" w:w="100"/>
              <w:bottom w:type="dxa" w:w="80"/>
              <w:right w:type="dxa" w:w="100"/>
            </w:tcMar>
          </w:tcPr>
          <w:p>
            <w:r>
              <w:rPr>
                <w:b w:val="false"/>
                <w:bCs w:val="false"/>
                <w:sz w:val="20"/>
                <w:szCs w:val="20"/>
              </w:rPr>
              <w:t xml:space="preserve">Handyman</w:t>
            </w:r>
          </w:p>
        </w:tc>
        <w:tc>
          <w:tcPr>
            <w:tcW w:type="dxa" w:w="6360"/>
            <w:tcMar>
              <w:top w:type="dxa" w:w="80"/>
              <w:left w:type="dxa" w:w="100"/>
              <w:bottom w:type="dxa" w:w="80"/>
              <w:right w:type="dxa" w:w="100"/>
            </w:tcMar>
          </w:tcPr>
          <w:p>
            <w:r>
              <w:rPr>
                <w:b w:val="false"/>
                <w:bCs w:val="false"/>
                <w:sz w:val="20"/>
                <w:szCs w:val="20"/>
              </w:rPr>
              <w:t xml:space="preserve">Medium frequency, high repeat</w:t>
            </w:r>
          </w:p>
        </w:tc>
      </w:tr>
      <w:tr>
        <w:tc>
          <w:tcPr>
            <w:tcW w:type="dxa" w:w="3000"/>
            <w:shd w:fill="DCE6F1" w:val="clear"/>
            <w:tcMar>
              <w:top w:type="dxa" w:w="80"/>
              <w:left w:type="dxa" w:w="100"/>
              <w:bottom w:type="dxa" w:w="80"/>
              <w:right w:type="dxa" w:w="100"/>
            </w:tcMar>
          </w:tcPr>
          <w:p>
            <w:r>
              <w:rPr>
                <w:b w:val="false"/>
                <w:bCs w:val="false"/>
                <w:sz w:val="20"/>
                <w:szCs w:val="20"/>
              </w:rPr>
              <w:t xml:space="preserve">Moving</w:t>
            </w:r>
          </w:p>
        </w:tc>
        <w:tc>
          <w:tcPr>
            <w:tcW w:type="dxa" w:w="6360"/>
            <w:shd w:fill="DCE6F1" w:val="clear"/>
            <w:tcMar>
              <w:top w:type="dxa" w:w="80"/>
              <w:left w:type="dxa" w:w="100"/>
              <w:bottom w:type="dxa" w:w="80"/>
              <w:right w:type="dxa" w:w="100"/>
            </w:tcMar>
          </w:tcPr>
          <w:p>
            <w:r>
              <w:rPr>
                <w:b w:val="false"/>
                <w:bCs w:val="false"/>
                <w:sz w:val="20"/>
                <w:szCs w:val="20"/>
              </w:rPr>
              <w:t xml:space="preserve">Medium frequency, high urgency, low repeat</w:t>
            </w:r>
          </w:p>
        </w:tc>
      </w:tr>
      <w:tr>
        <w:tc>
          <w:tcPr>
            <w:tcW w:type="dxa" w:w="3000"/>
            <w:tcMar>
              <w:top w:type="dxa" w:w="80"/>
              <w:left w:type="dxa" w:w="100"/>
              <w:bottom w:type="dxa" w:w="80"/>
              <w:right w:type="dxa" w:w="100"/>
            </w:tcMar>
          </w:tcPr>
          <w:p>
            <w:r>
              <w:rPr>
                <w:b w:val="false"/>
                <w:bCs w:val="false"/>
                <w:sz w:val="20"/>
                <w:szCs w:val="20"/>
              </w:rPr>
              <w:t xml:space="preserve">Auto assistance</w:t>
            </w:r>
          </w:p>
        </w:tc>
        <w:tc>
          <w:tcPr>
            <w:tcW w:type="dxa" w:w="6360"/>
            <w:tcMar>
              <w:top w:type="dxa" w:w="80"/>
              <w:left w:type="dxa" w:w="100"/>
              <w:bottom w:type="dxa" w:w="80"/>
              <w:right w:type="dxa" w:w="100"/>
            </w:tcMar>
          </w:tcPr>
          <w:p>
            <w:r>
              <w:rPr>
                <w:b w:val="false"/>
                <w:bCs w:val="false"/>
                <w:sz w:val="20"/>
                <w:szCs w:val="20"/>
              </w:rPr>
              <w:t xml:space="preserve">High frequency, high urgency</w:t>
            </w:r>
          </w:p>
        </w:tc>
      </w:tr>
    </w:tbl>
    <w:p>
      <w:pPr>
        <w:pStyle w:val="Heading1"/>
        <w:spacing w:after="160" w:before="360"/>
      </w:pPr>
      <w:r>
        <w:t xml:space="preserve">6. MVP Definition (Scope)</w:t>
      </w:r>
    </w:p>
    <w:p>
      <w:pPr>
        <w:spacing w:after="140"/>
        <w:jc w:val="left"/>
      </w:pPr>
      <w:r>
        <w:rPr>
          <w:b w:val="false"/>
          <w:bCs w:val="false"/>
          <w:i w:val="false"/>
          <w:iCs w:val="false"/>
          <w:sz w:val="22"/>
          <w:szCs w:val="22"/>
        </w:rPr>
        <w:t xml:space="preserve">Defined using MoSCoW prioritization — sorting every possible feature by how essential it is to testing whether the core idea works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Priority</w:t>
            </w:r>
          </w:p>
        </w:tc>
        <w:tc>
          <w:tcPr>
            <w:tcW w:type="dxa" w:w="6560"/>
            <w:shd w:fill="1F3864" w:val="clear"/>
            <w:tcMar>
              <w:top w:type="dxa" w:w="80"/>
              <w:left w:type="dxa" w:w="100"/>
              <w:bottom w:type="dxa" w:w="80"/>
              <w:right w:type="dxa" w:w="100"/>
            </w:tcMar>
          </w:tcPr>
          <w:p>
            <w:r>
              <w:rPr>
                <w:b/>
                <w:bCs/>
                <w:color w:val="FFFFFF"/>
                <w:sz w:val="20"/>
                <w:szCs w:val="20"/>
              </w:rPr>
              <w:t xml:space="preserve">Features</w:t>
            </w:r>
          </w:p>
        </w:tc>
      </w:tr>
      <w:tr>
        <w:tc>
          <w:tcPr>
            <w:tcW w:type="dxa" w:w="2800"/>
            <w:shd w:fill="DCE6F1" w:val="clear"/>
            <w:tcMar>
              <w:top w:type="dxa" w:w="80"/>
              <w:left w:type="dxa" w:w="100"/>
              <w:bottom w:type="dxa" w:w="80"/>
              <w:right w:type="dxa" w:w="100"/>
            </w:tcMar>
          </w:tcPr>
          <w:p>
            <w:r>
              <w:rPr>
                <w:b w:val="false"/>
                <w:bCs w:val="false"/>
                <w:sz w:val="20"/>
                <w:szCs w:val="20"/>
              </w:rPr>
              <w:t xml:space="preserve">Must Have (Day 1)</w:t>
            </w:r>
          </w:p>
        </w:tc>
        <w:tc>
          <w:tcPr>
            <w:tcW w:type="dxa" w:w="6560"/>
            <w:shd w:fill="DCE6F1" w:val="clear"/>
            <w:tcMar>
              <w:top w:type="dxa" w:w="80"/>
              <w:left w:type="dxa" w:w="100"/>
              <w:bottom w:type="dxa" w:w="80"/>
              <w:right w:type="dxa" w:w="100"/>
            </w:tcMar>
          </w:tcPr>
          <w:p>
            <w:r>
              <w:rPr>
                <w:b w:val="false"/>
                <w:bCs w:val="false"/>
                <w:sz w:val="20"/>
                <w:szCs w:val="20"/>
              </w:rPr>
              <w:t xml:space="preserve">Telegram bot for plain-language requests + location; a small, personally-vetted list of 5–10 providers; matching with confirmation back to the customer; every request logged; post-job follow-up asking if the provider showed up and did the work properly</w:t>
            </w:r>
          </w:p>
        </w:tc>
      </w:tr>
      <w:tr>
        <w:tc>
          <w:tcPr>
            <w:tcW w:type="dxa" w:w="2800"/>
            <w:tcMar>
              <w:top w:type="dxa" w:w="80"/>
              <w:left w:type="dxa" w:w="100"/>
              <w:bottom w:type="dxa" w:w="80"/>
              <w:right w:type="dxa" w:w="100"/>
            </w:tcMar>
          </w:tcPr>
          <w:p>
            <w:r>
              <w:rPr>
                <w:b w:val="false"/>
                <w:bCs w:val="false"/>
                <w:sz w:val="20"/>
                <w:szCs w:val="20"/>
              </w:rPr>
              <w:t xml:space="preserve">Should Have (soon after)</w:t>
            </w:r>
          </w:p>
        </w:tc>
        <w:tc>
          <w:tcPr>
            <w:tcW w:type="dxa" w:w="6560"/>
            <w:tcMar>
              <w:top w:type="dxa" w:w="80"/>
              <w:left w:type="dxa" w:w="100"/>
              <w:bottom w:type="dxa" w:w="80"/>
              <w:right w:type="dxa" w:w="100"/>
            </w:tcMar>
          </w:tcPr>
          <w:p>
            <w:r>
              <w:rPr>
                <w:b w:val="false"/>
                <w:bCs w:val="false"/>
                <w:sz w:val="20"/>
                <w:szCs w:val="20"/>
              </w:rPr>
              <w:t xml:space="preserve">A structured provider list the bot reads from; rule-based matching (category + zone → suggest a provider)</w:t>
            </w:r>
          </w:p>
        </w:tc>
      </w:tr>
      <w:tr>
        <w:tc>
          <w:tcPr>
            <w:tcW w:type="dxa" w:w="2800"/>
            <w:shd w:fill="DCE6F1" w:val="clear"/>
            <w:tcMar>
              <w:top w:type="dxa" w:w="80"/>
              <w:left w:type="dxa" w:w="100"/>
              <w:bottom w:type="dxa" w:w="80"/>
              <w:right w:type="dxa" w:w="100"/>
            </w:tcMar>
          </w:tcPr>
          <w:p>
            <w:r>
              <w:rPr>
                <w:b w:val="false"/>
                <w:bCs w:val="false"/>
                <w:sz w:val="20"/>
                <w:szCs w:val="20"/>
              </w:rPr>
              <w:t xml:space="preserve">Could Have (later — maps to Qubators Weeks 2–4)</w:t>
            </w:r>
          </w:p>
        </w:tc>
        <w:tc>
          <w:tcPr>
            <w:tcW w:type="dxa" w:w="6560"/>
            <w:shd w:fill="DCE6F1" w:val="clear"/>
            <w:tcMar>
              <w:top w:type="dxa" w:w="80"/>
              <w:left w:type="dxa" w:w="100"/>
              <w:bottom w:type="dxa" w:w="80"/>
              <w:right w:type="dxa" w:w="100"/>
            </w:tcMar>
          </w:tcPr>
          <w:p>
            <w:r>
              <w:rPr>
                <w:b w:val="false"/>
                <w:bCs w:val="false"/>
                <w:sz w:val="20"/>
                <w:szCs w:val="20"/>
              </w:rPr>
              <w:t xml:space="preserve">Real AI understanding of free-text requests; a visible rating/reputation system; a formal rework/callback flow</w:t>
            </w:r>
          </w:p>
        </w:tc>
      </w:tr>
      <w:tr>
        <w:tc>
          <w:tcPr>
            <w:tcW w:type="dxa" w:w="2800"/>
            <w:tcMar>
              <w:top w:type="dxa" w:w="80"/>
              <w:left w:type="dxa" w:w="100"/>
              <w:bottom w:type="dxa" w:w="80"/>
              <w:right w:type="dxa" w:w="100"/>
            </w:tcMar>
          </w:tcPr>
          <w:p>
            <w:r>
              <w:rPr>
                <w:b w:val="false"/>
                <w:bCs w:val="false"/>
                <w:sz w:val="20"/>
                <w:szCs w:val="20"/>
              </w:rPr>
              <w:t xml:space="preserve">Won't Have Yet</w:t>
            </w:r>
          </w:p>
        </w:tc>
        <w:tc>
          <w:tcPr>
            <w:tcW w:type="dxa" w:w="6560"/>
            <w:tcMar>
              <w:top w:type="dxa" w:w="80"/>
              <w:left w:type="dxa" w:w="100"/>
              <w:bottom w:type="dxa" w:w="80"/>
              <w:right w:type="dxa" w:w="100"/>
            </w:tcMar>
          </w:tcPr>
          <w:p>
            <w:r>
              <w:rPr>
                <w:b w:val="false"/>
                <w:bCs w:val="false"/>
                <w:sz w:val="20"/>
                <w:szCs w:val="20"/>
              </w:rPr>
              <w:t xml:space="preserve">In-app payments; voice interface; live tracking; property-manager features; more than one city</w:t>
            </w:r>
          </w:p>
        </w:tc>
      </w:tr>
    </w:tbl>
    <w:p>
      <w:pPr>
        <w:pStyle w:val="Heading1"/>
        <w:spacing w:after="160" w:before="360"/>
      </w:pPr>
      <w:r>
        <w:t xml:space="preserve">7. Customer Journey</w:t>
      </w:r>
    </w:p>
    <w:p>
      <w:pPr>
        <w:pStyle w:val="Heading2"/>
        <w:spacing w:after="120" w:before="240"/>
      </w:pPr>
      <w:r>
        <w:t xml:space="preserve">MVP Journey (confirmed)</w:t>
      </w:r>
    </w:p>
    <w:p>
      <w:pPr>
        <w:spacing w:after="140"/>
        <w:jc w:val="left"/>
      </w:pPr>
      <w:r>
        <w:rPr>
          <w:b w:val="false"/>
          <w:bCs w:val="false"/>
          <w:i w:val="false"/>
          <w:iCs w:val="false"/>
          <w:sz w:val="22"/>
          <w:szCs w:val="22"/>
        </w:rPr>
        <w:t xml:space="preserve">Request → Match → Confirm → Follow-up. The customer describes what's broken and where they live; they're connected to a vetted provider; they're told who's coming; after the job, they're asked whether it was done well.</w:t>
      </w:r>
    </w:p>
    <w:p>
      <w:pPr>
        <w:pStyle w:val="Heading2"/>
        <w:spacing w:after="120" w:before="240"/>
      </w:pPr>
      <w:r>
        <w:t xml:space="preserve">Full Long-Term Journey (future vision)</w:t>
      </w:r>
    </w:p>
    <w:p>
      <w:pPr>
        <w:spacing w:after="140"/>
        <w:jc w:val="left"/>
      </w:pPr>
      <w:r>
        <w:rPr>
          <w:b w:val="false"/>
          <w:bCs w:val="false"/>
          <w:i w:val="false"/>
          <w:iCs w:val="false"/>
          <w:sz w:val="22"/>
          <w:szCs w:val="22"/>
        </w:rPr>
        <w:t xml:space="preserve">Tell → Understand → Match → Compare → Book → Pay → Execute → Track → Complete → Review. The MVP proves the middle of this chain works manually before automating and expanding either end of it.</w:t>
      </w:r>
    </w:p>
    <w:p>
      <w:pPr>
        <w:pStyle w:val="Heading1"/>
        <w:spacing w:after="160" w:before="360"/>
      </w:pPr>
      <w:r>
        <w:t xml:space="preserve">8. Provider Ecosystem</w:t>
      </w:r>
    </w:p>
    <w:p>
      <w:pPr>
        <w:spacing w:after="140"/>
        <w:jc w:val="left"/>
      </w:pPr>
      <w:r>
        <w:rPr>
          <w:b w:val="false"/>
          <w:bCs w:val="false"/>
          <w:i w:val="false"/>
          <w:iCs w:val="false"/>
          <w:sz w:val="22"/>
          <w:szCs w:val="22"/>
        </w:rPr>
        <w:t xml:space="preserve">Each provider should eventually have a service identity, not just a listing: skills, categories, location, service radius, availability, verification status, ratings, completed jobs, response/acceptance/cancellation/completion rates, and customer feedback.</w:t>
      </w:r>
    </w:p>
    <w:p>
      <w:pPr>
        <w:pStyle w:val="Heading2"/>
        <w:spacing w:after="120" w:before="240"/>
      </w:pPr>
      <w:r>
        <w:t xml:space="preserve">Provider Tiers</w:t>
      </w:r>
    </w:p>
    <w:p>
      <w:pPr>
        <w:pStyle w:val="ListParagraph"/>
        <w:numPr>
          <w:ilvl w:val="0"/>
          <w:numId w:val="2"/>
        </w:numPr>
        <w:spacing w:after="80"/>
      </w:pPr>
      <w:r>
        <w:t xml:space="preserve">Basic — phone verified</w:t>
      </w:r>
    </w:p>
    <w:p>
      <w:pPr>
        <w:pStyle w:val="ListParagraph"/>
        <w:numPr>
          <w:ilvl w:val="0"/>
          <w:numId w:val="2"/>
        </w:numPr>
        <w:spacing w:after="80"/>
      </w:pPr>
      <w:r>
        <w:t xml:space="preserve">Verified — identity, skill evidence, and references checked</w:t>
      </w:r>
    </w:p>
    <w:p>
      <w:pPr>
        <w:pStyle w:val="ListParagraph"/>
        <w:numPr>
          <w:ilvl w:val="0"/>
          <w:numId w:val="2"/>
        </w:numPr>
        <w:spacing w:after="80"/>
      </w:pPr>
      <w:r>
        <w:t xml:space="preserve">Professional — strong performance history</w:t>
      </w:r>
    </w:p>
    <w:p>
      <w:pPr>
        <w:pStyle w:val="Heading2"/>
        <w:spacing w:after="120" w:before="240"/>
      </w:pPr>
      <w:r>
        <w:t xml:space="preserve">Provider Reliability Score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1F3864" w:val="clear"/>
            <w:tcMar>
              <w:top w:type="dxa" w:w="80"/>
              <w:left w:type="dxa" w:w="100"/>
              <w:bottom w:type="dxa" w:w="80"/>
              <w:right w:type="dxa" w:w="100"/>
            </w:tcMar>
          </w:tcPr>
          <w:p>
            <w:r>
              <w:rPr>
                <w:b/>
                <w:bCs/>
                <w:color w:val="FFFFFF"/>
                <w:sz w:val="20"/>
                <w:szCs w:val="20"/>
              </w:rPr>
              <w:t xml:space="preserve">Factor</w:t>
            </w:r>
          </w:p>
        </w:tc>
        <w:tc>
          <w:tcPr>
            <w:tcW w:type="dxa" w:w="4360"/>
            <w:shd w:fill="1F3864" w:val="clear"/>
            <w:tcMar>
              <w:top w:type="dxa" w:w="80"/>
              <w:left w:type="dxa" w:w="100"/>
              <w:bottom w:type="dxa" w:w="80"/>
              <w:right w:type="dxa" w:w="100"/>
            </w:tcMar>
          </w:tcPr>
          <w:p>
            <w:r>
              <w:rPr>
                <w:b/>
                <w:bCs/>
                <w:color w:val="FFFFFF"/>
                <w:sz w:val="20"/>
                <w:szCs w:val="20"/>
              </w:rPr>
              <w:t xml:space="preserve">Weight</w:t>
            </w:r>
          </w:p>
        </w:tc>
      </w:tr>
      <w:tr>
        <w:tc>
          <w:tcPr>
            <w:tcW w:type="dxa" w:w="5000"/>
            <w:shd w:fill="DCE6F1" w:val="clear"/>
            <w:tcMar>
              <w:top w:type="dxa" w:w="80"/>
              <w:left w:type="dxa" w:w="100"/>
              <w:bottom w:type="dxa" w:w="80"/>
              <w:right w:type="dxa" w:w="100"/>
            </w:tcMar>
          </w:tcPr>
          <w:p>
            <w:r>
              <w:rPr>
                <w:b w:val="false"/>
                <w:bCs w:val="false"/>
                <w:sz w:val="20"/>
                <w:szCs w:val="20"/>
              </w:rPr>
              <w:t xml:space="preserve">Customer rating</w:t>
            </w:r>
          </w:p>
        </w:tc>
        <w:tc>
          <w:tcPr>
            <w:tcW w:type="dxa" w:w="4360"/>
            <w:shd w:fill="DCE6F1" w:val="clear"/>
            <w:tcMar>
              <w:top w:type="dxa" w:w="80"/>
              <w:left w:type="dxa" w:w="100"/>
              <w:bottom w:type="dxa" w:w="80"/>
              <w:right w:type="dxa" w:w="100"/>
            </w:tcMar>
          </w:tcPr>
          <w:p>
            <w:r>
              <w:rPr>
                <w:b w:val="false"/>
                <w:bCs w:val="false"/>
                <w:sz w:val="20"/>
                <w:szCs w:val="20"/>
              </w:rPr>
              <w:t xml:space="preserve">25%</w:t>
            </w:r>
          </w:p>
        </w:tc>
      </w:tr>
      <w:tr>
        <w:tc>
          <w:tcPr>
            <w:tcW w:type="dxa" w:w="5000"/>
            <w:tcMar>
              <w:top w:type="dxa" w:w="80"/>
              <w:left w:type="dxa" w:w="100"/>
              <w:bottom w:type="dxa" w:w="80"/>
              <w:right w:type="dxa" w:w="100"/>
            </w:tcMar>
          </w:tcPr>
          <w:p>
            <w:r>
              <w:rPr>
                <w:b w:val="false"/>
                <w:bCs w:val="false"/>
                <w:sz w:val="20"/>
                <w:szCs w:val="20"/>
              </w:rPr>
              <w:t xml:space="preserve">Completion rate</w:t>
            </w:r>
          </w:p>
        </w:tc>
        <w:tc>
          <w:tcPr>
            <w:tcW w:type="dxa" w:w="4360"/>
            <w:tcMar>
              <w:top w:type="dxa" w:w="80"/>
              <w:left w:type="dxa" w:w="100"/>
              <w:bottom w:type="dxa" w:w="80"/>
              <w:right w:type="dxa" w:w="100"/>
            </w:tcMar>
          </w:tcPr>
          <w:p>
            <w:r>
              <w:rPr>
                <w:b w:val="false"/>
                <w:bCs w:val="false"/>
                <w:sz w:val="20"/>
                <w:szCs w:val="20"/>
              </w:rPr>
              <w:t xml:space="preserve">20%</w:t>
            </w:r>
          </w:p>
        </w:tc>
      </w:tr>
      <w:tr>
        <w:tc>
          <w:tcPr>
            <w:tcW w:type="dxa" w:w="5000"/>
            <w:shd w:fill="DCE6F1" w:val="clear"/>
            <w:tcMar>
              <w:top w:type="dxa" w:w="80"/>
              <w:left w:type="dxa" w:w="100"/>
              <w:bottom w:type="dxa" w:w="80"/>
              <w:right w:type="dxa" w:w="100"/>
            </w:tcMar>
          </w:tcPr>
          <w:p>
            <w:r>
              <w:rPr>
                <w:b w:val="false"/>
                <w:bCs w:val="false"/>
                <w:sz w:val="20"/>
                <w:szCs w:val="20"/>
              </w:rPr>
              <w:t xml:space="preserve">Acceptance rate</w:t>
            </w:r>
          </w:p>
        </w:tc>
        <w:tc>
          <w:tcPr>
            <w:tcW w:type="dxa" w:w="4360"/>
            <w:shd w:fill="DCE6F1" w:val="clear"/>
            <w:tcMar>
              <w:top w:type="dxa" w:w="80"/>
              <w:left w:type="dxa" w:w="100"/>
              <w:bottom w:type="dxa" w:w="80"/>
              <w:right w:type="dxa" w:w="100"/>
            </w:tcMar>
          </w:tcPr>
          <w:p>
            <w:r>
              <w:rPr>
                <w:b w:val="false"/>
                <w:bCs w:val="false"/>
                <w:sz w:val="20"/>
                <w:szCs w:val="20"/>
              </w:rPr>
              <w:t xml:space="preserve">15%</w:t>
            </w:r>
          </w:p>
        </w:tc>
      </w:tr>
      <w:tr>
        <w:tc>
          <w:tcPr>
            <w:tcW w:type="dxa" w:w="5000"/>
            <w:tcMar>
              <w:top w:type="dxa" w:w="80"/>
              <w:left w:type="dxa" w:w="100"/>
              <w:bottom w:type="dxa" w:w="80"/>
              <w:right w:type="dxa" w:w="100"/>
            </w:tcMar>
          </w:tcPr>
          <w:p>
            <w:r>
              <w:rPr>
                <w:b w:val="false"/>
                <w:bCs w:val="false"/>
                <w:sz w:val="20"/>
                <w:szCs w:val="20"/>
              </w:rPr>
              <w:t xml:space="preserve">Punctuality</w:t>
            </w:r>
          </w:p>
        </w:tc>
        <w:tc>
          <w:tcPr>
            <w:tcW w:type="dxa" w:w="4360"/>
            <w:tcMar>
              <w:top w:type="dxa" w:w="80"/>
              <w:left w:type="dxa" w:w="100"/>
              <w:bottom w:type="dxa" w:w="80"/>
              <w:right w:type="dxa" w:w="100"/>
            </w:tcMar>
          </w:tcPr>
          <w:p>
            <w:r>
              <w:rPr>
                <w:b w:val="false"/>
                <w:bCs w:val="false"/>
                <w:sz w:val="20"/>
                <w:szCs w:val="20"/>
              </w:rPr>
              <w:t xml:space="preserve">15%</w:t>
            </w:r>
          </w:p>
        </w:tc>
      </w:tr>
      <w:tr>
        <w:tc>
          <w:tcPr>
            <w:tcW w:type="dxa" w:w="5000"/>
            <w:shd w:fill="DCE6F1" w:val="clear"/>
            <w:tcMar>
              <w:top w:type="dxa" w:w="80"/>
              <w:left w:type="dxa" w:w="100"/>
              <w:bottom w:type="dxa" w:w="80"/>
              <w:right w:type="dxa" w:w="100"/>
            </w:tcMar>
          </w:tcPr>
          <w:p>
            <w:r>
              <w:rPr>
                <w:b w:val="false"/>
                <w:bCs w:val="false"/>
                <w:sz w:val="20"/>
                <w:szCs w:val="20"/>
              </w:rPr>
              <w:t xml:space="preserve">Cancellation rate</w:t>
            </w:r>
          </w:p>
        </w:tc>
        <w:tc>
          <w:tcPr>
            <w:tcW w:type="dxa" w:w="4360"/>
            <w:shd w:fill="DCE6F1" w:val="clear"/>
            <w:tcMar>
              <w:top w:type="dxa" w:w="80"/>
              <w:left w:type="dxa" w:w="100"/>
              <w:bottom w:type="dxa" w:w="80"/>
              <w:right w:type="dxa" w:w="100"/>
            </w:tcMar>
          </w:tcPr>
          <w:p>
            <w:r>
              <w:rPr>
                <w:b w:val="false"/>
                <w:bCs w:val="false"/>
                <w:sz w:val="20"/>
                <w:szCs w:val="20"/>
              </w:rPr>
              <w:t xml:space="preserve">10%</w:t>
            </w:r>
          </w:p>
        </w:tc>
      </w:tr>
      <w:tr>
        <w:tc>
          <w:tcPr>
            <w:tcW w:type="dxa" w:w="5000"/>
            <w:tcMar>
              <w:top w:type="dxa" w:w="80"/>
              <w:left w:type="dxa" w:w="100"/>
              <w:bottom w:type="dxa" w:w="80"/>
              <w:right w:type="dxa" w:w="100"/>
            </w:tcMar>
          </w:tcPr>
          <w:p>
            <w:r>
              <w:rPr>
                <w:b w:val="false"/>
                <w:bCs w:val="false"/>
                <w:sz w:val="20"/>
                <w:szCs w:val="20"/>
              </w:rPr>
              <w:t xml:space="preserve">Repeat customers</w:t>
            </w:r>
          </w:p>
        </w:tc>
        <w:tc>
          <w:tcPr>
            <w:tcW w:type="dxa" w:w="4360"/>
            <w:tcMar>
              <w:top w:type="dxa" w:w="80"/>
              <w:left w:type="dxa" w:w="100"/>
              <w:bottom w:type="dxa" w:w="80"/>
              <w:right w:type="dxa" w:w="100"/>
            </w:tcMar>
          </w:tcPr>
          <w:p>
            <w:r>
              <w:rPr>
                <w:b w:val="false"/>
                <w:bCs w:val="false"/>
                <w:sz w:val="20"/>
                <w:szCs w:val="20"/>
              </w:rPr>
              <w:t xml:space="preserve">10%</w:t>
            </w:r>
          </w:p>
        </w:tc>
      </w:tr>
      <w:tr>
        <w:tc>
          <w:tcPr>
            <w:tcW w:type="dxa" w:w="5000"/>
            <w:shd w:fill="DCE6F1" w:val="clear"/>
            <w:tcMar>
              <w:top w:type="dxa" w:w="80"/>
              <w:left w:type="dxa" w:w="100"/>
              <w:bottom w:type="dxa" w:w="80"/>
              <w:right w:type="dxa" w:w="100"/>
            </w:tcMar>
          </w:tcPr>
          <w:p>
            <w:r>
              <w:rPr>
                <w:b w:val="false"/>
                <w:bCs w:val="false"/>
                <w:sz w:val="20"/>
                <w:szCs w:val="20"/>
              </w:rPr>
              <w:t xml:space="preserve">Dispute history</w:t>
            </w:r>
          </w:p>
        </w:tc>
        <w:tc>
          <w:tcPr>
            <w:tcW w:type="dxa" w:w="4360"/>
            <w:shd w:fill="DCE6F1" w:val="clear"/>
            <w:tcMar>
              <w:top w:type="dxa" w:w="80"/>
              <w:left w:type="dxa" w:w="100"/>
              <w:bottom w:type="dxa" w:w="80"/>
              <w:right w:type="dxa" w:w="100"/>
            </w:tcMar>
          </w:tcPr>
          <w:p>
            <w:r>
              <w:rPr>
                <w:b w:val="false"/>
                <w:bCs w:val="false"/>
                <w:sz w:val="20"/>
                <w:szCs w:val="20"/>
              </w:rPr>
              <w:t xml:space="preserve">5%</w:t>
            </w:r>
          </w:p>
        </w:tc>
      </w:tr>
    </w:tbl>
    <w:p>
      <w:pPr>
        <w:pStyle w:val="Heading1"/>
        <w:spacing w:after="160" w:before="360"/>
      </w:pPr>
      <w:r>
        <w:t xml:space="preserve">9. Validation Strategy</w:t>
      </w:r>
    </w:p>
    <w:p>
      <w:pPr>
        <w:spacing w:after="140"/>
        <w:jc w:val="left"/>
      </w:pPr>
      <w:r>
        <w:rPr>
          <w:b w:val="false"/>
          <w:bCs w:val="false"/>
          <w:i w:val="false"/>
          <w:iCs w:val="false"/>
          <w:sz w:val="22"/>
          <w:szCs w:val="22"/>
        </w:rPr>
        <w:t xml:space="preserve">The MVP is considered validated against the first 10–15 real requests from real people — not test requests from friends who already trust the founder:</w:t>
      </w:r>
    </w:p>
    <w:p>
      <w:pPr>
        <w:pStyle w:val="ListParagraph"/>
        <w:numPr>
          <w:ilvl w:val="0"/>
          <w:numId w:val="2"/>
        </w:numPr>
        <w:spacing w:after="80"/>
      </w:pPr>
      <w:r>
        <w:t xml:space="preserve">At least 70% matched to a provider within 2 hours</w:t>
      </w:r>
    </w:p>
    <w:p>
      <w:pPr>
        <w:pStyle w:val="ListParagraph"/>
        <w:numPr>
          <w:ilvl w:val="0"/>
          <w:numId w:val="2"/>
        </w:numPr>
        <w:spacing w:after="80"/>
      </w:pPr>
      <w:r>
        <w:t xml:space="preserve">At least 70% of matched jobs actually completed</w:t>
      </w:r>
    </w:p>
    <w:p>
      <w:pPr>
        <w:pStyle w:val="ListParagraph"/>
        <w:numPr>
          <w:ilvl w:val="0"/>
          <w:numId w:val="2"/>
        </w:numPr>
        <w:spacing w:after="80"/>
      </w:pPr>
      <w:r>
        <w:t xml:space="preserve">At least 70% of customers confirm the work was done properly</w:t>
      </w:r>
    </w:p>
    <w:p>
      <w:pPr>
        <w:pStyle w:val="ListParagraph"/>
        <w:numPr>
          <w:ilvl w:val="0"/>
          <w:numId w:val="2"/>
        </w:numPr>
        <w:spacing w:after="80"/>
      </w:pPr>
      <w:r>
        <w:t xml:space="preserve">At least 3 people would use it again</w:t>
      </w:r>
    </w:p>
    <w:p>
      <w:pPr>
        <w:spacing w:after="140"/>
        <w:jc w:val="left"/>
      </w:pPr>
      <w:r>
        <w:rPr>
          <w:b w:val="false"/>
          <w:bCs w:val="false"/>
          <w:i w:val="false"/>
          <w:iCs w:val="false"/>
          <w:sz w:val="22"/>
          <w:szCs w:val="22"/>
        </w:rPr>
        <w:t xml:space="preserve">These thresholds are placeholders, deliberately set before results exist, so they can't be quietly moved later if early results are discouraging.</w:t>
      </w:r>
    </w:p>
    <w:p>
      <w:pPr>
        <w:pStyle w:val="Heading1"/>
        <w:spacing w:after="160" w:before="360"/>
      </w:pPr>
      <w:r>
        <w:t xml:space="preserve">10. Business Model</w:t>
      </w:r>
    </w:p>
    <w:p>
      <w:pPr>
        <w:spacing w:after="140"/>
        <w:jc w:val="left"/>
      </w:pPr>
      <w:r>
        <w:rPr>
          <w:b w:val="false"/>
          <w:bCs w:val="false"/>
          <w:i w:val="false"/>
          <w:iCs w:val="false"/>
          <w:sz w:val="22"/>
          <w:szCs w:val="22"/>
        </w:rPr>
        <w:t xml:space="preserve">Not all revenue streams launch at once. The MVP is pre-revenue by design — the business model below is the direction, not the Day 1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Revenue Stream</w:t>
            </w:r>
          </w:p>
        </w:tc>
        <w:tc>
          <w:tcPr>
            <w:tcW w:type="dxa" w:w="6160"/>
            <w:shd w:fill="1F3864" w:val="clear"/>
            <w:tcMar>
              <w:top w:type="dxa" w:w="80"/>
              <w:left w:type="dxa" w:w="100"/>
              <w:bottom w:type="dxa" w:w="80"/>
              <w:right w:type="dxa" w:w="100"/>
            </w:tcMar>
          </w:tcPr>
          <w:p>
            <w:r>
              <w:rPr>
                <w:b/>
                <w:bCs/>
                <w:color w:val="FFFFFF"/>
                <w:sz w:val="20"/>
                <w:szCs w:val="20"/>
              </w:rPr>
              <w:t xml:space="preserve">Description</w:t>
            </w:r>
          </w:p>
        </w:tc>
      </w:tr>
      <w:tr>
        <w:tc>
          <w:tcPr>
            <w:tcW w:type="dxa" w:w="3200"/>
            <w:shd w:fill="DCE6F1" w:val="clear"/>
            <w:tcMar>
              <w:top w:type="dxa" w:w="80"/>
              <w:left w:type="dxa" w:w="100"/>
              <w:bottom w:type="dxa" w:w="80"/>
              <w:right w:type="dxa" w:w="100"/>
            </w:tcMar>
          </w:tcPr>
          <w:p>
            <w:r>
              <w:rPr>
                <w:b w:val="false"/>
                <w:bCs w:val="false"/>
                <w:sz w:val="20"/>
                <w:szCs w:val="20"/>
              </w:rPr>
              <w:t xml:space="preserve">Provider commission</w:t>
            </w:r>
          </w:p>
        </w:tc>
        <w:tc>
          <w:tcPr>
            <w:tcW w:type="dxa" w:w="6160"/>
            <w:shd w:fill="DCE6F1" w:val="clear"/>
            <w:tcMar>
              <w:top w:type="dxa" w:w="80"/>
              <w:left w:type="dxa" w:w="100"/>
              <w:bottom w:type="dxa" w:w="80"/>
              <w:right w:type="dxa" w:w="100"/>
            </w:tcMar>
          </w:tcPr>
          <w:p>
            <w:r>
              <w:rPr>
                <w:b w:val="false"/>
                <w:bCs w:val="false"/>
                <w:sz w:val="20"/>
                <w:szCs w:val="20"/>
              </w:rPr>
              <w:t xml:space="preserve">~10–12% of job value (planning assumption)</w:t>
            </w:r>
          </w:p>
        </w:tc>
      </w:tr>
      <w:tr>
        <w:tc>
          <w:tcPr>
            <w:tcW w:type="dxa" w:w="3200"/>
            <w:tcMar>
              <w:top w:type="dxa" w:w="80"/>
              <w:left w:type="dxa" w:w="100"/>
              <w:bottom w:type="dxa" w:w="80"/>
              <w:right w:type="dxa" w:w="100"/>
            </w:tcMar>
          </w:tcPr>
          <w:p>
            <w:r>
              <w:rPr>
                <w:b w:val="false"/>
                <w:bCs w:val="false"/>
                <w:sz w:val="20"/>
                <w:szCs w:val="20"/>
              </w:rPr>
              <w:t xml:space="preserve">Customer service/protection fee</w:t>
            </w:r>
          </w:p>
        </w:tc>
        <w:tc>
          <w:tcPr>
            <w:tcW w:type="dxa" w:w="6160"/>
            <w:tcMar>
              <w:top w:type="dxa" w:w="80"/>
              <w:left w:type="dxa" w:w="100"/>
              <w:bottom w:type="dxa" w:w="80"/>
              <w:right w:type="dxa" w:w="100"/>
            </w:tcMar>
          </w:tcPr>
          <w:p>
            <w:r>
              <w:rPr>
                <w:b w:val="false"/>
                <w:bCs w:val="false"/>
                <w:sz w:val="20"/>
                <w:szCs w:val="20"/>
              </w:rPr>
              <w:t xml:space="preserve">~2–3% of job value, shown itemized, never hidden</w:t>
            </w:r>
          </w:p>
        </w:tc>
      </w:tr>
      <w:tr>
        <w:tc>
          <w:tcPr>
            <w:tcW w:type="dxa" w:w="3200"/>
            <w:shd w:fill="DCE6F1" w:val="clear"/>
            <w:tcMar>
              <w:top w:type="dxa" w:w="80"/>
              <w:left w:type="dxa" w:w="100"/>
              <w:bottom w:type="dxa" w:w="80"/>
              <w:right w:type="dxa" w:w="100"/>
            </w:tcMar>
          </w:tcPr>
          <w:p>
            <w:r>
              <w:rPr>
                <w:b w:val="false"/>
                <w:bCs w:val="false"/>
                <w:sz w:val="20"/>
                <w:szCs w:val="20"/>
              </w:rPr>
              <w:t xml:space="preserve">B2B subscriptions</w:t>
            </w:r>
          </w:p>
        </w:tc>
        <w:tc>
          <w:tcPr>
            <w:tcW w:type="dxa" w:w="6160"/>
            <w:shd w:fill="DCE6F1" w:val="clear"/>
            <w:tcMar>
              <w:top w:type="dxa" w:w="80"/>
              <w:left w:type="dxa" w:w="100"/>
              <w:bottom w:type="dxa" w:w="80"/>
              <w:right w:type="dxa" w:w="100"/>
            </w:tcMar>
          </w:tcPr>
          <w:p>
            <w:r>
              <w:rPr>
                <w:b w:val="false"/>
                <w:bCs w:val="false"/>
                <w:sz w:val="20"/>
                <w:szCs w:val="20"/>
              </w:rPr>
              <w:t xml:space="preserve">Recurring service-management contracts (Phase 2)</w:t>
            </w:r>
          </w:p>
        </w:tc>
      </w:tr>
      <w:tr>
        <w:tc>
          <w:tcPr>
            <w:tcW w:type="dxa" w:w="3200"/>
            <w:tcMar>
              <w:top w:type="dxa" w:w="80"/>
              <w:left w:type="dxa" w:w="100"/>
              <w:bottom w:type="dxa" w:w="80"/>
              <w:right w:type="dxa" w:w="100"/>
            </w:tcMar>
          </w:tcPr>
          <w:p>
            <w:r>
              <w:rPr>
                <w:b w:val="false"/>
                <w:bCs w:val="false"/>
                <w:sz w:val="20"/>
                <w:szCs w:val="20"/>
              </w:rPr>
              <w:t xml:space="preserve">ServLink Academy</w:t>
            </w:r>
          </w:p>
        </w:tc>
        <w:tc>
          <w:tcPr>
            <w:tcW w:type="dxa" w:w="6160"/>
            <w:tcMar>
              <w:top w:type="dxa" w:w="80"/>
              <w:left w:type="dxa" w:w="100"/>
              <w:bottom w:type="dxa" w:w="80"/>
              <w:right w:type="dxa" w:w="100"/>
            </w:tcMar>
          </w:tcPr>
          <w:p>
            <w:r>
              <w:rPr>
                <w:b w:val="false"/>
                <w:bCs w:val="false"/>
                <w:sz w:val="20"/>
                <w:szCs w:val="20"/>
              </w:rPr>
              <w:t xml:space="preserve">Training/certification fees (later)</w:t>
            </w:r>
          </w:p>
        </w:tc>
      </w:tr>
      <w:tr>
        <w:tc>
          <w:tcPr>
            <w:tcW w:type="dxa" w:w="3200"/>
            <w:shd w:fill="DCE6F1" w:val="clear"/>
            <w:tcMar>
              <w:top w:type="dxa" w:w="80"/>
              <w:left w:type="dxa" w:w="100"/>
              <w:bottom w:type="dxa" w:w="80"/>
              <w:right w:type="dxa" w:w="100"/>
            </w:tcMar>
          </w:tcPr>
          <w:p>
            <w:r>
              <w:rPr>
                <w:b w:val="false"/>
                <w:bCs w:val="false"/>
                <w:sz w:val="20"/>
                <w:szCs w:val="20"/>
              </w:rPr>
              <w:t xml:space="preserve">Provider premium tools</w:t>
            </w:r>
          </w:p>
        </w:tc>
        <w:tc>
          <w:tcPr>
            <w:tcW w:type="dxa" w:w="6160"/>
            <w:shd w:fill="DCE6F1" w:val="clear"/>
            <w:tcMar>
              <w:top w:type="dxa" w:w="80"/>
              <w:left w:type="dxa" w:w="100"/>
              <w:bottom w:type="dxa" w:w="80"/>
              <w:right w:type="dxa" w:w="100"/>
            </w:tcMar>
          </w:tcPr>
          <w:p>
            <w:r>
              <w:rPr>
                <w:b w:val="false"/>
                <w:bCs w:val="false"/>
                <w:sz w:val="20"/>
                <w:szCs w:val="20"/>
              </w:rPr>
              <w:t xml:space="preserve">Advanced analytics, CRM, priority leads (later)</w:t>
            </w:r>
          </w:p>
        </w:tc>
      </w:tr>
    </w:tbl>
    <w:p>
      <w:pPr>
        <w:spacing w:after="140"/>
        <w:jc w:val="left"/>
      </w:pPr>
      <w:r>
        <w:rPr>
          <w:b w:val="false"/>
          <w:bCs w:val="false"/>
          <w:i w:val="false"/>
          <w:iCs w:val="false"/>
          <w:sz w:val="22"/>
          <w:szCs w:val="22"/>
        </w:rPr>
        <w:t xml:space="preserve">A companion Unit Economics &amp; Growth Scenario spreadsheet models contribution per job, break-even volume, and TAM/SAM/SOM sizing against these assumptions in detail.</w:t>
      </w:r>
    </w:p>
    <w:p>
      <w:pPr>
        <w:pStyle w:val="Heading1"/>
        <w:spacing w:after="160" w:before="360"/>
      </w:pPr>
      <w:r>
        <w:t xml:space="preserve">11. Long-Term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Stage</w:t>
            </w:r>
          </w:p>
        </w:tc>
        <w:tc>
          <w:tcPr>
            <w:tcW w:type="dxa" w:w="6160"/>
            <w:shd w:fill="1F3864" w:val="clear"/>
            <w:tcMar>
              <w:top w:type="dxa" w:w="80"/>
              <w:left w:type="dxa" w:w="100"/>
              <w:bottom w:type="dxa" w:w="80"/>
              <w:right w:type="dxa" w:w="100"/>
            </w:tcMar>
          </w:tcPr>
          <w:p>
            <w:r>
              <w:rPr>
                <w:b/>
                <w:bCs/>
                <w:color w:val="FFFFFF"/>
                <w:sz w:val="20"/>
                <w:szCs w:val="20"/>
              </w:rPr>
              <w:t xml:space="preserve">Goal</w:t>
            </w:r>
          </w:p>
        </w:tc>
      </w:tr>
      <w:tr>
        <w:tc>
          <w:tcPr>
            <w:tcW w:type="dxa" w:w="3200"/>
            <w:shd w:fill="DCE6F1" w:val="clear"/>
            <w:tcMar>
              <w:top w:type="dxa" w:w="80"/>
              <w:left w:type="dxa" w:w="100"/>
              <w:bottom w:type="dxa" w:w="80"/>
              <w:right w:type="dxa" w:w="100"/>
            </w:tcMar>
          </w:tcPr>
          <w:p>
            <w:r>
              <w:rPr>
                <w:b w:val="false"/>
                <w:bCs w:val="false"/>
                <w:sz w:val="20"/>
                <w:szCs w:val="20"/>
              </w:rPr>
              <w:t xml:space="preserve">V0 — Concierge</w:t>
            </w:r>
          </w:p>
        </w:tc>
        <w:tc>
          <w:tcPr>
            <w:tcW w:type="dxa" w:w="6160"/>
            <w:shd w:fill="DCE6F1" w:val="clear"/>
            <w:tcMar>
              <w:top w:type="dxa" w:w="80"/>
              <w:left w:type="dxa" w:w="100"/>
              <w:bottom w:type="dxa" w:w="80"/>
              <w:right w:type="dxa" w:w="100"/>
            </w:tcMar>
          </w:tcPr>
          <w:p>
            <w:r>
              <w:rPr>
                <w:b w:val="false"/>
                <w:bCs w:val="false"/>
                <w:sz w:val="20"/>
                <w:szCs w:val="20"/>
              </w:rPr>
              <w:t xml:space="preserve">Human + simple Telegram bot. Prove demand and the recourse promise.</w:t>
            </w:r>
          </w:p>
        </w:tc>
      </w:tr>
      <w:tr>
        <w:tc>
          <w:tcPr>
            <w:tcW w:type="dxa" w:w="3200"/>
            <w:tcMar>
              <w:top w:type="dxa" w:w="80"/>
              <w:left w:type="dxa" w:w="100"/>
              <w:bottom w:type="dxa" w:w="80"/>
              <w:right w:type="dxa" w:w="100"/>
            </w:tcMar>
          </w:tcPr>
          <w:p>
            <w:r>
              <w:rPr>
                <w:b w:val="false"/>
                <w:bCs w:val="false"/>
                <w:sz w:val="20"/>
                <w:szCs w:val="20"/>
              </w:rPr>
              <w:t xml:space="preserve">V1 — Marketplace MVP</w:t>
            </w:r>
          </w:p>
        </w:tc>
        <w:tc>
          <w:tcPr>
            <w:tcW w:type="dxa" w:w="6160"/>
            <w:tcMar>
              <w:top w:type="dxa" w:w="80"/>
              <w:left w:type="dxa" w:w="100"/>
              <w:bottom w:type="dxa" w:w="80"/>
              <w:right w:type="dxa" w:w="100"/>
            </w:tcMar>
          </w:tcPr>
          <w:p>
            <w:r>
              <w:rPr>
                <w:b w:val="false"/>
                <w:bCs w:val="false"/>
                <w:sz w:val="20"/>
                <w:szCs w:val="20"/>
              </w:rPr>
              <w:t xml:space="preserve">Structured provider list, rule-based matching, basic ratings. Prove transactions.</w:t>
            </w:r>
          </w:p>
        </w:tc>
      </w:tr>
      <w:tr>
        <w:tc>
          <w:tcPr>
            <w:tcW w:type="dxa" w:w="3200"/>
            <w:shd w:fill="DCE6F1" w:val="clear"/>
            <w:tcMar>
              <w:top w:type="dxa" w:w="80"/>
              <w:left w:type="dxa" w:w="100"/>
              <w:bottom w:type="dxa" w:w="80"/>
              <w:right w:type="dxa" w:w="100"/>
            </w:tcMar>
          </w:tcPr>
          <w:p>
            <w:r>
              <w:rPr>
                <w:b w:val="false"/>
                <w:bCs w:val="false"/>
                <w:sz w:val="20"/>
                <w:szCs w:val="20"/>
              </w:rPr>
              <w:t xml:space="preserve">V2 — AI Concierge</w:t>
            </w:r>
          </w:p>
        </w:tc>
        <w:tc>
          <w:tcPr>
            <w:tcW w:type="dxa" w:w="6160"/>
            <w:shd w:fill="DCE6F1" w:val="clear"/>
            <w:tcMar>
              <w:top w:type="dxa" w:w="80"/>
              <w:left w:type="dxa" w:w="100"/>
              <w:bottom w:type="dxa" w:w="80"/>
              <w:right w:type="dxa" w:w="100"/>
            </w:tcMar>
          </w:tcPr>
          <w:p>
            <w:r>
              <w:rPr>
                <w:b w:val="false"/>
                <w:bCs w:val="false"/>
                <w:sz w:val="20"/>
                <w:szCs w:val="20"/>
              </w:rPr>
              <w:t xml:space="preserve">Natural-language intent recognition, conversational clarification.</w:t>
            </w:r>
          </w:p>
        </w:tc>
      </w:tr>
      <w:tr>
        <w:tc>
          <w:tcPr>
            <w:tcW w:type="dxa" w:w="3200"/>
            <w:tcMar>
              <w:top w:type="dxa" w:w="80"/>
              <w:left w:type="dxa" w:w="100"/>
              <w:bottom w:type="dxa" w:w="80"/>
              <w:right w:type="dxa" w:w="100"/>
            </w:tcMar>
          </w:tcPr>
          <w:p>
            <w:r>
              <w:rPr>
                <w:b w:val="false"/>
                <w:bCs w:val="false"/>
                <w:sz w:val="20"/>
                <w:szCs w:val="20"/>
              </w:rPr>
              <w:t xml:space="preserve">V3 — Dispatch Intelligence</w:t>
            </w:r>
          </w:p>
        </w:tc>
        <w:tc>
          <w:tcPr>
            <w:tcW w:type="dxa" w:w="6160"/>
            <w:tcMar>
              <w:top w:type="dxa" w:w="80"/>
              <w:left w:type="dxa" w:w="100"/>
              <w:bottom w:type="dxa" w:w="80"/>
              <w:right w:type="dxa" w:w="100"/>
            </w:tcMar>
          </w:tcPr>
          <w:p>
            <w:r>
              <w:rPr>
                <w:b w:val="false"/>
                <w:bCs w:val="false"/>
                <w:sz w:val="20"/>
                <w:szCs w:val="20"/>
              </w:rPr>
              <w:t xml:space="preserve">Geospatial matching, ETA, provider scoring, live status.</w:t>
            </w:r>
          </w:p>
        </w:tc>
      </w:tr>
      <w:tr>
        <w:tc>
          <w:tcPr>
            <w:tcW w:type="dxa" w:w="3200"/>
            <w:shd w:fill="DCE6F1" w:val="clear"/>
            <w:tcMar>
              <w:top w:type="dxa" w:w="80"/>
              <w:left w:type="dxa" w:w="100"/>
              <w:bottom w:type="dxa" w:w="80"/>
              <w:right w:type="dxa" w:w="100"/>
            </w:tcMar>
          </w:tcPr>
          <w:p>
            <w:r>
              <w:rPr>
                <w:b w:val="false"/>
                <w:bCs w:val="false"/>
                <w:sz w:val="20"/>
                <w:szCs w:val="20"/>
              </w:rPr>
              <w:t xml:space="preserve">V4 — B2B</w:t>
            </w:r>
          </w:p>
        </w:tc>
        <w:tc>
          <w:tcPr>
            <w:tcW w:type="dxa" w:w="6160"/>
            <w:shd w:fill="DCE6F1" w:val="clear"/>
            <w:tcMar>
              <w:top w:type="dxa" w:w="80"/>
              <w:left w:type="dxa" w:w="100"/>
              <w:bottom w:type="dxa" w:w="80"/>
              <w:right w:type="dxa" w:w="100"/>
            </w:tcMar>
          </w:tcPr>
          <w:p>
            <w:r>
              <w:rPr>
                <w:b w:val="false"/>
                <w:bCs w:val="false"/>
                <w:sz w:val="20"/>
                <w:szCs w:val="20"/>
              </w:rPr>
              <w:t xml:space="preserve">Service tickets, property management, recurring contracts.</w:t>
            </w:r>
          </w:p>
        </w:tc>
      </w:tr>
      <w:tr>
        <w:tc>
          <w:tcPr>
            <w:tcW w:type="dxa" w:w="3200"/>
            <w:tcMar>
              <w:top w:type="dxa" w:w="80"/>
              <w:left w:type="dxa" w:w="100"/>
              <w:bottom w:type="dxa" w:w="80"/>
              <w:right w:type="dxa" w:w="100"/>
            </w:tcMar>
          </w:tcPr>
          <w:p>
            <w:r>
              <w:rPr>
                <w:b w:val="false"/>
                <w:bCs w:val="false"/>
                <w:sz w:val="20"/>
                <w:szCs w:val="20"/>
              </w:rPr>
              <w:t xml:space="preserve">V5 — ServLink Academy</w:t>
            </w:r>
          </w:p>
        </w:tc>
        <w:tc>
          <w:tcPr>
            <w:tcW w:type="dxa" w:w="6160"/>
            <w:tcMar>
              <w:top w:type="dxa" w:w="80"/>
              <w:left w:type="dxa" w:w="100"/>
              <w:bottom w:type="dxa" w:w="80"/>
              <w:right w:type="dxa" w:w="100"/>
            </w:tcMar>
          </w:tcPr>
          <w:p>
            <w:r>
              <w:rPr>
                <w:b w:val="false"/>
                <w:bCs w:val="false"/>
                <w:sz w:val="20"/>
                <w:szCs w:val="20"/>
              </w:rPr>
              <w:t xml:space="preserve">Training, assessment, verification, apprenticeship pipeline.</w:t>
            </w:r>
          </w:p>
        </w:tc>
      </w:tr>
      <w:tr>
        <w:tc>
          <w:tcPr>
            <w:tcW w:type="dxa" w:w="3200"/>
            <w:shd w:fill="DCE6F1" w:val="clear"/>
            <w:tcMar>
              <w:top w:type="dxa" w:w="80"/>
              <w:left w:type="dxa" w:w="100"/>
              <w:bottom w:type="dxa" w:w="80"/>
              <w:right w:type="dxa" w:w="100"/>
            </w:tcMar>
          </w:tcPr>
          <w:p>
            <w:r>
              <w:rPr>
                <w:b w:val="false"/>
                <w:bCs w:val="false"/>
                <w:sz w:val="20"/>
                <w:szCs w:val="20"/>
              </w:rPr>
              <w:t xml:space="preserve">V6 — Service Intelligence</w:t>
            </w:r>
          </w:p>
        </w:tc>
        <w:tc>
          <w:tcPr>
            <w:tcW w:type="dxa" w:w="6160"/>
            <w:shd w:fill="DCE6F1" w:val="clear"/>
            <w:tcMar>
              <w:top w:type="dxa" w:w="80"/>
              <w:left w:type="dxa" w:w="100"/>
              <w:bottom w:type="dxa" w:w="80"/>
              <w:right w:type="dxa" w:w="100"/>
            </w:tcMar>
          </w:tcPr>
          <w:p>
            <w:r>
              <w:rPr>
                <w:b w:val="false"/>
                <w:bCs w:val="false"/>
                <w:sz w:val="20"/>
                <w:szCs w:val="20"/>
              </w:rPr>
              <w:t xml:space="preserve">Demand forecasting by zone, category, and season.</w:t>
            </w:r>
          </w:p>
        </w:tc>
      </w:tr>
    </w:tbl>
    <w:p>
      <w:pPr>
        <w:pStyle w:val="Heading1"/>
        <w:spacing w:after="160" w:before="360"/>
      </w:pPr>
      <w:r>
        <w:t xml:space="preserve">12. Risks &amp; Kill Criteria</w:t>
      </w:r>
    </w:p>
    <w:p>
      <w:pPr>
        <w:spacing w:after="140"/>
        <w:jc w:val="left"/>
      </w:pPr>
      <w:r>
        <w:rPr>
          <w:b w:val="false"/>
          <w:bCs w:val="false"/>
          <w:i w:val="false"/>
          <w:iCs w:val="false"/>
          <w:sz w:val="22"/>
          <w:szCs w:val="22"/>
        </w:rPr>
        <w:t xml:space="preserve">Conditions under which the model should be reconsidered or fundamentally changed, not stubbornly continued:</w:t>
      </w:r>
    </w:p>
    <w:p>
      <w:pPr>
        <w:pStyle w:val="ListParagraph"/>
        <w:numPr>
          <w:ilvl w:val="0"/>
          <w:numId w:val="2"/>
        </w:numPr>
        <w:spacing w:after="80"/>
      </w:pPr>
      <w:r>
        <w:t xml:space="preserve">Customers refuse to pay through the platform</w:t>
      </w:r>
    </w:p>
    <w:p>
      <w:pPr>
        <w:pStyle w:val="ListParagraph"/>
        <w:numPr>
          <w:ilvl w:val="0"/>
          <w:numId w:val="2"/>
        </w:numPr>
        <w:spacing w:after="80"/>
      </w:pPr>
      <w:r>
        <w:t xml:space="preserve">Providers consistently bypass the platform (leakage)</w:t>
      </w:r>
    </w:p>
    <w:p>
      <w:pPr>
        <w:pStyle w:val="ListParagraph"/>
        <w:numPr>
          <w:ilvl w:val="0"/>
          <w:numId w:val="2"/>
        </w:numPr>
        <w:spacing w:after="80"/>
      </w:pPr>
      <w:r>
        <w:t xml:space="preserve">Average job value too low to support acquisition and support costs</w:t>
      </w:r>
    </w:p>
    <w:p>
      <w:pPr>
        <w:pStyle w:val="ListParagraph"/>
        <w:numPr>
          <w:ilvl w:val="0"/>
          <w:numId w:val="2"/>
        </w:numPr>
        <w:spacing w:after="80"/>
      </w:pPr>
      <w:r>
        <w:t xml:space="preserve">Provider cancellation rate persistently high</w:t>
      </w:r>
    </w:p>
    <w:p>
      <w:pPr>
        <w:pStyle w:val="ListParagraph"/>
        <w:numPr>
          <w:ilvl w:val="0"/>
          <w:numId w:val="2"/>
        </w:numPr>
        <w:spacing w:after="80"/>
      </w:pPr>
      <w:r>
        <w:t xml:space="preserve">Demand too fragmented across categories/zones to reach liquidity</w:t>
      </w:r>
    </w:p>
    <w:p>
      <w:pPr>
        <w:pStyle w:val="ListParagraph"/>
        <w:numPr>
          <w:ilvl w:val="0"/>
          <w:numId w:val="2"/>
        </w:numPr>
        <w:spacing w:after="80"/>
      </w:pPr>
      <w:r>
        <w:t xml:space="preserve">Customer acquisition cost exceeds expected lifetime contribution</w:t>
      </w:r>
    </w:p>
    <w:p>
      <w:pPr>
        <w:pStyle w:val="ListParagraph"/>
        <w:numPr>
          <w:ilvl w:val="0"/>
          <w:numId w:val="2"/>
        </w:numPr>
        <w:spacing w:after="80"/>
      </w:pPr>
      <w:r>
        <w:t xml:space="preserve">Real-time location/dispatch doesn't materially improve fulfilment enough to justify the investment</w:t>
      </w:r>
    </w:p>
    <w:p>
      <w:pPr>
        <w:pStyle w:val="Heading1"/>
        <w:spacing w:after="160" w:before="360"/>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Term</w:t>
            </w:r>
          </w:p>
        </w:tc>
        <w:tc>
          <w:tcPr>
            <w:tcW w:type="dxa" w:w="6960"/>
            <w:shd w:fill="1F3864" w:val="clear"/>
            <w:tcMar>
              <w:top w:type="dxa" w:w="80"/>
              <w:left w:type="dxa" w:w="100"/>
              <w:bottom w:type="dxa" w:w="80"/>
              <w:right w:type="dxa" w:w="100"/>
            </w:tcMar>
          </w:tcPr>
          <w:p>
            <w:r>
              <w:rPr>
                <w:b/>
                <w:bCs/>
                <w:color w:val="FFFFFF"/>
                <w:sz w:val="20"/>
                <w:szCs w:val="20"/>
              </w:rPr>
              <w:t xml:space="preserve">Meaning</w:t>
            </w:r>
          </w:p>
        </w:tc>
      </w:tr>
      <w:tr>
        <w:tc>
          <w:tcPr>
            <w:tcW w:type="dxa" w:w="2400"/>
            <w:shd w:fill="DCE6F1" w:val="clear"/>
            <w:tcMar>
              <w:top w:type="dxa" w:w="80"/>
              <w:left w:type="dxa" w:w="100"/>
              <w:bottom w:type="dxa" w:w="80"/>
              <w:right w:type="dxa" w:w="100"/>
            </w:tcMar>
          </w:tcPr>
          <w:p>
            <w:r>
              <w:rPr>
                <w:b w:val="false"/>
                <w:bCs w:val="false"/>
                <w:sz w:val="20"/>
                <w:szCs w:val="20"/>
              </w:rPr>
              <w:t xml:space="preserve">MVP</w:t>
            </w:r>
          </w:p>
        </w:tc>
        <w:tc>
          <w:tcPr>
            <w:tcW w:type="dxa" w:w="6960"/>
            <w:shd w:fill="DCE6F1" w:val="clear"/>
            <w:tcMar>
              <w:top w:type="dxa" w:w="80"/>
              <w:left w:type="dxa" w:w="100"/>
              <w:bottom w:type="dxa" w:w="80"/>
              <w:right w:type="dxa" w:w="100"/>
            </w:tcMar>
          </w:tcPr>
          <w:p>
            <w:r>
              <w:rPr>
                <w:b w:val="false"/>
                <w:bCs w:val="false"/>
                <w:sz w:val="20"/>
                <w:szCs w:val="20"/>
              </w:rPr>
              <w:t xml:space="preserve">Minimum Viable Product — the smallest version that can genuinely test whether the idea works</w:t>
            </w:r>
          </w:p>
        </w:tc>
      </w:tr>
      <w:tr>
        <w:tc>
          <w:tcPr>
            <w:tcW w:type="dxa" w:w="2400"/>
            <w:tcMar>
              <w:top w:type="dxa" w:w="80"/>
              <w:left w:type="dxa" w:w="100"/>
              <w:bottom w:type="dxa" w:w="80"/>
              <w:right w:type="dxa" w:w="100"/>
            </w:tcMar>
          </w:tcPr>
          <w:p>
            <w:r>
              <w:rPr>
                <w:b w:val="false"/>
                <w:bCs w:val="false"/>
                <w:sz w:val="20"/>
                <w:szCs w:val="20"/>
              </w:rPr>
              <w:t xml:space="preserve">MoSCoW</w:t>
            </w:r>
          </w:p>
        </w:tc>
        <w:tc>
          <w:tcPr>
            <w:tcW w:type="dxa" w:w="6960"/>
            <w:tcMar>
              <w:top w:type="dxa" w:w="80"/>
              <w:left w:type="dxa" w:w="100"/>
              <w:bottom w:type="dxa" w:w="80"/>
              <w:right w:type="dxa" w:w="100"/>
            </w:tcMar>
          </w:tcPr>
          <w:p>
            <w:r>
              <w:rPr>
                <w:b w:val="false"/>
                <w:bCs w:val="false"/>
                <w:sz w:val="20"/>
                <w:szCs w:val="20"/>
              </w:rPr>
              <w:t xml:space="preserve">A prioritization method: Must have, Should have, Could have, Won't have (yet)</w:t>
            </w:r>
          </w:p>
        </w:tc>
      </w:tr>
      <w:tr>
        <w:tc>
          <w:tcPr>
            <w:tcW w:type="dxa" w:w="2400"/>
            <w:shd w:fill="DCE6F1" w:val="clear"/>
            <w:tcMar>
              <w:top w:type="dxa" w:w="80"/>
              <w:left w:type="dxa" w:w="100"/>
              <w:bottom w:type="dxa" w:w="80"/>
              <w:right w:type="dxa" w:w="100"/>
            </w:tcMar>
          </w:tcPr>
          <w:p>
            <w:r>
              <w:rPr>
                <w:b w:val="false"/>
                <w:bCs w:val="false"/>
                <w:sz w:val="20"/>
                <w:szCs w:val="20"/>
              </w:rPr>
              <w:t xml:space="preserve">GMV</w:t>
            </w:r>
          </w:p>
        </w:tc>
        <w:tc>
          <w:tcPr>
            <w:tcW w:type="dxa" w:w="6960"/>
            <w:shd w:fill="DCE6F1" w:val="clear"/>
            <w:tcMar>
              <w:top w:type="dxa" w:w="80"/>
              <w:left w:type="dxa" w:w="100"/>
              <w:bottom w:type="dxa" w:w="80"/>
              <w:right w:type="dxa" w:w="100"/>
            </w:tcMar>
          </w:tcPr>
          <w:p>
            <w:r>
              <w:rPr>
                <w:b w:val="false"/>
                <w:bCs w:val="false"/>
                <w:sz w:val="20"/>
                <w:szCs w:val="20"/>
              </w:rPr>
              <w:t xml:space="preserve">Gross Merchandise Value — total value of all transactions flowing through the platform</w:t>
            </w:r>
          </w:p>
        </w:tc>
      </w:tr>
      <w:tr>
        <w:tc>
          <w:tcPr>
            <w:tcW w:type="dxa" w:w="2400"/>
            <w:tcMar>
              <w:top w:type="dxa" w:w="80"/>
              <w:left w:type="dxa" w:w="100"/>
              <w:bottom w:type="dxa" w:w="80"/>
              <w:right w:type="dxa" w:w="100"/>
            </w:tcMar>
          </w:tcPr>
          <w:p>
            <w:r>
              <w:rPr>
                <w:b w:val="false"/>
                <w:bCs w:val="false"/>
                <w:sz w:val="20"/>
                <w:szCs w:val="20"/>
              </w:rPr>
              <w:t xml:space="preserve">CAC</w:t>
            </w:r>
          </w:p>
        </w:tc>
        <w:tc>
          <w:tcPr>
            <w:tcW w:type="dxa" w:w="6960"/>
            <w:tcMar>
              <w:top w:type="dxa" w:w="80"/>
              <w:left w:type="dxa" w:w="100"/>
              <w:bottom w:type="dxa" w:w="80"/>
              <w:right w:type="dxa" w:w="100"/>
            </w:tcMar>
          </w:tcPr>
          <w:p>
            <w:r>
              <w:rPr>
                <w:b w:val="false"/>
                <w:bCs w:val="false"/>
                <w:sz w:val="20"/>
                <w:szCs w:val="20"/>
              </w:rPr>
              <w:t xml:space="preserve">Customer Acquisition Cost — what it costs to acquire one paying customer</w:t>
            </w:r>
          </w:p>
        </w:tc>
      </w:tr>
      <w:tr>
        <w:tc>
          <w:tcPr>
            <w:tcW w:type="dxa" w:w="2400"/>
            <w:shd w:fill="DCE6F1" w:val="clear"/>
            <w:tcMar>
              <w:top w:type="dxa" w:w="80"/>
              <w:left w:type="dxa" w:w="100"/>
              <w:bottom w:type="dxa" w:w="80"/>
              <w:right w:type="dxa" w:w="100"/>
            </w:tcMar>
          </w:tcPr>
          <w:p>
            <w:r>
              <w:rPr>
                <w:b w:val="false"/>
                <w:bCs w:val="false"/>
                <w:sz w:val="20"/>
                <w:szCs w:val="20"/>
              </w:rPr>
              <w:t xml:space="preserve">LTV</w:t>
            </w:r>
          </w:p>
        </w:tc>
        <w:tc>
          <w:tcPr>
            <w:tcW w:type="dxa" w:w="6960"/>
            <w:shd w:fill="DCE6F1" w:val="clear"/>
            <w:tcMar>
              <w:top w:type="dxa" w:w="80"/>
              <w:left w:type="dxa" w:w="100"/>
              <w:bottom w:type="dxa" w:w="80"/>
              <w:right w:type="dxa" w:w="100"/>
            </w:tcMar>
          </w:tcPr>
          <w:p>
            <w:r>
              <w:rPr>
                <w:b w:val="false"/>
                <w:bCs w:val="false"/>
                <w:sz w:val="20"/>
                <w:szCs w:val="20"/>
              </w:rPr>
              <w:t xml:space="preserve">Lifetime Value — total contribution a customer generates over their relationship with the platform</w:t>
            </w:r>
          </w:p>
        </w:tc>
      </w:tr>
      <w:tr>
        <w:tc>
          <w:tcPr>
            <w:tcW w:type="dxa" w:w="2400"/>
            <w:tcMar>
              <w:top w:type="dxa" w:w="80"/>
              <w:left w:type="dxa" w:w="100"/>
              <w:bottom w:type="dxa" w:w="80"/>
              <w:right w:type="dxa" w:w="100"/>
            </w:tcMar>
          </w:tcPr>
          <w:p>
            <w:r>
              <w:rPr>
                <w:b w:val="false"/>
                <w:bCs w:val="false"/>
                <w:sz w:val="20"/>
                <w:szCs w:val="20"/>
              </w:rPr>
              <w:t xml:space="preserve">Fill Rate</w:t>
            </w:r>
          </w:p>
        </w:tc>
        <w:tc>
          <w:tcPr>
            <w:tcW w:type="dxa" w:w="6960"/>
            <w:tcMar>
              <w:top w:type="dxa" w:w="80"/>
              <w:left w:type="dxa" w:w="100"/>
              <w:bottom w:type="dxa" w:w="80"/>
              <w:right w:type="dxa" w:w="100"/>
            </w:tcMar>
          </w:tcPr>
          <w:p>
            <w:r>
              <w:rPr>
                <w:b w:val="false"/>
                <w:bCs w:val="false"/>
                <w:sz w:val="20"/>
                <w:szCs w:val="20"/>
              </w:rPr>
              <w:t xml:space="preserve">Percentage of legitimate service requests successfully fulfilled</w:t>
            </w:r>
          </w:p>
        </w:tc>
      </w:tr>
      <w:tr>
        <w:tc>
          <w:tcPr>
            <w:tcW w:type="dxa" w:w="2400"/>
            <w:shd w:fill="DCE6F1" w:val="clear"/>
            <w:tcMar>
              <w:top w:type="dxa" w:w="80"/>
              <w:left w:type="dxa" w:w="100"/>
              <w:bottom w:type="dxa" w:w="80"/>
              <w:right w:type="dxa" w:w="100"/>
            </w:tcMar>
          </w:tcPr>
          <w:p>
            <w:r>
              <w:rPr>
                <w:b w:val="false"/>
                <w:bCs w:val="false"/>
                <w:sz w:val="20"/>
                <w:szCs w:val="20"/>
              </w:rPr>
              <w:t xml:space="preserve">Contribution margin</w:t>
            </w:r>
          </w:p>
        </w:tc>
        <w:tc>
          <w:tcPr>
            <w:tcW w:type="dxa" w:w="6960"/>
            <w:shd w:fill="DCE6F1" w:val="clear"/>
            <w:tcMar>
              <w:top w:type="dxa" w:w="80"/>
              <w:left w:type="dxa" w:w="100"/>
              <w:bottom w:type="dxa" w:w="80"/>
              <w:right w:type="dxa" w:w="100"/>
            </w:tcMar>
          </w:tcPr>
          <w:p>
            <w:r>
              <w:rPr>
                <w:b w:val="false"/>
                <w:bCs w:val="false"/>
                <w:sz w:val="20"/>
                <w:szCs w:val="20"/>
              </w:rPr>
              <w:t xml:space="preserve">Revenue left per transaction after direct/variable costs, before fixed costs</w:t>
            </w:r>
          </w:p>
        </w:tc>
      </w:tr>
      <w:tr>
        <w:tc>
          <w:tcPr>
            <w:tcW w:type="dxa" w:w="2400"/>
            <w:tcMar>
              <w:top w:type="dxa" w:w="80"/>
              <w:left w:type="dxa" w:w="100"/>
              <w:bottom w:type="dxa" w:w="80"/>
              <w:right w:type="dxa" w:w="100"/>
            </w:tcMar>
          </w:tcPr>
          <w:p>
            <w:r>
              <w:rPr>
                <w:b w:val="false"/>
                <w:bCs w:val="false"/>
                <w:sz w:val="20"/>
                <w:szCs w:val="20"/>
              </w:rPr>
              <w:t xml:space="preserve">Beachhead</w:t>
            </w:r>
          </w:p>
        </w:tc>
        <w:tc>
          <w:tcPr>
            <w:tcW w:type="dxa" w:w="6960"/>
            <w:tcMar>
              <w:top w:type="dxa" w:w="80"/>
              <w:left w:type="dxa" w:w="100"/>
              <w:bottom w:type="dxa" w:w="80"/>
              <w:right w:type="dxa" w:w="100"/>
            </w:tcMar>
          </w:tcPr>
          <w:p>
            <w:r>
              <w:rPr>
                <w:b w:val="false"/>
                <w:bCs w:val="false"/>
                <w:sz w:val="20"/>
                <w:szCs w:val="20"/>
              </w:rPr>
              <w:t xml:space="preserve">The first, narrow customer segment a product focuses on before expanding</w:t>
            </w:r>
          </w:p>
        </w:tc>
      </w:tr>
    </w:tbl>
    <w:p>
      <w:pPr>
        <w:spacing w:before="400"/>
      </w:pPr>
      <w:r>
        <w:rPr>
          <w:i/>
          <w:iCs/>
          <w:color w:val="595959"/>
          <w:sz w:val="20"/>
          <w:szCs w:val="20"/>
        </w:rPr>
        <w:t xml:space="preserve">This document is a living artifact — update it as Qubators milestones and MVP validation results come in, rather than treating it as fixed on the day it was written.</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ServLink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2026-09-20T22:18:54.442Z</dcterms:created>
  <dcterms:modified xsi:type="dcterms:W3CDTF">2026-09-20T22:18:54.454Z</dcterms:modified>
</cp:coreProperties>
</file>

<file path=docProps/custom.xml><?xml version="1.0" encoding="utf-8"?>
<Properties xmlns="http://schemas.openxmlformats.org/officeDocument/2006/custom-properties" xmlns:vt="http://schemas.openxmlformats.org/officeDocument/2006/docPropsVTypes"/>
</file>