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They load the effective address of msg1 into register X0.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Loads the address of msg2 into X1.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ADRP &amp; ADD can cover a much further range of addresses (+/- 4GB) than ADR (+/- 1MB)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0x0000000080017000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0x0000000080001000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0x0000000080017130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0x0000000080017142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0x000000008001715E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0x000000008001715F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0x0000000080017161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0x0000000080017165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0x0000000080017130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0x0000000080017142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0x000000000000002D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0xFFFFFFFFFFFFF654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0xFFFFFFFFCAFEBABE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0x00000000FEEDFACE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0x000000008001715E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6: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7: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Changes the fourth letter to uppercase.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8: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Translates the first byte of your integer to to an ascii string of the value in hex.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9: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.section .text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.globl lab02d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lab02d: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ADRP X3, myvalue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ADD X3,X3, :lo12:myvalue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ADD X0,X0, #1000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STUR X0,[X3]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ORR X0,XZR,X3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BR X30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.section   </w:t>
        <w:tab/>
        <w:t xml:space="preserve"> .data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myvalue:   </w:t>
        <w:tab/>
        <w:t xml:space="preserve"> .word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