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rPr/>
      </w:pPr>
      <w:bookmarkStart w:colFirst="0" w:colLast="0" w:name="_qgok2sgohs7x" w:id="0"/>
      <w:bookmarkEnd w:id="0"/>
      <w:r w:rsidDel="00000000" w:rsidR="00000000" w:rsidRPr="00000000">
        <w:rPr>
          <w:rtl w:val="0"/>
        </w:rPr>
        <w:t xml:space="preserve">Technical Guide: Zone 2 - Navigation &amp; Context for README.md This guide establishes the architectural standards for repository navigation and context. By prioritizing discovery and structural logic, these standards ensure that documentation remains usable and resilient as codebases scale. #### 1. Architecting the Table of Contents (ToC) Effective documentation relies on "Search &amp; Access" capabilities to prevent users from hunting for information. A structured Table of Contents (ToC) is the primary engine for this discovery. ##### The 100-Line Threshold Rule README files exceeding 100 lines must include a mandatory Table of Contents. This threshold is derived from the "Search &amp; Navigation" priority required for high-velocity teams. </w:t>
      </w:r>
      <w:r w:rsidDel="00000000" w:rsidR="00000000" w:rsidRPr="00000000">
        <w:rPr>
          <w:b w:val="1"/>
          <w:bCs w:val="1"/>
          <w:rtl w:val="0"/>
        </w:rPr>
        <w:t xml:space="preserve">Pro-Tip: The Operational Tax</w:t>
      </w:r>
      <w:r w:rsidDel="00000000" w:rsidR="00000000" w:rsidRPr="00000000">
        <w:rPr>
          <w:rtl w:val="0"/>
        </w:rPr>
        <w:t xml:space="preserve"> According to the </w:t>
      </w:r>
      <w:r w:rsidDel="00000000" w:rsidR="00000000" w:rsidRPr="00000000">
        <w:rPr>
          <w:b w:val="1"/>
          <w:bCs w:val="1"/>
          <w:rtl w:val="0"/>
        </w:rPr>
        <w:t xml:space="preserve">IDC 2025 report</w:t>
      </w:r>
      <w:r w:rsidDel="00000000" w:rsidR="00000000" w:rsidRPr="00000000">
        <w:rPr>
          <w:rtl w:val="0"/>
        </w:rPr>
        <w:t xml:space="preserve"> , developers spent just 16% of their time on actual coding in 2024, with the majority of hours lost to operational tasks caused by poor documentation. A robust ToC is the first line of defense against this "documentation tax." ##### Heading Depth and Structural Integrity To maintain a professional structure and ensure compatibility with static site generators (SSGs), documentation must adhere to strict structural rules: * </w:t>
      </w:r>
      <w:r w:rsidDel="00000000" w:rsidR="00000000" w:rsidRPr="00000000">
        <w:rPr>
          <w:b w:val="1"/>
          <w:bCs w:val="1"/>
          <w:rtl w:val="0"/>
        </w:rPr>
        <w:t xml:space="preserve">MD002:</w:t>
      </w:r>
      <w:r w:rsidDel="00000000" w:rsidR="00000000" w:rsidRPr="00000000">
        <w:rPr>
          <w:rtl w:val="0"/>
        </w:rPr>
        <w:t xml:space="preserve"> The first heading in the file must be a top-level # Heading (H1). * </w:t>
      </w:r>
      <w:r w:rsidDel="00000000" w:rsidR="00000000" w:rsidRPr="00000000">
        <w:rPr>
          <w:b w:val="1"/>
          <w:bCs w:val="1"/>
          <w:rtl w:val="0"/>
        </w:rPr>
        <w:t xml:space="preserve">MD001:</w:t>
      </w:r>
      <w:r w:rsidDel="00000000" w:rsidR="00000000" w:rsidRPr="00000000">
        <w:rPr>
          <w:rtl w:val="0"/>
        </w:rPr>
        <w:t xml:space="preserve"> Heading levels must only increment by one at a time (e.g., an H2 must follow an H1; an H4 cannot immediately follow an H2). </w:t>
      </w:r>
      <w:r w:rsidDel="00000000" w:rsidR="00000000" w:rsidRPr="00000000">
        <w:rPr>
          <w:b w:val="1"/>
          <w:bCs w:val="1"/>
          <w:rtl w:val="0"/>
        </w:rPr>
        <w:t xml:space="preserve">Correctly Nested ToC Structure Example:</w:t>
      </w:r>
      <w:r w:rsidDel="00000000" w:rsidR="00000000" w:rsidRPr="00000000">
        <w:rPr>
          <w:rtl w:val="0"/>
        </w:rPr>
        <w:t xml:space="preserve"> markdown # Project Title ## Table of Contents * [Installation](#installation) * [Prerequisites](#prerequisites) * [Environment Setup](#environment-setup) * [Usage &amp; FAQ](#usage--faq) * [Configuration](#configuration)  ##### Anchor Slugification (MD051) Internal links within a README utilize anchor slugification, converting headings into kebab-case IDs. Senior architects must account for special characters and punctuation to prevent broken links. | Heading | Markdown Link | | ------ | ------ | | # Key Features | (#key-features) | | # Usage &amp; FAQ | (#usage--faq) | | # Technical-Reference! | (#technical-reference) | ##### Automated Navigation While manual ToCs are common, a "Documentation-as-Code" approach prefers automation: * </w:t>
      </w:r>
      <w:r w:rsidDel="00000000" w:rsidR="00000000" w:rsidRPr="00000000">
        <w:rPr>
          <w:b w:val="1"/>
          <w:bCs w:val="1"/>
          <w:rtl w:val="0"/>
        </w:rPr>
        <w:t xml:space="preserve">GitLab:</w:t>
      </w:r>
      <w:r w:rsidDel="00000000" w:rsidR="00000000" w:rsidRPr="00000000">
        <w:rPr>
          <w:rtl w:val="0"/>
        </w:rPr>
        <w:t xml:space="preserve"> Utilize the [[</w:t>
      </w:r>
      <w:r w:rsidDel="00000000" w:rsidR="00000000" w:rsidRPr="00000000">
        <w:rPr>
          <w:i w:val="1"/>
          <w:iCs w:val="1"/>
          <w:rtl w:val="0"/>
        </w:rPr>
        <w:t xml:space="preserve">TOC</w:t>
      </w:r>
      <w:r w:rsidDel="00000000" w:rsidR="00000000" w:rsidRPr="00000000">
        <w:rPr>
          <w:rtl w:val="0"/>
        </w:rPr>
        <w:t xml:space="preserve">]] directive for auto-generation. * </w:t>
      </w:r>
      <w:r w:rsidDel="00000000" w:rsidR="00000000" w:rsidRPr="00000000">
        <w:rPr>
          <w:b w:val="1"/>
          <w:bCs w:val="1"/>
          <w:rtl w:val="0"/>
        </w:rPr>
        <w:t xml:space="preserve">GitHub:</w:t>
      </w:r>
      <w:r w:rsidDel="00000000" w:rsidR="00000000" w:rsidRPr="00000000">
        <w:rPr>
          <w:rtl w:val="0"/>
        </w:rPr>
        <w:t xml:space="preserve"> Leverage GitHub’s automatic ToC rendering in the web UI for standardized navigation without manual overhead. #### 2. Relative Link Engineering &amp; Repository Resilience To ensure documentation remains functional across forks and mirrors, links must be engineered for resilience rather than convenience. ##### Preventing Absolute URL Breakage Always use relative paths (e.g., ./docs/setup.md) instead of absolute URLs (e.g., github.com/user/repo/blob/main/docs/setup.md). Absolute links break when a repository is mirrored to a private network, renamed, or forked. Relative links ensure the documentation unit remains cohesive regardless of the host. ##### Offline Resilience and Browser Rendering Relative links support "Offline Search" and local rendering. Tools like </w:t>
      </w:r>
      <w:r w:rsidDel="00000000" w:rsidR="00000000" w:rsidRPr="00000000">
        <w:rPr>
          <w:b w:val="1"/>
          <w:bCs w:val="1"/>
          <w:rtl w:val="0"/>
        </w:rPr>
        <w:t xml:space="preserve">Docsify</w:t>
      </w:r>
      <w:r w:rsidDel="00000000" w:rsidR="00000000" w:rsidRPr="00000000">
        <w:rPr>
          <w:rtl w:val="0"/>
        </w:rPr>
        <w:t xml:space="preserve"> utilize this by rendering Markdown directly in the browser without a build step. This allows documentation to be viewed as a local website via a simple file server, ensuring information remains accessible during outages or in air-gapped environments. ##### Branch and Tag Adaptation Relative links automatically track the context of the current branch or tag. </w:t>
      </w:r>
      <w:r w:rsidDel="00000000" w:rsidR="00000000" w:rsidRPr="00000000">
        <w:rPr>
          <w:b w:val="1"/>
          <w:bCs w:val="1"/>
          <w:rtl w:val="0"/>
        </w:rPr>
        <w:t xml:space="preserve">LLM Instruction Command:</w:t>
      </w:r>
      <w:r w:rsidDel="00000000" w:rsidR="00000000" w:rsidRPr="00000000">
        <w:rPr>
          <w:rtl w:val="0"/>
        </w:rPr>
        <w:t xml:space="preserve"> "Explain how relative links automatically track the current branch/tag context, and contrast this with the risk of users on a stable 'v1.0' tag being redirected to 'main' branch documentation through absolute URLs." #### 3. Visual Context: Diagrams, GIFs, and Terminal Demos Visual elements communicate complex logic and entry points faster than prose. They are essential for mapping high-level architecture and MLOps workflows. ##### Logic Visualization with Mermaid Mermaid allows for the generation of diagrams within Markdown code blocks. For MLOps projects, use a graph LR block to visualize the data lifecycle. mermaid graph LR A[Data Ingestion] --&gt; B[Validation] B --&gt; C[Model Training] C --&gt; D[Model Registry] D --&gt; E[Deployment]  ##### Visual Capture Toolbox Use professional-grade tools to create aids that clarify project output: | Tool | Primary Use Case | | ------ | ------ | | </w:t>
      </w:r>
      <w:r w:rsidDel="00000000" w:rsidR="00000000" w:rsidRPr="00000000">
        <w:rPr>
          <w:b w:val="1"/>
          <w:bCs w:val="1"/>
          <w:rtl w:val="0"/>
        </w:rPr>
        <w:t xml:space="preserve">SnagIt</w:t>
      </w:r>
      <w:r w:rsidDel="00000000" w:rsidR="00000000" w:rsidRPr="00000000">
        <w:rPr>
          <w:rtl w:val="0"/>
        </w:rPr>
        <w:t xml:space="preserve"> | The gold standard for technical writers; advanced annotation and screen capture. | | </w:t>
      </w:r>
      <w:r w:rsidDel="00000000" w:rsidR="00000000" w:rsidRPr="00000000">
        <w:rPr>
          <w:b w:val="1"/>
          <w:bCs w:val="1"/>
          <w:rtl w:val="0"/>
        </w:rPr>
        <w:t xml:space="preserve">FastStone Capture</w:t>
      </w:r>
      <w:r w:rsidDel="00000000" w:rsidR="00000000" w:rsidRPr="00000000">
        <w:rPr>
          <w:rtl w:val="0"/>
        </w:rPr>
        <w:t xml:space="preserve"> | High-performance capturing of scrolling windows and long UI components. | | </w:t>
      </w:r>
      <w:r w:rsidDel="00000000" w:rsidR="00000000" w:rsidRPr="00000000">
        <w:rPr>
          <w:b w:val="1"/>
          <w:bCs w:val="1"/>
          <w:rtl w:val="0"/>
        </w:rPr>
        <w:t xml:space="preserve">Scribe</w:t>
      </w:r>
      <w:r w:rsidDel="00000000" w:rsidR="00000000" w:rsidRPr="00000000">
        <w:rPr>
          <w:rtl w:val="0"/>
        </w:rPr>
        <w:t xml:space="preserve"> | Automatically generates step-by-step guides by capturing browser/desktop clicks. | | </w:t>
      </w:r>
      <w:r w:rsidDel="00000000" w:rsidR="00000000" w:rsidRPr="00000000">
        <w:rPr>
          <w:b w:val="1"/>
          <w:bCs w:val="1"/>
          <w:rtl w:val="0"/>
        </w:rPr>
        <w:t xml:space="preserve">Loom</w:t>
      </w:r>
      <w:r w:rsidDel="00000000" w:rsidR="00000000" w:rsidRPr="00000000">
        <w:rPr>
          <w:rtl w:val="0"/>
        </w:rPr>
        <w:t xml:space="preserve"> | Video walkthroughs and demo recordings with instant link sharing and embedding. | ##### Terminal Demo Standards Use terminal GIFs or asciinema to demonstrate "Usage" and "Installation" entrypoints. This provides visual confirmation of success, lowering the barrier to entry for new users. #### 4. Managing Verbosity: The Collapsible Details Pattern Large blocks of technical data clutter the README and hinder navigation. Use HTML widgets to tuck away verbose content. ##### Implementing and Wrap exhaustive lists—such as configuration schemas, long log outputs, or exhaustive API parameter lists—in tags. </w:t>
      </w:r>
      <w:r w:rsidDel="00000000" w:rsidR="00000000" w:rsidRPr="00000000">
        <w:rPr>
          <w:b w:val="1"/>
          <w:bCs w:val="1"/>
          <w:rtl w:val="0"/>
        </w:rPr>
        <w:t xml:space="preserve">Production-Ready Snippet: Configuration Schema</w:t>
      </w:r>
      <w:r w:rsidDel="00000000" w:rsidR="00000000" w:rsidRPr="00000000">
        <w:rPr>
          <w:rtl w:val="0"/>
        </w:rPr>
        <w:t xml:space="preserve"> markdown View Full JSON Configuration Schema json { "api_version": "v1.2.0", "mlops_pipeline": { "retries": 5, "logging": "verbose", "tracking_uri": "sqlite:///mlruns.db" } }  #### 5. Agentic Context: The AGENTS.md Framework In modern MLOps environments, documentation must serve both human developers and AI coding assistants. An AGENTS.md file provides an intelligence layer that reduces AI "hallucination" by providing hard constraints. ##### Defining the AI Intelligence Layer The AGENTS.md file provides specialized context for AI assistants, outlining execution strings and repository-specific patterns to prevent the AI from suggesting incompatible commands or patterns. ##### Sectional Components of AGENTS.md 1. **Exact Commands:** Specific execution strings (e.g., uv run train.py --config default). 2. **Definition of Done (DoD):** Success criteria that allow agents to validate their own work. 3. **Conventions and Idioms:** Repository-specific patterns (e.g., "Always use Pydantic for validation"). 4. **Layout Map:** A directory-by-directory breakdown of the repository. ##### Layout Map Example text / ├── src/ # Core MLOps logic and modules ├── docs/ # Technical references and relative-linked guides ├── tests/ # Pytest validation suites └── AGENTS.md # AI-assistant context and execution constraints  **Agent Instruction Block:** markdown ### Agent Instruction Block "Generate a comprehensive 'Layout Map' for the current repository. The map must use a tree-style text block and provide a single-sentence description for each primary directory (/src, /docs, /tests) to provide maximum clarity for AI coding assistants." ``` #### 6. Static Linter Rules &amp; CI/CD Validation Documentation quality must be enforced programmatically within the build pipeline to prevent "documentation drift." ##### Enforcing Documentation Quality Static linter rules identify broken links and structural errors before they reach production. Integrating these into CI/CD ensures documentation is treated with the same rigor as source code. ##### Linter Comparison Table | Tool | Primary Function | | ------ | ------ | | </w:t>
      </w:r>
      <w:r w:rsidDel="00000000" w:rsidR="00000000" w:rsidRPr="00000000">
        <w:rPr>
          <w:b w:val="1"/>
          <w:bCs w:val="1"/>
          <w:rtl w:val="0"/>
        </w:rPr>
        <w:t xml:space="preserve">Markdownlint</w:t>
      </w:r>
      <w:r w:rsidDel="00000000" w:rsidR="00000000" w:rsidRPr="00000000">
        <w:rPr>
          <w:rtl w:val="0"/>
        </w:rPr>
        <w:t xml:space="preserve"> | Enforces basic syntax and structural integrity (MD001, MD002, MD051). | | </w:t>
      </w:r>
      <w:r w:rsidDel="00000000" w:rsidR="00000000" w:rsidRPr="00000000">
        <w:rPr>
          <w:b w:val="1"/>
          <w:bCs w:val="1"/>
          <w:rtl w:val="0"/>
        </w:rPr>
        <w:t xml:space="preserve">Vale</w:t>
      </w:r>
      <w:r w:rsidDel="00000000" w:rsidR="00000000" w:rsidRPr="00000000">
        <w:rPr>
          <w:rtl w:val="0"/>
        </w:rPr>
        <w:t xml:space="preserve"> | Programmatically enforces prose style guides (e.g., Microsoft or Google styles). | | </w:t>
      </w:r>
      <w:r w:rsidDel="00000000" w:rsidR="00000000" w:rsidRPr="00000000">
        <w:rPr>
          <w:b w:val="1"/>
          <w:bCs w:val="1"/>
          <w:rtl w:val="0"/>
        </w:rPr>
        <w:t xml:space="preserve">Doxygen / Sphinx</w:t>
      </w:r>
      <w:r w:rsidDel="00000000" w:rsidR="00000000" w:rsidRPr="00000000">
        <w:rPr>
          <w:rtl w:val="0"/>
        </w:rPr>
        <w:t xml:space="preserve"> | Auto-generates and validates reference documentation from source code docstrings. | ##### The "Definition of Done" Integration Documentation freshness checks should be integrated into the "Definition of Done" during sprint planning. A task is not complete until it passes all static linting checks and the AGENTS.md file is updated to reflect any new execution patterns. #### 7. The Publication-Grade Checklist Perform this final Zone 2 audit before a release: *  </w:t>
      </w:r>
      <w:r w:rsidDel="00000000" w:rsidR="00000000" w:rsidRPr="00000000">
        <w:rPr>
          <w:b w:val="1"/>
          <w:bCs w:val="1"/>
          <w:rtl w:val="0"/>
        </w:rPr>
        <w:t xml:space="preserve">Structural Check:</w:t>
      </w:r>
      <w:r w:rsidDel="00000000" w:rsidR="00000000" w:rsidRPr="00000000">
        <w:rPr>
          <w:rtl w:val="0"/>
        </w:rPr>
        <w:t xml:space="preserve"> Every README &gt; 100 lines has a ToC; H1 is the first heading; MD001 passes. *  </w:t>
      </w:r>
      <w:r w:rsidDel="00000000" w:rsidR="00000000" w:rsidRPr="00000000">
        <w:rPr>
          <w:b w:val="1"/>
          <w:bCs w:val="1"/>
          <w:rtl w:val="0"/>
        </w:rPr>
        <w:t xml:space="preserve">Slugification Check:</w:t>
      </w:r>
      <w:r w:rsidDel="00000000" w:rsidR="00000000" w:rsidRPr="00000000">
        <w:rPr>
          <w:rtl w:val="0"/>
        </w:rPr>
        <w:t xml:space="preserve"> Verify all ToC links work, including those with special characters (e.g., &amp;, !). *  </w:t>
      </w:r>
      <w:r w:rsidDel="00000000" w:rsidR="00000000" w:rsidRPr="00000000">
        <w:rPr>
          <w:b w:val="1"/>
          <w:bCs w:val="1"/>
          <w:rtl w:val="0"/>
        </w:rPr>
        <w:t xml:space="preserve">Resilience Check:</w:t>
      </w:r>
      <w:r w:rsidDel="00000000" w:rsidR="00000000" w:rsidRPr="00000000">
        <w:rPr>
          <w:rtl w:val="0"/>
        </w:rPr>
        <w:t xml:space="preserve"> No absolute URLs exist for internal files; all paths are relative. *  </w:t>
      </w:r>
      <w:r w:rsidDel="00000000" w:rsidR="00000000" w:rsidRPr="00000000">
        <w:rPr>
          <w:b w:val="1"/>
          <w:bCs w:val="1"/>
          <w:rtl w:val="0"/>
        </w:rPr>
        <w:t xml:space="preserve">Mermaid Check:</w:t>
      </w:r>
      <w:r w:rsidDel="00000000" w:rsidR="00000000" w:rsidRPr="00000000">
        <w:rPr>
          <w:rtl w:val="0"/>
        </w:rPr>
        <w:t xml:space="preserve"> Diagrams render without syntax errors and correctly map the MLOps flow. *  </w:t>
      </w:r>
      <w:r w:rsidDel="00000000" w:rsidR="00000000" w:rsidRPr="00000000">
        <w:rPr>
          <w:b w:val="1"/>
          <w:bCs w:val="1"/>
          <w:rtl w:val="0"/>
        </w:rPr>
        <w:t xml:space="preserve">Verbosity Check:</w:t>
      </w:r>
      <w:r w:rsidDel="00000000" w:rsidR="00000000" w:rsidRPr="00000000">
        <w:rPr>
          <w:rtl w:val="0"/>
        </w:rPr>
        <w:t xml:space="preserve"> Large log outputs or JSON schemas are tucked into widgets. *  </w:t>
      </w:r>
      <w:r w:rsidDel="00000000" w:rsidR="00000000" w:rsidRPr="00000000">
        <w:rPr>
          <w:b w:val="1"/>
          <w:bCs w:val="1"/>
          <w:rtl w:val="0"/>
        </w:rPr>
        <w:t xml:space="preserve">Agentic Check:</w:t>
      </w:r>
      <w:r w:rsidDel="00000000" w:rsidR="00000000" w:rsidRPr="00000000">
        <w:rPr>
          <w:rtl w:val="0"/>
        </w:rPr>
        <w:t xml:space="preserve"> AGENTS.md is present and contains the latest "Definition of Done" and exact commands. *  </w:t>
      </w:r>
      <w:r w:rsidDel="00000000" w:rsidR="00000000" w:rsidRPr="00000000">
        <w:rPr>
          <w:b w:val="1"/>
          <w:bCs w:val="1"/>
          <w:rtl w:val="0"/>
        </w:rPr>
        <w:t xml:space="preserve">Pipeline Check:</w:t>
      </w:r>
      <w:r w:rsidDel="00000000" w:rsidR="00000000" w:rsidRPr="00000000">
        <w:rPr>
          <w:rtl w:val="0"/>
        </w:rPr>
        <w:t xml:space="preserve"> Static linting (Vale and Markdownlint) passes in the build environment.</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