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A44"/>
          <w:sz w:val="40"/>
          <w:szCs w:val="40"/>
        </w:rPr>
        <w:t xml:space="preserve">AgentWhoKnows.com — New Construction Campaign</w:t>
      </w:r>
    </w:p>
    <w:p>
      <w:pPr>
        <w:spacing w:after="100"/>
      </w:pPr>
      <w:r>
        <w:rPr>
          <w:color w:val="5B6470"/>
          <w:sz w:val="28"/>
          <w:szCs w:val="28"/>
        </w:rPr>
        <w:t xml:space="preserve">StackAdapt Display &amp; Native Creative Brief</w:t>
      </w:r>
    </w:p>
    <w:p>
      <w:pPr>
        <w:pBdr>
          <w:bottom w:val="single" w:color="1F2A44" w:sz="6" w:space="6"/>
        </w:pBdr>
        <w:spacing w:after="60"/>
      </w:pPr>
      <w:r>
        <w:rPr>
          <w:color w:val="5B6470"/>
          <w:sz w:val="20"/>
          <w:szCs w:val="20"/>
        </w:rPr>
        <w:t xml:space="preserve">Version 1.0  ·  September 2, 2026  ·  Owner: Robert Palmer, LPT Aperture Holdings  ·  For: Design</w:t>
      </w:r>
    </w:p>
    <w:p>
      <w:pPr>
        <w:spacing w:after="60"/>
      </w:pPr>
    </w:p>
    <w:p>
      <w:pPr>
        <w:pStyle w:val="Heading1"/>
        <w:spacing w:after="120" w:before="320"/>
      </w:pPr>
      <w:r>
        <w:t xml:space="preserve">1. The campaign in 60 seconds</w:t>
      </w:r>
    </w:p>
    <w:p>
      <w:pPr>
        <w:spacing w:after="120" w:before="0"/>
      </w:pPr>
      <w:r>
        <w:rPr>
          <w:b/>
          <w:bCs/>
        </w:rPr>
        <w:t xml:space="preserve">What we're advertising. </w:t>
      </w:r>
      <w:r>
        <w:t xml:space="preserve">AgentWhoKnows.com (AWK) connects a homebuyer with the one local agent who knows new construction: which builders are offering which incentives right now, which communities are quietly discounting, and when a rate buydown beats a price cut.</w:t>
      </w:r>
    </w:p>
    <w:p>
      <w:pPr>
        <w:spacing w:after="120" w:before="0"/>
      </w:pPr>
      <w:r>
        <w:rPr>
          <w:b/>
          <w:bCs/>
        </w:rPr>
        <w:t xml:space="preserve">Who sees it. </w:t>
      </w:r>
      <w:r>
        <w:t xml:space="preserve">People already shopping new construction in the launch metro (Orlando first; other Sun Belt metros to follow). They have been seeing builder ads all summer — 3.99% buydowns, closing-cost credits, free upgrades — and they cannot tell which builder actually has the deal they want. Nobody publishes that. The Agent Who Knows does.</w:t>
      </w:r>
    </w:p>
    <w:p>
      <w:pPr>
        <w:spacing w:after="120" w:before="0"/>
      </w:pPr>
      <w:r>
        <w:rPr>
          <w:b/>
          <w:bCs/>
        </w:rPr>
        <w:t xml:space="preserve">The ad's only job. </w:t>
      </w:r>
      <w:r>
        <w:t xml:space="preserve">Ask the question the buyer is already asking. Present the Agent Who Knows as the answer. Get the click to the AWK landing page. That's it. We are not selling new construction — builders spend millions doing that for us. We are selling the answer.</w:t>
      </w:r>
    </w:p>
    <w:p>
      <w:pPr>
        <w:pStyle w:val="Heading1"/>
        <w:spacing w:after="120" w:before="320"/>
      </w:pPr>
      <w:r>
        <w:t xml:space="preserve">2. The one rule: two layers, one job each</w:t>
      </w:r>
    </w:p>
    <w:p>
      <w:pPr>
        <w:spacing w:after="120" w:before="0"/>
      </w:pPr>
      <w:r>
        <w:rPr>
          <w:b/>
          <w:bCs/>
        </w:rPr>
        <w:t xml:space="preserve">Layer 1 — the image — hooks on the category. </w:t>
      </w:r>
      <w:r>
        <w:t xml:space="preserve">It sells the desire for a new home. Beautiful, new, aspirational. Nothing else.</w:t>
      </w:r>
    </w:p>
    <w:p>
      <w:pPr>
        <w:spacing w:after="120" w:before="0"/>
      </w:pPr>
      <w:r>
        <w:rPr>
          <w:b/>
          <w:bCs/>
        </w:rPr>
        <w:t xml:space="preserve">Layer 2 — the copy — sells AWK with the question hook. </w:t>
      </w:r>
      <w:r>
        <w:t xml:space="preserve">Question → the Agent Who Knows → call to action.</w:t>
      </w:r>
    </w:p>
    <w:p>
      <w:pPr>
        <w:spacing w:after="120" w:before="0"/>
      </w:pPr>
      <w:r>
        <w:rPr>
          <w:b/>
          <w:bCs/>
        </w:rPr>
        <w:t xml:space="preserve">Never cross the layers. </w:t>
      </w:r>
      <w:r>
        <w:t xml:space="preserve">The image does not sell AWK: no agent photos, no headshots, no handshakes, no "meet your agent" text in the picture. The copy does not sell the category: no lifestyle prose, no "new homes have it all" in the copy zone.</w:t>
      </w:r>
    </w:p>
    <w:p>
      <w:pPr>
        <w:spacing w:after="120" w:before="0"/>
      </w:pPr>
      <w:r>
        <w:rPr>
          <w:b/>
          <w:bCs/>
        </w:rPr>
        <w:t xml:space="preserve">The single exception: </w:t>
      </w:r>
      <w:r>
        <w:t xml:space="preserve">the category line "New construction has it all." may appear as a text overlay on the image layer in display units only. Native images carry no text (platform rule).</w:t>
      </w:r>
    </w:p>
    <w:p>
      <w:pPr>
        <w:pStyle w:val="Heading1"/>
        <w:spacing w:after="120" w:before="320"/>
      </w:pPr>
      <w:r>
        <w:t xml:space="preserve">3. How the hook works (read before touching copy)</w:t>
      </w:r>
    </w:p>
    <w:p>
      <w:pPr>
        <w:spacing w:after="120" w:before="0"/>
      </w:pPr>
      <w:r>
        <w:t xml:space="preserve">Every ad is built around a question the buyer is asking — never a claim we make. This distinction drives every wording decision.</w:t>
      </w:r>
    </w:p>
    <w:tbl>
      <w:tblPr>
        <w:tblW w:type="dxa" w:w="9360"/>
        <w:tblBorders>
          <w:top w:val="single" w:color="C9CFD8" w:sz="4"/>
          <w:left w:val="single" w:color="C9CFD8" w:sz="4"/>
          <w:bottom w:val="single" w:color="C9CFD8" w:sz="4"/>
          <w:right w:val="single" w:color="C9CFD8" w:sz="4"/>
          <w:insideH w:val="single" w:color="C9CFD8" w:sz="4"/>
          <w:insideV w:val="single" w:color="C9CFD8" w:sz="4"/>
        </w:tblBorders>
      </w:tblPr>
      <w:tblGrid>
        <w:gridCol w:w="4680"/>
        <w:gridCol w:w="4680"/>
      </w:tblGrid>
      <w:tr>
        <w:trPr>
          <w:cantSplit/>
          <w:tblHeader/>
        </w:trPr>
        <w:tc>
          <w:tcPr>
            <w:tcW w:type="dxa" w:w="4680"/>
            <w:shd w:fill="E8ECF2" w:color="auto" w:val="clear"/>
            <w:tcMar>
              <w:top w:type="dxa" w:w="80"/>
              <w:left w:type="dxa" w:w="110"/>
              <w:bottom w:type="dxa" w:w="80"/>
              <w:right w:type="dxa" w:w="110"/>
            </w:tcMar>
          </w:tcPr>
          <w:p>
            <w:pPr>
              <w:spacing w:after="40"/>
            </w:pPr>
            <w:r>
              <w:rPr>
                <w:b/>
                <w:bCs/>
              </w:rPr>
              <w:t xml:space="preserve">Do — a question the buyer is asking</w:t>
            </w:r>
          </w:p>
        </w:tc>
        <w:tc>
          <w:tcPr>
            <w:tcW w:type="dxa" w:w="4680"/>
            <w:shd w:fill="E8ECF2" w:color="auto" w:val="clear"/>
            <w:tcMar>
              <w:top w:type="dxa" w:w="80"/>
              <w:left w:type="dxa" w:w="110"/>
              <w:bottom w:type="dxa" w:w="80"/>
              <w:right w:type="dxa" w:w="110"/>
            </w:tcMar>
          </w:tcPr>
          <w:p>
            <w:pPr>
              <w:spacing w:after="40"/>
            </w:pPr>
            <w:r>
              <w:rPr>
                <w:b/>
                <w:bCs/>
              </w:rPr>
              <w:t xml:space="preserve">Don't — a claim we're making</w:t>
            </w:r>
          </w:p>
        </w:tc>
      </w:tr>
      <w:tr>
        <w:trPr>
          <w:cantSplit/>
        </w:trPr>
        <w:tc>
          <w:tcPr>
            <w:tcW w:type="dxa" w:w="4680"/>
            <w:shd w:fill="EAF4EC" w:color="auto" w:val="clear"/>
            <w:tcMar>
              <w:top w:type="dxa" w:w="80"/>
              <w:left w:type="dxa" w:w="110"/>
              <w:bottom w:type="dxa" w:w="80"/>
              <w:right w:type="dxa" w:w="110"/>
            </w:tcMar>
          </w:tcPr>
          <w:p>
            <w:pPr>
              <w:spacing w:after="40"/>
            </w:pPr>
            <w:r>
              <w:t xml:space="preserve">Looking for the builder with the 3.99% buydown rate?</w:t>
            </w:r>
          </w:p>
        </w:tc>
        <w:tc>
          <w:tcPr>
            <w:tcW w:type="dxa" w:w="4680"/>
            <w:shd w:fill="F9ECEC" w:color="auto" w:val="clear"/>
            <w:tcMar>
              <w:top w:type="dxa" w:w="80"/>
              <w:left w:type="dxa" w:w="110"/>
              <w:bottom w:type="dxa" w:w="80"/>
              <w:right w:type="dxa" w:w="110"/>
            </w:tcMar>
          </w:tcPr>
          <w:p>
            <w:pPr>
              <w:spacing w:after="40"/>
            </w:pPr>
            <w:r>
              <w:t xml:space="preserve">Get a 3.99% mortgage rate.</w:t>
            </w:r>
          </w:p>
        </w:tc>
      </w:tr>
      <w:tr>
        <w:trPr>
          <w:cantSplit/>
        </w:trPr>
        <w:tc>
          <w:tcPr>
            <w:tcW w:type="dxa" w:w="4680"/>
            <w:shd w:fill="EAF4EC" w:color="auto" w:val="clear"/>
            <w:tcMar>
              <w:top w:type="dxa" w:w="80"/>
              <w:left w:type="dxa" w:w="110"/>
              <w:bottom w:type="dxa" w:w="80"/>
              <w:right w:type="dxa" w:w="110"/>
            </w:tcMar>
          </w:tcPr>
          <w:p>
            <w:pPr>
              <w:spacing w:after="40"/>
            </w:pPr>
            <w:r>
              <w:t xml:space="preserve">Wondering which builders are paying closing costs this month?</w:t>
            </w:r>
          </w:p>
        </w:tc>
        <w:tc>
          <w:tcPr>
            <w:tcW w:type="dxa" w:w="4680"/>
            <w:shd w:fill="F9ECEC" w:color="auto" w:val="clear"/>
            <w:tcMar>
              <w:top w:type="dxa" w:w="80"/>
              <w:left w:type="dxa" w:w="110"/>
              <w:bottom w:type="dxa" w:w="80"/>
              <w:right w:type="dxa" w:w="110"/>
            </w:tcMar>
          </w:tcPr>
          <w:p>
            <w:pPr>
              <w:spacing w:after="40"/>
            </w:pPr>
            <w:r>
              <w:t xml:space="preserve">We'll get your closing costs paid.</w:t>
            </w:r>
          </w:p>
        </w:tc>
      </w:tr>
      <w:tr>
        <w:trPr>
          <w:cantSplit/>
        </w:trPr>
        <w:tc>
          <w:tcPr>
            <w:tcW w:type="dxa" w:w="4680"/>
            <w:shd w:fill="EAF4EC" w:color="auto" w:val="clear"/>
            <w:tcMar>
              <w:top w:type="dxa" w:w="80"/>
              <w:left w:type="dxa" w:w="110"/>
              <w:bottom w:type="dxa" w:w="80"/>
              <w:right w:type="dxa" w:w="110"/>
            </w:tcMar>
          </w:tcPr>
          <w:p>
            <w:pPr>
              <w:spacing w:after="40"/>
            </w:pPr>
            <w:r>
              <w:t xml:space="preserve">Meet the Agent Who Knows new construction in your area.</w:t>
            </w:r>
          </w:p>
        </w:tc>
        <w:tc>
          <w:tcPr>
            <w:tcW w:type="dxa" w:w="4680"/>
            <w:shd w:fill="F9ECEC" w:color="auto" w:val="clear"/>
            <w:tcMar>
              <w:top w:type="dxa" w:w="80"/>
              <w:left w:type="dxa" w:w="110"/>
              <w:bottom w:type="dxa" w:w="80"/>
              <w:right w:type="dxa" w:w="110"/>
            </w:tcMar>
          </w:tcPr>
          <w:p>
            <w:pPr>
              <w:spacing w:after="40"/>
            </w:pPr>
            <w:r>
              <w:t xml:space="preserve">Search every builder incentive. / Compare all builders.</w:t>
            </w:r>
          </w:p>
        </w:tc>
      </w:tr>
    </w:tbl>
    <w:p>
      <w:pPr>
        <w:spacing w:after="60"/>
      </w:pPr>
    </w:p>
    <w:p>
      <w:pPr>
        <w:spacing w:after="120" w:before="0"/>
      </w:pPr>
      <w:r>
        <w:rPr>
          <w:b/>
          <w:bCs/>
        </w:rPr>
        <w:t xml:space="preserve">Why it matters. </w:t>
      </w:r>
      <w:r>
        <w:t xml:space="preserve">The question reflects the buyer's own search back to them. AWK is not offering financing, promising credits, or guaranteeing upgrades: the builder offers, the buyer is looking, AWK knows. The singular "the builder" is doing real work — it implies a specific deal exists somewhere, and the Agent Who Knows is how you find it.</w:t>
      </w:r>
    </w:p>
    <w:p>
      <w:pPr>
        <w:spacing w:after="120" w:before="0"/>
      </w:pPr>
      <w:r>
        <w:rPr>
          <w:b/>
          <w:bCs/>
        </w:rPr>
        <w:t xml:space="preserve">AWK is a person, never a directory. </w:t>
      </w:r>
      <w:r>
        <w:t xml:space="preserve">No "search," "compare," or "browse all builders" language, and no listing grids, filters, search bars, or comparison tables in imagery. The answer to "which builder?" is a person.</w:t>
      </w:r>
    </w:p>
    <w:p>
      <w:pPr>
        <w:spacing w:after="120" w:before="0"/>
      </w:pPr>
      <w:r>
        <w:rPr>
          <w:b/>
          <w:bCs/>
        </w:rPr>
        <w:t xml:space="preserve">The number rule. </w:t>
      </w:r>
      <w:r>
        <w:t xml:space="preserve">A specific rate (e.g., 3.99%) appears only while a builder in the target market is actually advertising it, and it will change. Build every rate unit so the number is a live, editable text layer — never baked into the raster. Every size also ships in a no-number version (the closing-costs track).</w:t>
      </w:r>
    </w:p>
    <w:p>
      <w:pPr>
        <w:pStyle w:val="Heading1"/>
        <w:spacing w:after="120" w:before="320"/>
      </w:pPr>
      <w:r>
        <w:t xml:space="preserve">4. Approved copy bank (verbatim — please don't rewrite)</w:t>
      </w:r>
    </w:p>
    <w:p>
      <w:pPr>
        <w:pStyle w:val="Heading2"/>
        <w:spacing w:after="80" w:before="220"/>
      </w:pPr>
      <w:r>
        <w:t xml:space="preserve">Category line (image overlay, display units only)</w:t>
      </w:r>
    </w:p>
    <w:p>
      <w:pPr>
        <w:pStyle w:val="ListParagraph"/>
        <w:numPr>
          <w:ilvl w:val="0"/>
          <w:numId w:val="2"/>
        </w:numPr>
        <w:spacing w:after="70"/>
      </w:pPr>
      <w:r>
        <w:rPr>
          <w:b/>
          <w:bCs/>
        </w:rPr>
        <w:t xml:space="preserve">New construction has it all.</w:t>
      </w:r>
    </w:p>
    <w:p>
      <w:pPr>
        <w:pStyle w:val="Heading2"/>
        <w:spacing w:after="80" w:before="220"/>
      </w:pPr>
      <w:r>
        <w:t xml:space="preserve">Question headlines — full length</w:t>
      </w:r>
    </w:p>
    <w:p>
      <w:pPr>
        <w:pStyle w:val="ListParagraph"/>
        <w:numPr>
          <w:ilvl w:val="0"/>
          <w:numId w:val="2"/>
        </w:numPr>
        <w:spacing w:after="70"/>
      </w:pPr>
      <w:r>
        <w:rPr>
          <w:b/>
          <w:bCs/>
        </w:rPr>
        <w:t xml:space="preserve">Q1 (rate track): </w:t>
      </w:r>
      <w:r>
        <w:t xml:space="preserve">Looking for the builder with the 3.99% buydown rate?  </w:t>
      </w:r>
      <w:r>
        <w:rPr>
          <w:i/>
          <w:iCs/>
          <w:color w:val="5B6470"/>
        </w:rPr>
        <w:t xml:space="preserve">— number is an editable layer</w:t>
      </w:r>
    </w:p>
    <w:p>
      <w:pPr>
        <w:pStyle w:val="ListParagraph"/>
        <w:numPr>
          <w:ilvl w:val="0"/>
          <w:numId w:val="2"/>
        </w:numPr>
        <w:spacing w:after="70"/>
      </w:pPr>
      <w:r>
        <w:rPr>
          <w:b/>
          <w:bCs/>
        </w:rPr>
        <w:t xml:space="preserve">Q2 (closing-costs track, the default no-number version): </w:t>
      </w:r>
      <w:r>
        <w:t xml:space="preserve">Wondering which builders are paying closing costs this month?</w:t>
      </w:r>
    </w:p>
    <w:p>
      <w:pPr>
        <w:pStyle w:val="ListParagraph"/>
        <w:numPr>
          <w:ilvl w:val="0"/>
          <w:numId w:val="2"/>
        </w:numPr>
        <w:spacing w:after="70"/>
      </w:pPr>
      <w:r>
        <w:rPr>
          <w:b/>
          <w:bCs/>
        </w:rPr>
        <w:t xml:space="preserve">Q3 (upgrades track, round 2): </w:t>
      </w:r>
      <w:r>
        <w:t xml:space="preserve">Trying to find the communities throwing in free upgrades?</w:t>
      </w:r>
    </w:p>
    <w:p>
      <w:pPr>
        <w:pStyle w:val="Heading2"/>
        <w:spacing w:after="80" w:before="220"/>
      </w:pPr>
      <w:r>
        <w:t xml:space="preserve">Question headlines — short (small units and native ≤55 characters)</w:t>
      </w:r>
    </w:p>
    <w:p>
      <w:pPr>
        <w:pStyle w:val="ListParagraph"/>
        <w:numPr>
          <w:ilvl w:val="0"/>
          <w:numId w:val="2"/>
        </w:numPr>
        <w:spacing w:after="70"/>
      </w:pPr>
      <w:r>
        <w:rPr>
          <w:b/>
          <w:bCs/>
        </w:rPr>
        <w:t xml:space="preserve">Q1 short: </w:t>
      </w:r>
      <w:r>
        <w:t xml:space="preserve">Which builder has the 3.99% buydown?  </w:t>
      </w:r>
      <w:r>
        <w:rPr>
          <w:i/>
          <w:iCs/>
          <w:color w:val="5B6470"/>
        </w:rPr>
        <w:t xml:space="preserve">(36 characters)</w:t>
      </w:r>
    </w:p>
    <w:p>
      <w:pPr>
        <w:pStyle w:val="ListParagraph"/>
        <w:numPr>
          <w:ilvl w:val="0"/>
          <w:numId w:val="2"/>
        </w:numPr>
        <w:spacing w:after="70"/>
      </w:pPr>
      <w:r>
        <w:rPr>
          <w:b/>
          <w:bCs/>
        </w:rPr>
        <w:t xml:space="preserve">Q2 short: </w:t>
      </w:r>
      <w:r>
        <w:t xml:space="preserve">Which builders are paying closing costs this month?  </w:t>
      </w:r>
      <w:r>
        <w:rPr>
          <w:i/>
          <w:iCs/>
          <w:color w:val="5B6470"/>
        </w:rPr>
        <w:t xml:space="preserve">(51 characters)</w:t>
      </w:r>
    </w:p>
    <w:p>
      <w:pPr>
        <w:pStyle w:val="ListParagraph"/>
        <w:numPr>
          <w:ilvl w:val="0"/>
          <w:numId w:val="2"/>
        </w:numPr>
        <w:spacing w:after="70"/>
      </w:pPr>
      <w:r>
        <w:rPr>
          <w:b/>
          <w:bCs/>
        </w:rPr>
        <w:t xml:space="preserve">Q3 short: </w:t>
      </w:r>
      <w:r>
        <w:t xml:space="preserve">Which communities include free upgrades?  </w:t>
      </w:r>
      <w:r>
        <w:rPr>
          <w:i/>
          <w:iCs/>
          <w:color w:val="5B6470"/>
        </w:rPr>
        <w:t xml:space="preserve">(40 characters)</w:t>
      </w:r>
    </w:p>
    <w:p>
      <w:pPr>
        <w:pStyle w:val="Heading2"/>
        <w:spacing w:after="80" w:before="220"/>
      </w:pPr>
      <w:r>
        <w:t xml:space="preserve">Resolution line (the brand's signature — present on every unit 300×250 and larger)</w:t>
      </w:r>
    </w:p>
    <w:p>
      <w:pPr>
        <w:pStyle w:val="ListParagraph"/>
        <w:numPr>
          <w:ilvl w:val="0"/>
          <w:numId w:val="2"/>
        </w:numPr>
        <w:spacing w:after="70"/>
      </w:pPr>
      <w:r>
        <w:rPr>
          <w:b/>
          <w:bCs/>
        </w:rPr>
        <w:t xml:space="preserve">Full: </w:t>
      </w:r>
      <w:r>
        <w:t xml:space="preserve">Meet the Agent Who Knows new construction in your area.</w:t>
      </w:r>
    </w:p>
    <w:p>
      <w:pPr>
        <w:pStyle w:val="ListParagraph"/>
        <w:numPr>
          <w:ilvl w:val="0"/>
          <w:numId w:val="2"/>
        </w:numPr>
        <w:spacing w:after="70"/>
      </w:pPr>
      <w:r>
        <w:rPr>
          <w:b/>
          <w:bCs/>
        </w:rPr>
        <w:t xml:space="preserve">Short: </w:t>
      </w:r>
      <w:r>
        <w:t xml:space="preserve">Meet the Agent Who Knows new construction.</w:t>
      </w:r>
    </w:p>
    <w:p>
      <w:pPr>
        <w:pStyle w:val="Heading2"/>
        <w:spacing w:after="80" w:before="220"/>
      </w:pPr>
      <w:r>
        <w:t xml:space="preserve">Support lines (large units only — one per unit, never more)</w:t>
      </w:r>
    </w:p>
    <w:p>
      <w:pPr>
        <w:pStyle w:val="ListParagraph"/>
        <w:numPr>
          <w:ilvl w:val="0"/>
          <w:numId w:val="2"/>
        </w:numPr>
        <w:spacing w:after="70"/>
      </w:pPr>
      <w:r>
        <w:t xml:space="preserve">The deals change monthly.</w:t>
      </w:r>
    </w:p>
    <w:p>
      <w:pPr>
        <w:pStyle w:val="ListParagraph"/>
        <w:numPr>
          <w:ilvl w:val="0"/>
          <w:numId w:val="2"/>
        </w:numPr>
        <w:spacing w:after="70"/>
      </w:pPr>
      <w:r>
        <w:t xml:space="preserve">Every on-site agent only knows their builder.</w:t>
      </w:r>
    </w:p>
    <w:p>
      <w:pPr>
        <w:pStyle w:val="ListParagraph"/>
        <w:numPr>
          <w:ilvl w:val="0"/>
          <w:numId w:val="2"/>
        </w:numPr>
        <w:spacing w:after="70"/>
      </w:pPr>
      <w:r>
        <w:t xml:space="preserve">Ask the one person tracking all of them.</w:t>
      </w:r>
    </w:p>
    <w:p>
      <w:pPr>
        <w:pStyle w:val="ListParagraph"/>
        <w:numPr>
          <w:ilvl w:val="0"/>
          <w:numId w:val="2"/>
        </w:numPr>
        <w:spacing w:after="70"/>
      </w:pPr>
      <w:r>
        <w:t xml:space="preserve">Connect before you register with a builder.</w:t>
      </w:r>
    </w:p>
    <w:p>
      <w:pPr>
        <w:pStyle w:val="Heading2"/>
        <w:spacing w:after="80" w:before="220"/>
      </w:pPr>
      <w:r>
        <w:t xml:space="preserve">Call to action and brand line</w:t>
      </w:r>
    </w:p>
    <w:p>
      <w:pPr>
        <w:pStyle w:val="ListParagraph"/>
        <w:numPr>
          <w:ilvl w:val="0"/>
          <w:numId w:val="2"/>
        </w:numPr>
        <w:spacing w:after="70"/>
      </w:pPr>
      <w:r>
        <w:rPr>
          <w:b/>
          <w:bCs/>
        </w:rPr>
        <w:t xml:space="preserve">CTA (primary, required for native): </w:t>
      </w:r>
      <w:r>
        <w:t xml:space="preserve">Learn More</w:t>
      </w:r>
    </w:p>
    <w:p>
      <w:pPr>
        <w:pStyle w:val="ListParagraph"/>
        <w:numPr>
          <w:ilvl w:val="0"/>
          <w:numId w:val="2"/>
        </w:numPr>
        <w:spacing w:after="70"/>
      </w:pPr>
      <w:r>
        <w:rPr>
          <w:b/>
          <w:bCs/>
        </w:rPr>
        <w:t xml:space="preserve">CTA (display alternate): </w:t>
      </w:r>
      <w:r>
        <w:t xml:space="preserve">Get Connected</w:t>
      </w:r>
    </w:p>
    <w:p>
      <w:pPr>
        <w:pStyle w:val="ListParagraph"/>
        <w:numPr>
          <w:ilvl w:val="0"/>
          <w:numId w:val="2"/>
        </w:numPr>
        <w:spacing w:after="70"/>
      </w:pPr>
      <w:r>
        <w:rPr>
          <w:b/>
          <w:bCs/>
        </w:rPr>
        <w:t xml:space="preserve">Brand line: </w:t>
      </w:r>
      <w:r>
        <w:t xml:space="preserve">AgentWhoKnows.com</w:t>
      </w:r>
    </w:p>
    <w:p>
      <w:pPr>
        <w:pStyle w:val="Heading2"/>
        <w:spacing w:after="80" w:before="220"/>
      </w:pPr>
      <w:r>
        <w:t xml:space="preserve">Native copy set (character-limited — counts verified)</w:t>
      </w:r>
    </w:p>
    <w:tbl>
      <w:tblPr>
        <w:tblW w:type="dxa" w:w="9360"/>
        <w:tblBorders>
          <w:top w:val="single" w:color="C9CFD8" w:sz="4"/>
          <w:left w:val="single" w:color="C9CFD8" w:sz="4"/>
          <w:bottom w:val="single" w:color="C9CFD8" w:sz="4"/>
          <w:right w:val="single" w:color="C9CFD8" w:sz="4"/>
          <w:insideH w:val="single" w:color="C9CFD8" w:sz="4"/>
          <w:insideV w:val="single" w:color="C9CFD8" w:sz="4"/>
        </w:tblBorders>
      </w:tblPr>
      <w:tblGrid>
        <w:gridCol w:w="2400"/>
        <w:gridCol w:w="5560"/>
        <w:gridCol w:w="1400"/>
      </w:tblGrid>
      <w:tr>
        <w:trPr>
          <w:cantSplit/>
          <w:tblHeader/>
        </w:trPr>
        <w:tc>
          <w:tcPr>
            <w:tcW w:type="dxa" w:w="2400"/>
            <w:shd w:fill="E8ECF2" w:color="auto" w:val="clear"/>
            <w:tcMar>
              <w:top w:type="dxa" w:w="80"/>
              <w:left w:type="dxa" w:w="110"/>
              <w:bottom w:type="dxa" w:w="80"/>
              <w:right w:type="dxa" w:w="110"/>
            </w:tcMar>
          </w:tcPr>
          <w:p>
            <w:pPr>
              <w:spacing w:after="40"/>
            </w:pPr>
            <w:r>
              <w:rPr>
                <w:b/>
                <w:bCs/>
              </w:rPr>
              <w:t xml:space="preserve">Field</w:t>
            </w:r>
          </w:p>
        </w:tc>
        <w:tc>
          <w:tcPr>
            <w:tcW w:type="dxa" w:w="5560"/>
            <w:shd w:fill="E8ECF2" w:color="auto" w:val="clear"/>
            <w:tcMar>
              <w:top w:type="dxa" w:w="80"/>
              <w:left w:type="dxa" w:w="110"/>
              <w:bottom w:type="dxa" w:w="80"/>
              <w:right w:type="dxa" w:w="110"/>
            </w:tcMar>
          </w:tcPr>
          <w:p>
            <w:pPr>
              <w:spacing w:after="40"/>
            </w:pPr>
            <w:r>
              <w:rPr>
                <w:b/>
                <w:bCs/>
              </w:rPr>
              <w:t xml:space="preserve">Copy</w:t>
            </w:r>
          </w:p>
        </w:tc>
        <w:tc>
          <w:tcPr>
            <w:tcW w:type="dxa" w:w="1400"/>
            <w:shd w:fill="E8ECF2" w:color="auto" w:val="clear"/>
            <w:tcMar>
              <w:top w:type="dxa" w:w="80"/>
              <w:left w:type="dxa" w:w="110"/>
              <w:bottom w:type="dxa" w:w="80"/>
              <w:right w:type="dxa" w:w="110"/>
            </w:tcMar>
          </w:tcPr>
          <w:p>
            <w:pPr>
              <w:spacing w:after="40"/>
            </w:pPr>
            <w:r>
              <w:rPr>
                <w:b/>
                <w:bCs/>
              </w:rPr>
              <w:t xml:space="preserve">Count / limit</w:t>
            </w:r>
          </w:p>
        </w:tc>
      </w:tr>
      <w:tr>
        <w:trPr>
          <w:cantSplit/>
        </w:trPr>
        <w:tc>
          <w:tcPr>
            <w:tcW w:type="dxa" w:w="2400"/>
            <w:tcMar>
              <w:top w:type="dxa" w:w="80"/>
              <w:left w:type="dxa" w:w="110"/>
              <w:bottom w:type="dxa" w:w="80"/>
              <w:right w:type="dxa" w:w="110"/>
            </w:tcMar>
          </w:tcPr>
          <w:p>
            <w:pPr>
              <w:spacing w:after="40"/>
            </w:pPr>
            <w:r>
              <w:t xml:space="preserve">Headline option A</w:t>
            </w:r>
          </w:p>
        </w:tc>
        <w:tc>
          <w:tcPr>
            <w:tcW w:type="dxa" w:w="5560"/>
            <w:tcMar>
              <w:top w:type="dxa" w:w="80"/>
              <w:left w:type="dxa" w:w="110"/>
              <w:bottom w:type="dxa" w:w="80"/>
              <w:right w:type="dxa" w:w="110"/>
            </w:tcMar>
          </w:tcPr>
          <w:p>
            <w:pPr>
              <w:spacing w:after="40"/>
            </w:pPr>
            <w:r>
              <w:t xml:space="preserve">Looking for the builder with the 3.99% buydown rate?</w:t>
            </w:r>
          </w:p>
        </w:tc>
        <w:tc>
          <w:tcPr>
            <w:tcW w:type="dxa" w:w="1400"/>
            <w:tcMar>
              <w:top w:type="dxa" w:w="80"/>
              <w:left w:type="dxa" w:w="110"/>
              <w:bottom w:type="dxa" w:w="80"/>
              <w:right w:type="dxa" w:w="110"/>
            </w:tcMar>
          </w:tcPr>
          <w:p>
            <w:pPr>
              <w:spacing w:after="40"/>
            </w:pPr>
            <w:r>
              <w:t xml:space="preserve">52 / 55</w:t>
            </w:r>
          </w:p>
        </w:tc>
      </w:tr>
      <w:tr>
        <w:trPr>
          <w:cantSplit/>
        </w:trPr>
        <w:tc>
          <w:tcPr>
            <w:tcW w:type="dxa" w:w="2400"/>
            <w:tcMar>
              <w:top w:type="dxa" w:w="80"/>
              <w:left w:type="dxa" w:w="110"/>
              <w:bottom w:type="dxa" w:w="80"/>
              <w:right w:type="dxa" w:w="110"/>
            </w:tcMar>
          </w:tcPr>
          <w:p>
            <w:pPr>
              <w:spacing w:after="40"/>
            </w:pPr>
            <w:r>
              <w:t xml:space="preserve">Headline option B</w:t>
            </w:r>
          </w:p>
        </w:tc>
        <w:tc>
          <w:tcPr>
            <w:tcW w:type="dxa" w:w="5560"/>
            <w:tcMar>
              <w:top w:type="dxa" w:w="80"/>
              <w:left w:type="dxa" w:w="110"/>
              <w:bottom w:type="dxa" w:w="80"/>
              <w:right w:type="dxa" w:w="110"/>
            </w:tcMar>
          </w:tcPr>
          <w:p>
            <w:pPr>
              <w:spacing w:after="40"/>
            </w:pPr>
            <w:r>
              <w:t xml:space="preserve">Which builders are paying closing costs this month?</w:t>
            </w:r>
          </w:p>
        </w:tc>
        <w:tc>
          <w:tcPr>
            <w:tcW w:type="dxa" w:w="1400"/>
            <w:tcMar>
              <w:top w:type="dxa" w:w="80"/>
              <w:left w:type="dxa" w:w="110"/>
              <w:bottom w:type="dxa" w:w="80"/>
              <w:right w:type="dxa" w:w="110"/>
            </w:tcMar>
          </w:tcPr>
          <w:p>
            <w:pPr>
              <w:spacing w:after="40"/>
            </w:pPr>
            <w:r>
              <w:t xml:space="preserve">51 / 55</w:t>
            </w:r>
          </w:p>
        </w:tc>
      </w:tr>
      <w:tr>
        <w:trPr>
          <w:cantSplit/>
        </w:trPr>
        <w:tc>
          <w:tcPr>
            <w:tcW w:type="dxa" w:w="2400"/>
            <w:tcMar>
              <w:top w:type="dxa" w:w="80"/>
              <w:left w:type="dxa" w:w="110"/>
              <w:bottom w:type="dxa" w:w="80"/>
              <w:right w:type="dxa" w:w="110"/>
            </w:tcMar>
          </w:tcPr>
          <w:p>
            <w:pPr>
              <w:spacing w:after="40"/>
            </w:pPr>
            <w:r>
              <w:t xml:space="preserve">Headline option C</w:t>
            </w:r>
          </w:p>
        </w:tc>
        <w:tc>
          <w:tcPr>
            <w:tcW w:type="dxa" w:w="5560"/>
            <w:tcMar>
              <w:top w:type="dxa" w:w="80"/>
              <w:left w:type="dxa" w:w="110"/>
              <w:bottom w:type="dxa" w:w="80"/>
              <w:right w:type="dxa" w:w="110"/>
            </w:tcMar>
          </w:tcPr>
          <w:p>
            <w:pPr>
              <w:spacing w:after="40"/>
            </w:pPr>
            <w:r>
              <w:t xml:space="preserve">Which communities include free upgrades?</w:t>
            </w:r>
          </w:p>
        </w:tc>
        <w:tc>
          <w:tcPr>
            <w:tcW w:type="dxa" w:w="1400"/>
            <w:tcMar>
              <w:top w:type="dxa" w:w="80"/>
              <w:left w:type="dxa" w:w="110"/>
              <w:bottom w:type="dxa" w:w="80"/>
              <w:right w:type="dxa" w:w="110"/>
            </w:tcMar>
          </w:tcPr>
          <w:p>
            <w:pPr>
              <w:spacing w:after="40"/>
            </w:pPr>
            <w:r>
              <w:t xml:space="preserve">40 / 55</w:t>
            </w:r>
          </w:p>
        </w:tc>
      </w:tr>
      <w:tr>
        <w:trPr>
          <w:cantSplit/>
        </w:trPr>
        <w:tc>
          <w:tcPr>
            <w:tcW w:type="dxa" w:w="2400"/>
            <w:tcMar>
              <w:top w:type="dxa" w:w="80"/>
              <w:left w:type="dxa" w:w="110"/>
              <w:bottom w:type="dxa" w:w="80"/>
              <w:right w:type="dxa" w:w="110"/>
            </w:tcMar>
          </w:tcPr>
          <w:p>
            <w:pPr>
              <w:spacing w:after="40"/>
            </w:pPr>
            <w:r>
              <w:t xml:space="preserve">Description A</w:t>
            </w:r>
          </w:p>
        </w:tc>
        <w:tc>
          <w:tcPr>
            <w:tcW w:type="dxa" w:w="5560"/>
            <w:tcMar>
              <w:top w:type="dxa" w:w="80"/>
              <w:left w:type="dxa" w:w="110"/>
              <w:bottom w:type="dxa" w:w="80"/>
              <w:right w:type="dxa" w:w="110"/>
            </w:tcMar>
          </w:tcPr>
          <w:p>
            <w:pPr>
              <w:spacing w:after="40"/>
            </w:pPr>
            <w:r>
              <w:t xml:space="preserve">Every on-site agent only knows their builder. Meet the Agent Who Knows new construction in your area.</w:t>
            </w:r>
          </w:p>
        </w:tc>
        <w:tc>
          <w:tcPr>
            <w:tcW w:type="dxa" w:w="1400"/>
            <w:tcMar>
              <w:top w:type="dxa" w:w="80"/>
              <w:left w:type="dxa" w:w="110"/>
              <w:bottom w:type="dxa" w:w="80"/>
              <w:right w:type="dxa" w:w="110"/>
            </w:tcMar>
          </w:tcPr>
          <w:p>
            <w:pPr>
              <w:spacing w:after="40"/>
            </w:pPr>
            <w:r>
              <w:t xml:space="preserve">101 / 120</w:t>
            </w:r>
          </w:p>
        </w:tc>
      </w:tr>
      <w:tr>
        <w:trPr>
          <w:cantSplit/>
        </w:trPr>
        <w:tc>
          <w:tcPr>
            <w:tcW w:type="dxa" w:w="2400"/>
            <w:tcMar>
              <w:top w:type="dxa" w:w="80"/>
              <w:left w:type="dxa" w:w="110"/>
              <w:bottom w:type="dxa" w:w="80"/>
              <w:right w:type="dxa" w:w="110"/>
            </w:tcMar>
          </w:tcPr>
          <w:p>
            <w:pPr>
              <w:spacing w:after="40"/>
            </w:pPr>
            <w:r>
              <w:t xml:space="preserve">Description B</w:t>
            </w:r>
          </w:p>
        </w:tc>
        <w:tc>
          <w:tcPr>
            <w:tcW w:type="dxa" w:w="5560"/>
            <w:tcMar>
              <w:top w:type="dxa" w:w="80"/>
              <w:left w:type="dxa" w:w="110"/>
              <w:bottom w:type="dxa" w:w="80"/>
              <w:right w:type="dxa" w:w="110"/>
            </w:tcMar>
          </w:tcPr>
          <w:p>
            <w:pPr>
              <w:spacing w:after="40"/>
            </w:pPr>
            <w:r>
              <w:t xml:space="preserve">The deals change monthly. Ask the one person tracking all of them — the Agent Who Knows new construction.</w:t>
            </w:r>
          </w:p>
        </w:tc>
        <w:tc>
          <w:tcPr>
            <w:tcW w:type="dxa" w:w="1400"/>
            <w:tcMar>
              <w:top w:type="dxa" w:w="80"/>
              <w:left w:type="dxa" w:w="110"/>
              <w:bottom w:type="dxa" w:w="80"/>
              <w:right w:type="dxa" w:w="110"/>
            </w:tcMar>
          </w:tcPr>
          <w:p>
            <w:pPr>
              <w:spacing w:after="40"/>
            </w:pPr>
            <w:r>
              <w:t xml:space="preserve">105 / 120</w:t>
            </w:r>
          </w:p>
        </w:tc>
      </w:tr>
      <w:tr>
        <w:trPr>
          <w:cantSplit/>
        </w:trPr>
        <w:tc>
          <w:tcPr>
            <w:tcW w:type="dxa" w:w="2400"/>
            <w:tcMar>
              <w:top w:type="dxa" w:w="80"/>
              <w:left w:type="dxa" w:w="110"/>
              <w:bottom w:type="dxa" w:w="80"/>
              <w:right w:type="dxa" w:w="110"/>
            </w:tcMar>
          </w:tcPr>
          <w:p>
            <w:pPr>
              <w:spacing w:after="40"/>
            </w:pPr>
            <w:r>
              <w:t xml:space="preserve">Sponsored by</w:t>
            </w:r>
          </w:p>
        </w:tc>
        <w:tc>
          <w:tcPr>
            <w:tcW w:type="dxa" w:w="5560"/>
            <w:tcMar>
              <w:top w:type="dxa" w:w="80"/>
              <w:left w:type="dxa" w:w="110"/>
              <w:bottom w:type="dxa" w:w="80"/>
              <w:right w:type="dxa" w:w="110"/>
            </w:tcMar>
          </w:tcPr>
          <w:p>
            <w:pPr>
              <w:spacing w:after="40"/>
            </w:pPr>
            <w:r>
              <w:t xml:space="preserve">AgentWhoKnows.com</w:t>
            </w:r>
          </w:p>
        </w:tc>
        <w:tc>
          <w:tcPr>
            <w:tcW w:type="dxa" w:w="1400"/>
            <w:tcMar>
              <w:top w:type="dxa" w:w="80"/>
              <w:left w:type="dxa" w:w="110"/>
              <w:bottom w:type="dxa" w:w="80"/>
              <w:right w:type="dxa" w:w="110"/>
            </w:tcMar>
          </w:tcPr>
          <w:p>
            <w:pPr>
              <w:spacing w:after="40"/>
            </w:pPr>
            <w:r>
              <w:t xml:space="preserve">17 / 25</w:t>
            </w:r>
          </w:p>
        </w:tc>
      </w:tr>
      <w:tr>
        <w:trPr>
          <w:cantSplit/>
        </w:trPr>
        <w:tc>
          <w:tcPr>
            <w:tcW w:type="dxa" w:w="2400"/>
            <w:tcMar>
              <w:top w:type="dxa" w:w="80"/>
              <w:left w:type="dxa" w:w="110"/>
              <w:bottom w:type="dxa" w:w="80"/>
              <w:right w:type="dxa" w:w="110"/>
            </w:tcMar>
          </w:tcPr>
          <w:p>
            <w:pPr>
              <w:spacing w:after="40"/>
            </w:pPr>
            <w:r>
              <w:t xml:space="preserve">CTA</w:t>
            </w:r>
          </w:p>
        </w:tc>
        <w:tc>
          <w:tcPr>
            <w:tcW w:type="dxa" w:w="5560"/>
            <w:tcMar>
              <w:top w:type="dxa" w:w="80"/>
              <w:left w:type="dxa" w:w="110"/>
              <w:bottom w:type="dxa" w:w="80"/>
              <w:right w:type="dxa" w:w="110"/>
            </w:tcMar>
          </w:tcPr>
          <w:p>
            <w:pPr>
              <w:spacing w:after="40"/>
            </w:pPr>
            <w:r>
              <w:t xml:space="preserve">Learn More</w:t>
            </w:r>
          </w:p>
        </w:tc>
        <w:tc>
          <w:tcPr>
            <w:tcW w:type="dxa" w:w="1400"/>
            <w:tcMar>
              <w:top w:type="dxa" w:w="80"/>
              <w:left w:type="dxa" w:w="110"/>
              <w:bottom w:type="dxa" w:w="80"/>
              <w:right w:type="dxa" w:w="110"/>
            </w:tcMar>
          </w:tcPr>
          <w:p>
            <w:pPr>
              <w:spacing w:after="40"/>
            </w:pPr>
            <w:r>
              <w:t xml:space="preserve">10 / 10</w:t>
            </w:r>
          </w:p>
        </w:tc>
      </w:tr>
    </w:tbl>
    <w:p>
      <w:pPr>
        <w:pStyle w:val="Heading1"/>
        <w:spacing w:after="120" w:before="320"/>
      </w:pPr>
      <w:r>
        <w:t xml:space="preserve">5. What goes on each unit</w:t>
      </w:r>
    </w:p>
    <w:p>
      <w:pPr>
        <w:spacing w:after="120" w:before="0"/>
      </w:pPr>
      <w:r>
        <w:t xml:space="preserve">Hierarchy on every unit, largest to smallest: question → resolution line → support line (large units only) → CTA button → logo. Where space runs out, drop from the bottom of the copy list, never the top.</w:t>
      </w:r>
    </w:p>
    <w:tbl>
      <w:tblPr>
        <w:tblW w:type="dxa" w:w="9360"/>
        <w:tblBorders>
          <w:top w:val="single" w:color="C9CFD8" w:sz="4"/>
          <w:left w:val="single" w:color="C9CFD8" w:sz="4"/>
          <w:bottom w:val="single" w:color="C9CFD8" w:sz="4"/>
          <w:right w:val="single" w:color="C9CFD8" w:sz="4"/>
          <w:insideH w:val="single" w:color="C9CFD8" w:sz="4"/>
          <w:insideV w:val="single" w:color="C9CFD8" w:sz="4"/>
        </w:tblBorders>
      </w:tblPr>
      <w:tblGrid>
        <w:gridCol w:w="2300"/>
        <w:gridCol w:w="2900"/>
        <w:gridCol w:w="4160"/>
      </w:tblGrid>
      <w:tr>
        <w:trPr>
          <w:cantSplit/>
          <w:tblHeader/>
        </w:trPr>
        <w:tc>
          <w:tcPr>
            <w:tcW w:type="dxa" w:w="2300"/>
            <w:shd w:fill="E8ECF2" w:color="auto" w:val="clear"/>
            <w:tcMar>
              <w:top w:type="dxa" w:w="80"/>
              <w:left w:type="dxa" w:w="110"/>
              <w:bottom w:type="dxa" w:w="80"/>
              <w:right w:type="dxa" w:w="110"/>
            </w:tcMar>
          </w:tcPr>
          <w:p>
            <w:pPr>
              <w:spacing w:after="40"/>
            </w:pPr>
            <w:r>
              <w:rPr>
                <w:b/>
                <w:bCs/>
              </w:rPr>
              <w:t xml:space="preserve">Unit</w:t>
            </w:r>
          </w:p>
        </w:tc>
        <w:tc>
          <w:tcPr>
            <w:tcW w:type="dxa" w:w="2900"/>
            <w:shd w:fill="E8ECF2" w:color="auto" w:val="clear"/>
            <w:tcMar>
              <w:top w:type="dxa" w:w="80"/>
              <w:left w:type="dxa" w:w="110"/>
              <w:bottom w:type="dxa" w:w="80"/>
              <w:right w:type="dxa" w:w="110"/>
            </w:tcMar>
          </w:tcPr>
          <w:p>
            <w:pPr>
              <w:spacing w:after="40"/>
            </w:pPr>
            <w:r>
              <w:rPr>
                <w:b/>
                <w:bCs/>
              </w:rPr>
              <w:t xml:space="preserve">Image layer</w:t>
            </w:r>
          </w:p>
        </w:tc>
        <w:tc>
          <w:tcPr>
            <w:tcW w:type="dxa" w:w="4160"/>
            <w:shd w:fill="E8ECF2" w:color="auto" w:val="clear"/>
            <w:tcMar>
              <w:top w:type="dxa" w:w="80"/>
              <w:left w:type="dxa" w:w="110"/>
              <w:bottom w:type="dxa" w:w="80"/>
              <w:right w:type="dxa" w:w="110"/>
            </w:tcMar>
          </w:tcPr>
          <w:p>
            <w:pPr>
              <w:spacing w:after="40"/>
            </w:pPr>
            <w:r>
              <w:rPr>
                <w:b/>
                <w:bCs/>
              </w:rPr>
              <w:t xml:space="preserve">Copy on the unit</w:t>
            </w:r>
          </w:p>
        </w:tc>
      </w:tr>
      <w:tr>
        <w:trPr>
          <w:cantSplit/>
        </w:trPr>
        <w:tc>
          <w:tcPr>
            <w:tcW w:type="dxa" w:w="2300"/>
            <w:tcMar>
              <w:top w:type="dxa" w:w="80"/>
              <w:left w:type="dxa" w:w="110"/>
              <w:bottom w:type="dxa" w:w="80"/>
              <w:right w:type="dxa" w:w="110"/>
            </w:tcMar>
          </w:tcPr>
          <w:p>
            <w:pPr>
              <w:spacing w:after="40"/>
            </w:pPr>
            <w:r>
              <w:t xml:space="preserve">320×50 (mobile leaderboard)</w:t>
            </w:r>
          </w:p>
        </w:tc>
        <w:tc>
          <w:tcPr>
            <w:tcW w:type="dxa" w:w="2900"/>
            <w:tcMar>
              <w:top w:type="dxa" w:w="80"/>
              <w:left w:type="dxa" w:w="110"/>
              <w:bottom w:type="dxa" w:w="80"/>
              <w:right w:type="dxa" w:w="110"/>
            </w:tcMar>
          </w:tcPr>
          <w:p>
            <w:pPr>
              <w:spacing w:after="40"/>
            </w:pPr>
            <w:r>
              <w:t xml:space="preserve">Small image tile, or none</w:t>
            </w:r>
          </w:p>
        </w:tc>
        <w:tc>
          <w:tcPr>
            <w:tcW w:type="dxa" w:w="4160"/>
            <w:tcMar>
              <w:top w:type="dxa" w:w="80"/>
              <w:left w:type="dxa" w:w="110"/>
              <w:bottom w:type="dxa" w:w="80"/>
              <w:right w:type="dxa" w:w="110"/>
            </w:tcMar>
          </w:tcPr>
          <w:p>
            <w:pPr>
              <w:spacing w:after="40"/>
            </w:pPr>
            <w:r>
              <w:t xml:space="preserve">Short question + CTA + logo. Resolution omitted only if it will not fit legibly.</w:t>
            </w:r>
          </w:p>
        </w:tc>
      </w:tr>
      <w:tr>
        <w:trPr>
          <w:cantSplit/>
        </w:trPr>
        <w:tc>
          <w:tcPr>
            <w:tcW w:type="dxa" w:w="2300"/>
            <w:tcMar>
              <w:top w:type="dxa" w:w="80"/>
              <w:left w:type="dxa" w:w="110"/>
              <w:bottom w:type="dxa" w:w="80"/>
              <w:right w:type="dxa" w:w="110"/>
            </w:tcMar>
          </w:tcPr>
          <w:p>
            <w:pPr>
              <w:spacing w:after="40"/>
            </w:pPr>
            <w:r>
              <w:t xml:space="preserve">728×90 leaderboard / 970×90</w:t>
            </w:r>
          </w:p>
        </w:tc>
        <w:tc>
          <w:tcPr>
            <w:tcW w:type="dxa" w:w="2900"/>
            <w:tcMar>
              <w:top w:type="dxa" w:w="80"/>
              <w:left w:type="dxa" w:w="110"/>
              <w:bottom w:type="dxa" w:w="80"/>
              <w:right w:type="dxa" w:w="110"/>
            </w:tcMar>
          </w:tcPr>
          <w:p>
            <w:pPr>
              <w:spacing w:after="40"/>
            </w:pPr>
            <w:r>
              <w:t xml:space="preserve">Image strip, left</w:t>
            </w:r>
          </w:p>
        </w:tc>
        <w:tc>
          <w:tcPr>
            <w:tcW w:type="dxa" w:w="4160"/>
            <w:tcMar>
              <w:top w:type="dxa" w:w="80"/>
              <w:left w:type="dxa" w:w="110"/>
              <w:bottom w:type="dxa" w:w="80"/>
              <w:right w:type="dxa" w:w="110"/>
            </w:tcMar>
          </w:tcPr>
          <w:p>
            <w:pPr>
              <w:spacing w:after="40"/>
            </w:pPr>
            <w:r>
              <w:t xml:space="preserve">Short question + short resolution + CTA + logo</w:t>
            </w:r>
          </w:p>
        </w:tc>
      </w:tr>
      <w:tr>
        <w:trPr>
          <w:cantSplit/>
        </w:trPr>
        <w:tc>
          <w:tcPr>
            <w:tcW w:type="dxa" w:w="2300"/>
            <w:tcMar>
              <w:top w:type="dxa" w:w="80"/>
              <w:left w:type="dxa" w:w="110"/>
              <w:bottom w:type="dxa" w:w="80"/>
              <w:right w:type="dxa" w:w="110"/>
            </w:tcMar>
          </w:tcPr>
          <w:p>
            <w:pPr>
              <w:spacing w:after="40"/>
            </w:pPr>
            <w:r>
              <w:t xml:space="preserve">300×250 (medium rectangle)</w:t>
            </w:r>
          </w:p>
        </w:tc>
        <w:tc>
          <w:tcPr>
            <w:tcW w:type="dxa" w:w="2900"/>
            <w:tcMar>
              <w:top w:type="dxa" w:w="80"/>
              <w:left w:type="dxa" w:w="110"/>
              <w:bottom w:type="dxa" w:w="80"/>
              <w:right w:type="dxa" w:w="110"/>
            </w:tcMar>
          </w:tcPr>
          <w:p>
            <w:pPr>
              <w:spacing w:after="40"/>
            </w:pPr>
            <w:r>
              <w:t xml:space="preserve">Image top or left, category overlay</w:t>
            </w:r>
          </w:p>
        </w:tc>
        <w:tc>
          <w:tcPr>
            <w:tcW w:type="dxa" w:w="4160"/>
            <w:tcMar>
              <w:top w:type="dxa" w:w="80"/>
              <w:left w:type="dxa" w:w="110"/>
              <w:bottom w:type="dxa" w:w="80"/>
              <w:right w:type="dxa" w:w="110"/>
            </w:tcMar>
          </w:tcPr>
          <w:p>
            <w:pPr>
              <w:spacing w:after="40"/>
            </w:pPr>
            <w:r>
              <w:t xml:space="preserve">Full question + short resolution + CTA + logo</w:t>
            </w:r>
          </w:p>
        </w:tc>
      </w:tr>
      <w:tr>
        <w:trPr>
          <w:cantSplit/>
        </w:trPr>
        <w:tc>
          <w:tcPr>
            <w:tcW w:type="dxa" w:w="2300"/>
            <w:tcMar>
              <w:top w:type="dxa" w:w="80"/>
              <w:left w:type="dxa" w:w="110"/>
              <w:bottom w:type="dxa" w:w="80"/>
              <w:right w:type="dxa" w:w="110"/>
            </w:tcMar>
          </w:tcPr>
          <w:p>
            <w:pPr>
              <w:spacing w:after="40"/>
            </w:pPr>
            <w:r>
              <w:t xml:space="preserve">160×600 (wide skyscraper)</w:t>
            </w:r>
          </w:p>
        </w:tc>
        <w:tc>
          <w:tcPr>
            <w:tcW w:type="dxa" w:w="2900"/>
            <w:tcMar>
              <w:top w:type="dxa" w:w="80"/>
              <w:left w:type="dxa" w:w="110"/>
              <w:bottom w:type="dxa" w:w="80"/>
              <w:right w:type="dxa" w:w="110"/>
            </w:tcMar>
          </w:tcPr>
          <w:p>
            <w:pPr>
              <w:spacing w:after="40"/>
            </w:pPr>
            <w:r>
              <w:t xml:space="preserve">Image top</w:t>
            </w:r>
          </w:p>
        </w:tc>
        <w:tc>
          <w:tcPr>
            <w:tcW w:type="dxa" w:w="4160"/>
            <w:tcMar>
              <w:top w:type="dxa" w:w="80"/>
              <w:left w:type="dxa" w:w="110"/>
              <w:bottom w:type="dxa" w:w="80"/>
              <w:right w:type="dxa" w:w="110"/>
            </w:tcMar>
          </w:tcPr>
          <w:p>
            <w:pPr>
              <w:spacing w:after="40"/>
            </w:pPr>
            <w:r>
              <w:t xml:space="preserve">Full question + short resolution + CTA + logo</w:t>
            </w:r>
          </w:p>
        </w:tc>
      </w:tr>
      <w:tr>
        <w:trPr>
          <w:cantSplit/>
        </w:trPr>
        <w:tc>
          <w:tcPr>
            <w:tcW w:type="dxa" w:w="2300"/>
            <w:tcMar>
              <w:top w:type="dxa" w:w="80"/>
              <w:left w:type="dxa" w:w="110"/>
              <w:bottom w:type="dxa" w:w="80"/>
              <w:right w:type="dxa" w:w="110"/>
            </w:tcMar>
          </w:tcPr>
          <w:p>
            <w:pPr>
              <w:spacing w:after="40"/>
            </w:pPr>
            <w:r>
              <w:t xml:space="preserve">300×600 (half page)</w:t>
            </w:r>
          </w:p>
        </w:tc>
        <w:tc>
          <w:tcPr>
            <w:tcW w:type="dxa" w:w="2900"/>
            <w:tcMar>
              <w:top w:type="dxa" w:w="80"/>
              <w:left w:type="dxa" w:w="110"/>
              <w:bottom w:type="dxa" w:w="80"/>
              <w:right w:type="dxa" w:w="110"/>
            </w:tcMar>
          </w:tcPr>
          <w:p>
            <w:pPr>
              <w:spacing w:after="40"/>
            </w:pPr>
            <w:r>
              <w:t xml:space="preserve">Image top, category overlay</w:t>
            </w:r>
          </w:p>
        </w:tc>
        <w:tc>
          <w:tcPr>
            <w:tcW w:type="dxa" w:w="4160"/>
            <w:tcMar>
              <w:top w:type="dxa" w:w="80"/>
              <w:left w:type="dxa" w:w="110"/>
              <w:bottom w:type="dxa" w:w="80"/>
              <w:right w:type="dxa" w:w="110"/>
            </w:tcMar>
          </w:tcPr>
          <w:p>
            <w:pPr>
              <w:spacing w:after="40"/>
            </w:pPr>
            <w:r>
              <w:t xml:space="preserve">Full question + one support line + full resolution + CTA + logo</w:t>
            </w:r>
          </w:p>
        </w:tc>
      </w:tr>
      <w:tr>
        <w:trPr>
          <w:cantSplit/>
        </w:trPr>
        <w:tc>
          <w:tcPr>
            <w:tcW w:type="dxa" w:w="2300"/>
            <w:tcMar>
              <w:top w:type="dxa" w:w="80"/>
              <w:left w:type="dxa" w:w="110"/>
              <w:bottom w:type="dxa" w:w="80"/>
              <w:right w:type="dxa" w:w="110"/>
            </w:tcMar>
          </w:tcPr>
          <w:p>
            <w:pPr>
              <w:spacing w:after="40"/>
            </w:pPr>
            <w:r>
              <w:t xml:space="preserve">970×250 (billboard)</w:t>
            </w:r>
          </w:p>
        </w:tc>
        <w:tc>
          <w:tcPr>
            <w:tcW w:type="dxa" w:w="2900"/>
            <w:tcMar>
              <w:top w:type="dxa" w:w="80"/>
              <w:left w:type="dxa" w:w="110"/>
              <w:bottom w:type="dxa" w:w="80"/>
              <w:right w:type="dxa" w:w="110"/>
            </w:tcMar>
          </w:tcPr>
          <w:p>
            <w:pPr>
              <w:spacing w:after="40"/>
            </w:pPr>
            <w:r>
              <w:t xml:space="preserve">Image left, category overlay</w:t>
            </w:r>
          </w:p>
        </w:tc>
        <w:tc>
          <w:tcPr>
            <w:tcW w:type="dxa" w:w="4160"/>
            <w:tcMar>
              <w:top w:type="dxa" w:w="80"/>
              <w:left w:type="dxa" w:w="110"/>
              <w:bottom w:type="dxa" w:w="80"/>
              <w:right w:type="dxa" w:w="110"/>
            </w:tcMar>
          </w:tcPr>
          <w:p>
            <w:pPr>
              <w:spacing w:after="40"/>
            </w:pPr>
            <w:r>
              <w:t xml:space="preserve">Full question + one support line + full resolution + CTA + logo</w:t>
            </w:r>
          </w:p>
        </w:tc>
      </w:tr>
      <w:tr>
        <w:trPr>
          <w:cantSplit/>
        </w:trPr>
        <w:tc>
          <w:tcPr>
            <w:tcW w:type="dxa" w:w="2300"/>
            <w:tcMar>
              <w:top w:type="dxa" w:w="80"/>
              <w:left w:type="dxa" w:w="110"/>
              <w:bottom w:type="dxa" w:w="80"/>
              <w:right w:type="dxa" w:w="110"/>
            </w:tcMar>
          </w:tcPr>
          <w:p>
            <w:pPr>
              <w:spacing w:after="40"/>
            </w:pPr>
            <w:r>
              <w:t xml:space="preserve">Native 1200×628 and 600×600</w:t>
            </w:r>
          </w:p>
        </w:tc>
        <w:tc>
          <w:tcPr>
            <w:tcW w:type="dxa" w:w="2900"/>
            <w:tcMar>
              <w:top w:type="dxa" w:w="80"/>
              <w:left w:type="dxa" w:w="110"/>
              <w:bottom w:type="dxa" w:w="80"/>
              <w:right w:type="dxa" w:w="110"/>
            </w:tcMar>
          </w:tcPr>
          <w:p>
            <w:pPr>
              <w:spacing w:after="40"/>
            </w:pPr>
            <w:r>
              <w:t xml:space="preserve">Image only — no text overlay</w:t>
            </w:r>
          </w:p>
        </w:tc>
        <w:tc>
          <w:tcPr>
            <w:tcW w:type="dxa" w:w="4160"/>
            <w:tcMar>
              <w:top w:type="dxa" w:w="80"/>
              <w:left w:type="dxa" w:w="110"/>
              <w:bottom w:type="dxa" w:w="80"/>
              <w:right w:type="dxa" w:w="110"/>
            </w:tcMar>
          </w:tcPr>
          <w:p>
            <w:pPr>
              <w:spacing w:after="40"/>
            </w:pPr>
            <w:r>
              <w:t xml:space="preserve">Headline, description, sponsored-by, and CTA from the native copy set</w:t>
            </w:r>
          </w:p>
        </w:tc>
      </w:tr>
    </w:tbl>
    <w:p>
      <w:pPr>
        <w:pStyle w:val="Heading1"/>
        <w:spacing w:after="120" w:before="320"/>
      </w:pPr>
      <w:r>
        <w:t xml:space="preserve">6. Visual direction</w:t>
      </w:r>
    </w:p>
    <w:p>
      <w:pPr>
        <w:pStyle w:val="Heading2"/>
        <w:spacing w:after="80" w:before="220"/>
      </w:pPr>
      <w:r>
        <w:t xml:space="preserve">Subject: the new home itself — three approved treatments</w:t>
      </w:r>
    </w:p>
    <w:p>
      <w:pPr>
        <w:pStyle w:val="ListParagraph"/>
        <w:numPr>
          <w:ilvl w:val="0"/>
          <w:numId w:val="2"/>
        </w:numPr>
        <w:spacing w:after="70"/>
      </w:pPr>
      <w:r>
        <w:rPr>
          <w:b/>
          <w:bCs/>
        </w:rPr>
        <w:t xml:space="preserve">A — Exterior. </w:t>
      </w:r>
      <w:r>
        <w:t xml:space="preserve">A pristine single-family production home, late-afternoon light, fresh sod, clean driveway, nothing lived-in yet.</w:t>
      </w:r>
    </w:p>
    <w:p>
      <w:pPr>
        <w:pStyle w:val="ListParagraph"/>
        <w:numPr>
          <w:ilvl w:val="0"/>
          <w:numId w:val="2"/>
        </w:numPr>
        <w:spacing w:after="70"/>
      </w:pPr>
      <w:r>
        <w:rPr>
          <w:b/>
          <w:bCs/>
        </w:rPr>
        <w:t xml:space="preserve">B — Model-home interior. </w:t>
      </w:r>
      <w:r>
        <w:t xml:space="preserve">Bright, staged, open kitchen / great room. The gleam people are actually shopping for.</w:t>
      </w:r>
    </w:p>
    <w:p>
      <w:pPr>
        <w:pStyle w:val="ListParagraph"/>
        <w:numPr>
          <w:ilvl w:val="0"/>
          <w:numId w:val="2"/>
        </w:numPr>
        <w:spacing w:after="70"/>
      </w:pPr>
      <w:r>
        <w:rPr>
          <w:b/>
          <w:bCs/>
        </w:rPr>
        <w:t xml:space="preserve">C — Community streetscape (round 2). </w:t>
      </w:r>
      <w:r>
        <w:t xml:space="preserve">Finished homes with a framed home visible down the street. Signals new, options, inventory.</w:t>
      </w:r>
    </w:p>
    <w:p>
      <w:pPr>
        <w:pStyle w:val="Heading2"/>
        <w:spacing w:after="80" w:before="220"/>
      </w:pPr>
      <w:r>
        <w:t xml:space="preserve">Mood and cues</w:t>
      </w:r>
    </w:p>
    <w:p>
      <w:pPr>
        <w:pStyle w:val="ListParagraph"/>
        <w:numPr>
          <w:ilvl w:val="0"/>
          <w:numId w:val="2"/>
        </w:numPr>
        <w:spacing w:after="70"/>
      </w:pPr>
      <w:r>
        <w:t xml:space="preserve">Aspirational, clean, bright, unmistakably new. "New" cues: fresh landscaping, spotless surfaces, staging, construction adjacency.</w:t>
      </w:r>
    </w:p>
    <w:p>
      <w:pPr>
        <w:pStyle w:val="ListParagraph"/>
        <w:numPr>
          <w:ilvl w:val="0"/>
          <w:numId w:val="2"/>
        </w:numPr>
        <w:spacing w:after="70"/>
      </w:pPr>
      <w:r>
        <w:t xml:space="preserve">Scale: production-builder new construction — the buyer's realistic target — not a luxury estate. Sun Belt vernacular (Florida / Texas production-home styles) fits the launch markets.</w:t>
      </w:r>
    </w:p>
    <w:p>
      <w:pPr>
        <w:pStyle w:val="ListParagraph"/>
        <w:numPr>
          <w:ilvl w:val="0"/>
          <w:numId w:val="2"/>
        </w:numPr>
        <w:spacing w:after="70"/>
      </w:pPr>
      <w:r>
        <w:t xml:space="preserve">Real photography preferred. High-quality renders are acceptable only if indistinguishable from photography and free of artifacts (warped windows, uncanny landscaping). No watermarks.</w:t>
      </w:r>
    </w:p>
    <w:p>
      <w:pPr>
        <w:pStyle w:val="Heading2"/>
        <w:spacing w:after="80" w:before="220"/>
      </w:pPr>
      <w:r>
        <w:t xml:space="preserve">Not in the image — no exceptions</w:t>
      </w:r>
    </w:p>
    <w:p>
      <w:pPr>
        <w:pStyle w:val="ListParagraph"/>
        <w:numPr>
          <w:ilvl w:val="0"/>
          <w:numId w:val="2"/>
        </w:numPr>
        <w:spacing w:after="70"/>
      </w:pPr>
      <w:r>
        <w:rPr>
          <w:b/>
          <w:bCs/>
        </w:rPr>
        <w:t xml:space="preserve">No people. </w:t>
      </w:r>
      <w:r>
        <w:t xml:space="preserve">No families, no agents, no headshots. This keeps the image on its one job and keeps us clean under fair-housing review.</w:t>
      </w:r>
    </w:p>
    <w:p>
      <w:pPr>
        <w:pStyle w:val="ListParagraph"/>
        <w:numPr>
          <w:ilvl w:val="0"/>
          <w:numId w:val="2"/>
        </w:numPr>
        <w:spacing w:after="70"/>
      </w:pPr>
      <w:r>
        <w:rPr>
          <w:b/>
          <w:bCs/>
        </w:rPr>
        <w:t xml:space="preserve">No builder marks. </w:t>
      </w:r>
      <w:r>
        <w:t xml:space="preserve">No logos, real community names, builder-branded signage, or recognizable model names. Generic only.</w:t>
      </w:r>
    </w:p>
    <w:p>
      <w:pPr>
        <w:pStyle w:val="ListParagraph"/>
        <w:numPr>
          <w:ilvl w:val="0"/>
          <w:numId w:val="2"/>
        </w:numPr>
        <w:spacing w:after="70"/>
      </w:pPr>
      <w:r>
        <w:rPr>
          <w:b/>
          <w:bCs/>
        </w:rPr>
        <w:t xml:space="preserve">No maps or neighborhood overlays </w:t>
      </w:r>
      <w:r>
        <w:t xml:space="preserve">(schools, demographics, "great area" callouts) — steering risk.</w:t>
      </w:r>
    </w:p>
    <w:p>
      <w:pPr>
        <w:pStyle w:val="ListParagraph"/>
        <w:numPr>
          <w:ilvl w:val="0"/>
          <w:numId w:val="2"/>
        </w:numPr>
        <w:spacing w:after="70"/>
      </w:pPr>
      <w:r>
        <w:rPr>
          <w:b/>
          <w:bCs/>
        </w:rPr>
        <w:t xml:space="preserve">No stock clichés: </w:t>
      </w:r>
      <w:r>
        <w:t xml:space="preserve">keys in hand, handshakes, SOLD signs, house-shaped icons, moving boxes.</w:t>
      </w:r>
    </w:p>
    <w:p>
      <w:pPr>
        <w:pStyle w:val="ListParagraph"/>
        <w:numPr>
          <w:ilvl w:val="0"/>
          <w:numId w:val="2"/>
        </w:numPr>
        <w:spacing w:after="70"/>
      </w:pPr>
      <w:r>
        <w:rPr>
          <w:b/>
          <w:bCs/>
        </w:rPr>
        <w:t xml:space="preserve">No text on native images. </w:t>
      </w:r>
      <w:r>
        <w:t xml:space="preserve">Display images may carry only the category line.</w:t>
      </w:r>
    </w:p>
    <w:p>
      <w:pPr>
        <w:pStyle w:val="Heading1"/>
        <w:spacing w:after="120" w:before="320"/>
      </w:pPr>
      <w:r>
        <w:t xml:space="preserve">7. Brand and typography</w:t>
      </w:r>
    </w:p>
    <w:p>
      <w:pPr>
        <w:pStyle w:val="ListParagraph"/>
        <w:numPr>
          <w:ilvl w:val="0"/>
          <w:numId w:val="2"/>
        </w:numPr>
        <w:spacing w:after="70"/>
      </w:pPr>
      <w:r>
        <w:t xml:space="preserve">AWK logo on every unit. Pull the lockup, palette, and type from the AWK brand files / existing AWK campaign assets so this line sits in the same family.</w:t>
      </w:r>
    </w:p>
    <w:p>
      <w:pPr>
        <w:pStyle w:val="ListParagraph"/>
        <w:numPr>
          <w:ilvl w:val="0"/>
          <w:numId w:val="2"/>
        </w:numPr>
        <w:spacing w:after="70"/>
      </w:pPr>
      <w:r>
        <w:t xml:space="preserve">"Agent Who Knows" is always capitalized, as a proper name. Never "agent who knows" in running text.</w:t>
      </w:r>
    </w:p>
    <w:p>
      <w:pPr>
        <w:pStyle w:val="ListParagraph"/>
        <w:numPr>
          <w:ilvl w:val="0"/>
          <w:numId w:val="2"/>
        </w:numPr>
        <w:spacing w:after="70"/>
      </w:pPr>
      <w:r>
        <w:t xml:space="preserve">Treat the resolution line as the brand's signature — second in prominence only to the question.</w:t>
      </w:r>
    </w:p>
    <w:p>
      <w:pPr>
        <w:pStyle w:val="ListParagraph"/>
        <w:numPr>
          <w:ilvl w:val="0"/>
          <w:numId w:val="2"/>
        </w:numPr>
        <w:spacing w:after="70"/>
      </w:pPr>
      <w:r>
        <w:t xml:space="preserve">Set the copy on a solid brand-color panel for legibility rather than over photography; the category overlay is the only text that sits on the image.</w:t>
      </w:r>
    </w:p>
    <w:p>
      <w:pPr>
        <w:pStyle w:val="ListParagraph"/>
        <w:numPr>
          <w:ilvl w:val="0"/>
          <w:numId w:val="2"/>
        </w:numPr>
        <w:spacing w:after="70"/>
      </w:pPr>
      <w:r>
        <w:t xml:space="preserve">Light-background units get a 1px border (StackAdapt convention).</w:t>
      </w:r>
    </w:p>
    <w:p>
      <w:pPr>
        <w:pStyle w:val="Heading1"/>
        <w:spacing w:after="120" w:before="320"/>
      </w:pPr>
      <w:r>
        <w:t xml:space="preserve">8. Compliance guardrails (non-negotiable)</w:t>
      </w:r>
    </w:p>
    <w:p>
      <w:pPr>
        <w:spacing w:after="120" w:before="0"/>
      </w:pPr>
      <w:r>
        <w:t xml:space="preserve">These ads run under fair-housing rules and platform review. Please treat every item below as a hard constraint.</w:t>
      </w:r>
    </w:p>
    <w:p>
      <w:pPr>
        <w:pStyle w:val="ListParagraph"/>
        <w:numPr>
          <w:ilvl w:val="0"/>
          <w:numId w:val="2"/>
        </w:numPr>
        <w:spacing w:after="70"/>
      </w:pPr>
      <w:r>
        <w:t xml:space="preserve">Every line is information-seeking. We never offer, promise, or imply a rate, credit, or upgrade. The builder offers; the buyer is looking; AWK knows.</w:t>
      </w:r>
    </w:p>
    <w:p>
      <w:pPr>
        <w:pStyle w:val="ListParagraph"/>
        <w:numPr>
          <w:ilvl w:val="0"/>
          <w:numId w:val="2"/>
        </w:numPr>
        <w:spacing w:after="70"/>
      </w:pPr>
      <w:r>
        <w:t xml:space="preserve">Never describe who the buyer is — no "families," "first-time," "retirees," "young professionals," "military," or similar, in copy or imagery. Only what they are looking for.</w:t>
      </w:r>
    </w:p>
    <w:p>
      <w:pPr>
        <w:pStyle w:val="ListParagraph"/>
        <w:numPr>
          <w:ilvl w:val="0"/>
          <w:numId w:val="2"/>
        </w:numPr>
        <w:spacing w:after="70"/>
      </w:pPr>
      <w:r>
        <w:t xml:space="preserve">No specific number unless verified live in the launch market; the number lives in an editable layer; a no-number variant always ships alongside.</w:t>
      </w:r>
    </w:p>
    <w:p>
      <w:pPr>
        <w:pStyle w:val="ListParagraph"/>
        <w:numPr>
          <w:ilvl w:val="0"/>
          <w:numId w:val="2"/>
        </w:numPr>
        <w:spacing w:after="70"/>
      </w:pPr>
      <w:r>
        <w:t xml:space="preserve">No superlatives that become claims: no "best," "lowest," "guaranteed," "free money," "every builder."</w:t>
      </w:r>
    </w:p>
    <w:p>
      <w:pPr>
        <w:pStyle w:val="ListParagraph"/>
        <w:numPr>
          <w:ilvl w:val="0"/>
          <w:numId w:val="2"/>
        </w:numPr>
        <w:spacing w:after="70"/>
      </w:pPr>
      <w:r>
        <w:t xml:space="preserve">No directory or search language or imagery (see Section 3).</w:t>
      </w:r>
    </w:p>
    <w:p>
      <w:pPr>
        <w:pStyle w:val="ListParagraph"/>
        <w:numPr>
          <w:ilvl w:val="0"/>
          <w:numId w:val="2"/>
        </w:numPr>
        <w:spacing w:after="70"/>
      </w:pPr>
      <w:r>
        <w:t xml:space="preserve">Include the Equal Housing Opportunity mark where space permits (300×600, 970×250, 160×600); the landing page carries it everywhere else.</w:t>
      </w:r>
    </w:p>
    <w:p>
      <w:pPr>
        <w:pStyle w:val="Heading1"/>
        <w:spacing w:after="120" w:before="320"/>
      </w:pPr>
      <w:r>
        <w:t xml:space="preserve">9. StackAdapt production specs</w:t>
      </w:r>
    </w:p>
    <w:tbl>
      <w:tblPr>
        <w:tblW w:type="dxa" w:w="9360"/>
        <w:tblBorders>
          <w:top w:val="single" w:color="C9CFD8" w:sz="4"/>
          <w:left w:val="single" w:color="C9CFD8" w:sz="4"/>
          <w:bottom w:val="single" w:color="C9CFD8" w:sz="4"/>
          <w:right w:val="single" w:color="C9CFD8" w:sz="4"/>
          <w:insideH w:val="single" w:color="C9CFD8" w:sz="4"/>
          <w:insideV w:val="single" w:color="C9CFD8" w:sz="4"/>
        </w:tblBorders>
      </w:tblPr>
      <w:tblGrid>
        <w:gridCol w:w="2600"/>
        <w:gridCol w:w="6760"/>
      </w:tblGrid>
      <w:tr>
        <w:trPr>
          <w:cantSplit/>
          <w:tblHeader/>
        </w:trPr>
        <w:tc>
          <w:tcPr>
            <w:tcW w:type="dxa" w:w="2600"/>
            <w:shd w:fill="E8ECF2" w:color="auto" w:val="clear"/>
            <w:tcMar>
              <w:top w:type="dxa" w:w="80"/>
              <w:left w:type="dxa" w:w="110"/>
              <w:bottom w:type="dxa" w:w="80"/>
              <w:right w:type="dxa" w:w="110"/>
            </w:tcMar>
          </w:tcPr>
          <w:p>
            <w:pPr>
              <w:spacing w:after="40"/>
            </w:pPr>
            <w:r>
              <w:rPr>
                <w:b/>
                <w:bCs/>
              </w:rPr>
              <w:t xml:space="preserve">Item</w:t>
            </w:r>
          </w:p>
        </w:tc>
        <w:tc>
          <w:tcPr>
            <w:tcW w:type="dxa" w:w="6760"/>
            <w:shd w:fill="E8ECF2" w:color="auto" w:val="clear"/>
            <w:tcMar>
              <w:top w:type="dxa" w:w="80"/>
              <w:left w:type="dxa" w:w="110"/>
              <w:bottom w:type="dxa" w:w="80"/>
              <w:right w:type="dxa" w:w="110"/>
            </w:tcMar>
          </w:tcPr>
          <w:p>
            <w:pPr>
              <w:spacing w:after="40"/>
            </w:pPr>
            <w:r>
              <w:rPr>
                <w:b/>
                <w:bCs/>
              </w:rPr>
              <w:t xml:space="preserve">Specification</w:t>
            </w:r>
          </w:p>
        </w:tc>
      </w:tr>
      <w:tr>
        <w:trPr>
          <w:cantSplit/>
        </w:trPr>
        <w:tc>
          <w:tcPr>
            <w:tcW w:type="dxa" w:w="2600"/>
            <w:tcMar>
              <w:top w:type="dxa" w:w="80"/>
              <w:left w:type="dxa" w:w="110"/>
              <w:bottom w:type="dxa" w:w="80"/>
              <w:right w:type="dxa" w:w="110"/>
            </w:tcMar>
          </w:tcPr>
          <w:p>
            <w:pPr>
              <w:spacing w:after="40"/>
            </w:pPr>
            <w:r>
              <w:t xml:space="preserve">Display sizes</w:t>
            </w:r>
          </w:p>
        </w:tc>
        <w:tc>
          <w:tcPr>
            <w:tcW w:type="dxa" w:w="6760"/>
            <w:tcMar>
              <w:top w:type="dxa" w:w="80"/>
              <w:left w:type="dxa" w:w="110"/>
              <w:bottom w:type="dxa" w:w="80"/>
              <w:right w:type="dxa" w:w="110"/>
            </w:tcMar>
          </w:tcPr>
          <w:p>
            <w:pPr>
              <w:spacing w:after="40"/>
            </w:pPr>
            <w:r>
              <w:t xml:space="preserve">300×250, 728×90, 320×50, 160×600, 300×600, 970×250, 970×90</w:t>
            </w:r>
          </w:p>
        </w:tc>
      </w:tr>
      <w:tr>
        <w:trPr>
          <w:cantSplit/>
        </w:trPr>
        <w:tc>
          <w:tcPr>
            <w:tcW w:type="dxa" w:w="2600"/>
            <w:tcMar>
              <w:top w:type="dxa" w:w="80"/>
              <w:left w:type="dxa" w:w="110"/>
              <w:bottom w:type="dxa" w:w="80"/>
              <w:right w:type="dxa" w:w="110"/>
            </w:tcMar>
          </w:tcPr>
          <w:p>
            <w:pPr>
              <w:spacing w:after="40"/>
            </w:pPr>
            <w:r>
              <w:t xml:space="preserve">Display formats</w:t>
            </w:r>
          </w:p>
        </w:tc>
        <w:tc>
          <w:tcPr>
            <w:tcW w:type="dxa" w:w="6760"/>
            <w:tcMar>
              <w:top w:type="dxa" w:w="80"/>
              <w:left w:type="dxa" w:w="110"/>
              <w:bottom w:type="dxa" w:w="80"/>
              <w:right w:type="dxa" w:w="110"/>
            </w:tcMar>
          </w:tcPr>
          <w:p>
            <w:pPr>
              <w:spacing w:after="40"/>
            </w:pPr>
            <w:r>
              <w:t xml:space="preserve">JPG, PNG, GIF; HTML5 also supported. Max file size 750 KB. Minimum 72 PPI, 144 PPI recommended.</w:t>
            </w:r>
          </w:p>
        </w:tc>
      </w:tr>
      <w:tr>
        <w:trPr>
          <w:cantSplit/>
        </w:trPr>
        <w:tc>
          <w:tcPr>
            <w:tcW w:type="dxa" w:w="2600"/>
            <w:tcMar>
              <w:top w:type="dxa" w:w="80"/>
              <w:left w:type="dxa" w:w="110"/>
              <w:bottom w:type="dxa" w:w="80"/>
              <w:right w:type="dxa" w:w="110"/>
            </w:tcMar>
          </w:tcPr>
          <w:p>
            <w:pPr>
              <w:spacing w:after="40"/>
            </w:pPr>
            <w:r>
              <w:t xml:space="preserve">Native image</w:t>
            </w:r>
          </w:p>
        </w:tc>
        <w:tc>
          <w:tcPr>
            <w:tcW w:type="dxa" w:w="6760"/>
            <w:tcMar>
              <w:top w:type="dxa" w:w="80"/>
              <w:left w:type="dxa" w:w="110"/>
              <w:bottom w:type="dxa" w:w="80"/>
              <w:right w:type="dxa" w:w="110"/>
            </w:tcMar>
          </w:tcPr>
          <w:p>
            <w:pPr>
              <w:spacing w:after="40"/>
            </w:pPr>
            <w:r>
              <w:t xml:space="preserve">1200×628 and 600×600. JPG, PNG, or GIF. No text overlay. High resolution; keep under ~750 KB.</w:t>
            </w:r>
          </w:p>
        </w:tc>
      </w:tr>
      <w:tr>
        <w:trPr>
          <w:cantSplit/>
        </w:trPr>
        <w:tc>
          <w:tcPr>
            <w:tcW w:type="dxa" w:w="2600"/>
            <w:tcMar>
              <w:top w:type="dxa" w:w="80"/>
              <w:left w:type="dxa" w:w="110"/>
              <w:bottom w:type="dxa" w:w="80"/>
              <w:right w:type="dxa" w:w="110"/>
            </w:tcMar>
          </w:tcPr>
          <w:p>
            <w:pPr>
              <w:spacing w:after="40"/>
            </w:pPr>
            <w:r>
              <w:t xml:space="preserve">Native text limits</w:t>
            </w:r>
          </w:p>
        </w:tc>
        <w:tc>
          <w:tcPr>
            <w:tcW w:type="dxa" w:w="6760"/>
            <w:tcMar>
              <w:top w:type="dxa" w:w="80"/>
              <w:left w:type="dxa" w:w="110"/>
              <w:bottom w:type="dxa" w:w="80"/>
              <w:right w:type="dxa" w:w="110"/>
            </w:tcMar>
          </w:tcPr>
          <w:p>
            <w:pPr>
              <w:spacing w:after="40"/>
            </w:pPr>
            <w:r>
              <w:t xml:space="preserve">Headline 15–55 characters · Description 25–120 characters · Sponsored-by ≤25 characters · CTA ≤10 characters</w:t>
            </w:r>
          </w:p>
        </w:tc>
      </w:tr>
      <w:tr>
        <w:trPr>
          <w:cantSplit/>
        </w:trPr>
        <w:tc>
          <w:tcPr>
            <w:tcW w:type="dxa" w:w="2600"/>
            <w:tcMar>
              <w:top w:type="dxa" w:w="80"/>
              <w:left w:type="dxa" w:w="110"/>
              <w:bottom w:type="dxa" w:w="80"/>
              <w:right w:type="dxa" w:w="110"/>
            </w:tcMar>
          </w:tcPr>
          <w:p>
            <w:pPr>
              <w:spacing w:after="40"/>
            </w:pPr>
            <w:r>
              <w:t xml:space="preserve">Animation (if used)</w:t>
            </w:r>
          </w:p>
        </w:tc>
        <w:tc>
          <w:tcPr>
            <w:tcW w:type="dxa" w:w="6760"/>
            <w:tcMar>
              <w:top w:type="dxa" w:w="80"/>
              <w:left w:type="dxa" w:w="110"/>
              <w:bottom w:type="dxa" w:w="80"/>
              <w:right w:type="dxa" w:w="110"/>
            </w:tcMar>
          </w:tcPr>
          <w:p>
            <w:pPr>
              <w:spacing w:after="40"/>
            </w:pPr>
            <w:r>
              <w:t xml:space="preserve">Static units first. If animating (GIF/HTML5): standard IAB limits (≤15 seconds, ≤3 loops); final frame must show question + resolution + CTA. Confirm current limits in the platform before export.</w:t>
            </w:r>
          </w:p>
        </w:tc>
      </w:tr>
      <w:tr>
        <w:trPr>
          <w:cantSplit/>
        </w:trPr>
        <w:tc>
          <w:tcPr>
            <w:tcW w:type="dxa" w:w="2600"/>
            <w:tcMar>
              <w:top w:type="dxa" w:w="80"/>
              <w:left w:type="dxa" w:w="110"/>
              <w:bottom w:type="dxa" w:w="80"/>
              <w:right w:type="dxa" w:w="110"/>
            </w:tcMar>
          </w:tcPr>
          <w:p>
            <w:pPr>
              <w:spacing w:after="40"/>
            </w:pPr>
            <w:r>
              <w:t xml:space="preserve">Click-through</w:t>
            </w:r>
          </w:p>
        </w:tc>
        <w:tc>
          <w:tcPr>
            <w:tcW w:type="dxa" w:w="6760"/>
            <w:tcMar>
              <w:top w:type="dxa" w:w="80"/>
              <w:left w:type="dxa" w:w="110"/>
              <w:bottom w:type="dxa" w:w="80"/>
              <w:right w:type="dxa" w:w="110"/>
            </w:tcMar>
          </w:tcPr>
          <w:p>
            <w:pPr>
              <w:spacing w:after="40"/>
            </w:pPr>
            <w:r>
              <w:t xml:space="preserve">Whole unit clickable → AgentWhoKnows.com new-construction landing page (URL to be supplied with the round-1 handoff).</w:t>
            </w:r>
          </w:p>
        </w:tc>
      </w:tr>
      <w:tr>
        <w:trPr>
          <w:cantSplit/>
        </w:trPr>
        <w:tc>
          <w:tcPr>
            <w:tcW w:type="dxa" w:w="2600"/>
            <w:tcMar>
              <w:top w:type="dxa" w:w="80"/>
              <w:left w:type="dxa" w:w="110"/>
              <w:bottom w:type="dxa" w:w="80"/>
              <w:right w:type="dxa" w:w="110"/>
            </w:tcMar>
          </w:tcPr>
          <w:p>
            <w:pPr>
              <w:spacing w:after="40"/>
            </w:pPr>
            <w:r>
              <w:t xml:space="preserve">Source files</w:t>
            </w:r>
          </w:p>
        </w:tc>
        <w:tc>
          <w:tcPr>
            <w:tcW w:type="dxa" w:w="6760"/>
            <w:tcMar>
              <w:top w:type="dxa" w:w="80"/>
              <w:left w:type="dxa" w:w="110"/>
              <w:bottom w:type="dxa" w:w="80"/>
              <w:right w:type="dxa" w:w="110"/>
            </w:tcMar>
          </w:tcPr>
          <w:p>
            <w:pPr>
              <w:spacing w:after="40"/>
            </w:pPr>
            <w:r>
              <w:t xml:space="preserve">Layered Figma or PSD with the question line and the rate number as live, editable text; fonts and images packaged.</w:t>
            </w:r>
          </w:p>
        </w:tc>
      </w:tr>
    </w:tbl>
    <w:p>
      <w:pPr>
        <w:pStyle w:val="Heading1"/>
        <w:spacing w:after="120" w:before="320"/>
      </w:pPr>
      <w:r>
        <w:t xml:space="preserve">10. Deliverables</w:t>
      </w:r>
    </w:p>
    <w:p>
      <w:pPr>
        <w:pStyle w:val="Heading2"/>
        <w:spacing w:after="80" w:before="220"/>
      </w:pPr>
      <w:r>
        <w:t xml:space="preserve">Round 1 — launch set</w:t>
      </w:r>
    </w:p>
    <w:p>
      <w:pPr>
        <w:pStyle w:val="ListParagraph"/>
        <w:numPr>
          <w:ilvl w:val="0"/>
          <w:numId w:val="2"/>
        </w:numPr>
        <w:spacing w:after="70"/>
      </w:pPr>
      <w:r>
        <w:rPr>
          <w:b/>
          <w:bCs/>
        </w:rPr>
        <w:t xml:space="preserve">Display: </w:t>
      </w:r>
      <w:r>
        <w:t xml:space="preserve">Image A (exterior) and Image B (interior) × Rate track (Q1) and Closing-costs track (Q2) × 300×250, 300×600, 728×90, 320×50 = 16 static units.</w:t>
      </w:r>
    </w:p>
    <w:p>
      <w:pPr>
        <w:pStyle w:val="ListParagraph"/>
        <w:numPr>
          <w:ilvl w:val="0"/>
          <w:numId w:val="2"/>
        </w:numPr>
        <w:spacing w:after="70"/>
      </w:pPr>
      <w:r>
        <w:rPr>
          <w:b/>
          <w:bCs/>
        </w:rPr>
        <w:t xml:space="preserve">Native: </w:t>
      </w:r>
      <w:r>
        <w:t xml:space="preserve">Images A and B at 1200×628 and 600×600 (4 files), with the native copy set from Section 4.</w:t>
      </w:r>
    </w:p>
    <w:p>
      <w:pPr>
        <w:pStyle w:val="ListParagraph"/>
        <w:numPr>
          <w:ilvl w:val="0"/>
          <w:numId w:val="2"/>
        </w:numPr>
        <w:spacing w:after="70"/>
      </w:pPr>
      <w:r>
        <w:rPr>
          <w:b/>
          <w:bCs/>
        </w:rPr>
        <w:t xml:space="preserve">Source files </w:t>
      </w:r>
      <w:r>
        <w:t xml:space="preserve">for every unit.</w:t>
      </w:r>
    </w:p>
    <w:p>
      <w:pPr>
        <w:pStyle w:val="Heading2"/>
        <w:spacing w:after="80" w:before="220"/>
      </w:pPr>
      <w:r>
        <w:t xml:space="preserve">Round 2 — after approval</w:t>
      </w:r>
    </w:p>
    <w:p>
      <w:pPr>
        <w:pStyle w:val="ListParagraph"/>
        <w:numPr>
          <w:ilvl w:val="0"/>
          <w:numId w:val="2"/>
        </w:numPr>
        <w:spacing w:after="70"/>
      </w:pPr>
      <w:r>
        <w:t xml:space="preserve">Remaining display sizes (160×600, 970×250, 970×90); Image C streetscape; Upgrades track (Q3); animated variants if we want them.</w:t>
      </w:r>
    </w:p>
    <w:p>
      <w:pPr>
        <w:pStyle w:val="Heading2"/>
        <w:spacing w:after="80" w:before="220"/>
      </w:pPr>
      <w:r>
        <w:t xml:space="preserve">File naming</w:t>
      </w:r>
    </w:p>
    <w:p>
      <w:pPr>
        <w:spacing w:after="120" w:before="0"/>
      </w:pPr>
      <w:r>
        <w:rPr>
          <w:b/>
          <w:bCs/>
        </w:rPr>
        <w:t xml:space="preserve">AWK_NC_{RATE | CC | UPG}_{EXT | INT | STREET}_{WxH}_v1.{jpg | png | zip}</w:t>
      </w:r>
      <w:r>
        <w:t xml:space="preserve">   e.g., AWK_NC_CC_INT_300x250_v1.jpg</w:t>
      </w:r>
    </w:p>
    <w:p>
      <w:pPr>
        <w:pStyle w:val="Heading1"/>
        <w:spacing w:after="120" w:before="320"/>
      </w:pPr>
      <w:r>
        <w:t xml:space="preserve">11. Pre-flight checklist (before sending files)</w:t>
      </w:r>
    </w:p>
    <w:p>
      <w:pPr>
        <w:pStyle w:val="ListParagraph"/>
        <w:numPr>
          <w:ilvl w:val="0"/>
          <w:numId w:val="3"/>
        </w:numPr>
        <w:spacing w:after="70"/>
      </w:pPr>
      <w:r>
        <w:t xml:space="preserve">The image sells the home; the copy sells AWK. Neither layer does the other's job.</w:t>
      </w:r>
    </w:p>
    <w:p>
      <w:pPr>
        <w:pStyle w:val="ListParagraph"/>
        <w:numPr>
          <w:ilvl w:val="0"/>
          <w:numId w:val="3"/>
        </w:numPr>
        <w:spacing w:after="70"/>
      </w:pPr>
      <w:r>
        <w:t xml:space="preserve">The headline is a question — it ends in "?" and makes no claim.</w:t>
      </w:r>
    </w:p>
    <w:p>
      <w:pPr>
        <w:pStyle w:val="ListParagraph"/>
        <w:numPr>
          <w:ilvl w:val="0"/>
          <w:numId w:val="3"/>
        </w:numPr>
        <w:spacing w:after="70"/>
      </w:pPr>
      <w:r>
        <w:t xml:space="preserve">Any rate number sits in an editable layer and is matched by a no-number variant.</w:t>
      </w:r>
    </w:p>
    <w:p>
      <w:pPr>
        <w:pStyle w:val="ListParagraph"/>
        <w:numPr>
          <w:ilvl w:val="0"/>
          <w:numId w:val="3"/>
        </w:numPr>
        <w:spacing w:after="70"/>
      </w:pPr>
      <w:r>
        <w:t xml:space="preserve">"Meet the Agent Who Knows…" is present on every unit 300×250 and larger.</w:t>
      </w:r>
    </w:p>
    <w:p>
      <w:pPr>
        <w:pStyle w:val="ListParagraph"/>
        <w:numPr>
          <w:ilvl w:val="0"/>
          <w:numId w:val="3"/>
        </w:numPr>
        <w:spacing w:after="70"/>
      </w:pPr>
      <w:r>
        <w:t xml:space="preserve">No people, no builder marks, no maps, no buyer descriptors.</w:t>
      </w:r>
    </w:p>
    <w:p>
      <w:pPr>
        <w:pStyle w:val="ListParagraph"/>
        <w:numPr>
          <w:ilvl w:val="0"/>
          <w:numId w:val="3"/>
        </w:numPr>
        <w:spacing w:after="70"/>
      </w:pPr>
      <w:r>
        <w:t xml:space="preserve">No search / compare / browse language or directory imagery.</w:t>
      </w:r>
    </w:p>
    <w:p>
      <w:pPr>
        <w:pStyle w:val="ListParagraph"/>
        <w:numPr>
          <w:ilvl w:val="0"/>
          <w:numId w:val="3"/>
        </w:numPr>
        <w:spacing w:after="70"/>
      </w:pPr>
      <w:r>
        <w:t xml:space="preserve">Logo and CTA on every unit; 1px border on light units.</w:t>
      </w:r>
    </w:p>
    <w:p>
      <w:pPr>
        <w:pStyle w:val="ListParagraph"/>
        <w:numPr>
          <w:ilvl w:val="0"/>
          <w:numId w:val="3"/>
        </w:numPr>
        <w:spacing w:after="70"/>
      </w:pPr>
      <w:r>
        <w:t xml:space="preserve">Correct dimensions, under 750 KB, 144 PPI where possible.</w:t>
      </w:r>
    </w:p>
    <w:p>
      <w:pPr>
        <w:pStyle w:val="ListParagraph"/>
        <w:numPr>
          <w:ilvl w:val="0"/>
          <w:numId w:val="3"/>
        </w:numPr>
        <w:spacing w:after="70"/>
      </w:pPr>
      <w:r>
        <w:t xml:space="preserve">Native image has no text; headline ≤55 and description ≤120 characters.</w:t>
      </w:r>
    </w:p>
    <w:p>
      <w:r>
        <w:br w:type="page"/>
      </w:r>
    </w:p>
    <w:p>
      <w:pPr>
        <w:pStyle w:val="Heading1"/>
        <w:spacing w:after="120" w:before="320"/>
      </w:pPr>
      <w:r>
        <w:t xml:space="preserve">Appendix — the Meta version of this creative (for voice consistency)</w:t>
      </w:r>
    </w:p>
    <w:p>
      <w:pPr>
        <w:spacing w:after="120" w:before="0"/>
      </w:pPr>
      <w:r>
        <w:rPr>
          <w:i/>
          <w:iCs/>
          <w:color w:val="5B6470"/>
        </w:rPr>
        <w:t xml:space="preserve">The display and native units are compressions of this block. Match its voice; do not add to it.</w:t>
      </w:r>
    </w:p>
    <w:p>
      <w:pPr>
        <w:spacing w:after="60" w:before="0"/>
      </w:pPr>
      <w:r>
        <w:rPr>
          <w:b/>
          <w:bCs/>
        </w:rPr>
        <w:t xml:space="preserve">Primary text</w:t>
      </w:r>
    </w:p>
    <w:p>
      <w:pPr>
        <w:spacing w:after="40" w:before="0"/>
      </w:pPr>
      <w:r>
        <w:t xml:space="preserve">Looking for the builder with the 3.99% buydown rate?</w:t>
      </w:r>
    </w:p>
    <w:p>
      <w:pPr>
        <w:spacing w:after="40" w:before="0"/>
      </w:pPr>
      <w:r>
        <w:t xml:space="preserve">Wondering which builders are paying closing costs this month?</w:t>
      </w:r>
    </w:p>
    <w:p>
      <w:pPr>
        <w:spacing w:after="40" w:before="0"/>
      </w:pPr>
      <w:r>
        <w:t xml:space="preserve">Trying to find the communities throwing in free upgrades?</w:t>
      </w:r>
    </w:p>
    <w:p>
      <w:pPr>
        <w:spacing w:after="80" w:before="0"/>
      </w:pPr>
      <w:r>
        <w:t xml:space="preserve"/>
      </w:r>
    </w:p>
    <w:p>
      <w:pPr>
        <w:spacing w:after="40" w:before="0"/>
      </w:pPr>
      <w:r>
        <w:t xml:space="preserve">You could spend ten weekends touring model homes — and every on-site agent can only answer for their builder. And the deals change monthly.</w:t>
      </w:r>
    </w:p>
    <w:p>
      <w:pPr>
        <w:spacing w:after="80" w:before="0"/>
      </w:pPr>
      <w:r>
        <w:t xml:space="preserve"/>
      </w:r>
    </w:p>
    <w:p>
      <w:pPr>
        <w:spacing w:after="40" w:before="0"/>
      </w:pPr>
      <w:r>
        <w:t xml:space="preserve">Or ask the one person tracking all of them.</w:t>
      </w:r>
    </w:p>
    <w:p>
      <w:pPr>
        <w:spacing w:after="80" w:before="0"/>
      </w:pPr>
      <w:r>
        <w:t xml:space="preserve"/>
      </w:r>
    </w:p>
    <w:p>
      <w:pPr>
        <w:spacing w:after="40" w:before="0"/>
      </w:pPr>
      <w:r>
        <w:t xml:space="preserve">Meet the Agent Who Knows new construction in your area.</w:t>
      </w:r>
    </w:p>
    <w:p>
      <w:pPr>
        <w:spacing w:after="60"/>
      </w:pPr>
    </w:p>
    <w:p>
      <w:pPr>
        <w:spacing w:after="120" w:before="0"/>
      </w:pPr>
      <w:r>
        <w:rPr>
          <w:b/>
          <w:bCs/>
        </w:rPr>
        <w:t xml:space="preserve">Headline: </w:t>
      </w:r>
      <w:r>
        <w:t xml:space="preserve">Meet the Agent Who Knows new construction.</w:t>
      </w:r>
    </w:p>
    <w:p>
      <w:pPr>
        <w:spacing w:after="120" w:before="0"/>
      </w:pPr>
      <w:r>
        <w:rPr>
          <w:b/>
          <w:bCs/>
        </w:rPr>
        <w:t xml:space="preserve">Image: </w:t>
      </w:r>
      <w:r>
        <w:t xml:space="preserve">Category desire — new-build exterior at golden hour or a staged model-home interior, no people, overlay "New construction has it all."</w:t>
      </w:r>
    </w:p>
    <w:p>
      <w:pPr>
        <w:spacing w:after="120" w:before="0"/>
      </w:pPr>
      <w:r>
        <w:rPr>
          <w:b/>
          <w:bCs/>
        </w:rPr>
        <w:t xml:space="preserve">CTA: </w:t>
      </w:r>
      <w:r>
        <w:t xml:space="preserve">Learn More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0"/>
        <w:sz w:val="18"/>
        <w:szCs w:val="18"/>
      </w:rPr>
      <w:t xml:space="preserve">AgentWhoKnows.com · New Construction · StackAdapt Creative Brief v1.0 · Page </w:t>
    </w:r>
    <w:r>
      <w:rPr>
        <w:color w:val="5B64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F2A44"/>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5B647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AgentWhoKnows.com New Construction — StackAdapt Creative Brief</dc:title>
  <dc:creator>LPT Aperture Holdings</dc:creator>
  <cp:lastModifiedBy>Un-named</cp:lastModifiedBy>
  <cp:revision>1</cp:revision>
  <dcterms:created xsi:type="dcterms:W3CDTF">2026-09-02T21:48:22.864Z</dcterms:created>
  <dcterms:modified xsi:type="dcterms:W3CDTF">2026-09-02T21:48:22.864Z</dcterms:modified>
</cp:coreProperties>
</file>

<file path=docProps/custom.xml><?xml version="1.0" encoding="utf-8"?>
<Properties xmlns="http://schemas.openxmlformats.org/officeDocument/2006/custom-properties" xmlns:vt="http://schemas.openxmlformats.org/officeDocument/2006/docPropsVTypes"/>
</file>