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7D15" w14:textId="04DDD7C1" w:rsidR="001D070C" w:rsidRPr="00081BA7" w:rsidRDefault="00B94108">
      <w:pPr>
        <w:rPr>
          <w:rFonts w:ascii="IBM Plex Sans" w:hAnsi="IBM Plex Sans"/>
          <w:sz w:val="20"/>
          <w:szCs w:val="20"/>
        </w:rPr>
      </w:pPr>
      <w:r w:rsidRPr="00081BA7">
        <w:rPr>
          <w:rFonts w:ascii="IBM Plex Sans" w:hAnsi="IBM Plex Sans"/>
          <w:sz w:val="20"/>
          <w:szCs w:val="20"/>
        </w:rPr>
        <w:t>This scorecard is produced to provide easier visibility on performance progress across watsonx</w:t>
      </w:r>
      <w:r w:rsidR="009A2AE4" w:rsidRPr="00081BA7">
        <w:rPr>
          <w:rFonts w:ascii="IBM Plex Sans" w:hAnsi="IBM Plex Sans"/>
          <w:sz w:val="20"/>
          <w:szCs w:val="20"/>
        </w:rPr>
        <w:t xml:space="preserve">. </w:t>
      </w:r>
    </w:p>
    <w:p w14:paraId="2AD3385F" w14:textId="08876181" w:rsidR="009A2AE4" w:rsidRPr="00081BA7" w:rsidRDefault="009A2AE4">
      <w:pPr>
        <w:rPr>
          <w:rFonts w:ascii="IBM Plex Sans" w:hAnsi="IBM Plex Sans"/>
          <w:sz w:val="20"/>
          <w:szCs w:val="20"/>
        </w:rPr>
      </w:pPr>
      <w:r w:rsidRPr="00081BA7">
        <w:rPr>
          <w:rFonts w:ascii="IBM Plex Sans" w:hAnsi="IBM Plex Sans"/>
          <w:sz w:val="20"/>
          <w:szCs w:val="20"/>
        </w:rPr>
        <w:t xml:space="preserve">As a reminder, the watsonx rollup is made up of the following offerings across Data platform, Automation and Z TPS portfolios: </w:t>
      </w:r>
    </w:p>
    <w:p w14:paraId="6B204E51" w14:textId="06B41E4F"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 orchestrate (watsonx assistant, watson discovery, watson API’s)</w:t>
      </w:r>
    </w:p>
    <w:p w14:paraId="7339BABD" w14:textId="375BCAC7"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watsonx.ai</w:t>
      </w:r>
    </w:p>
    <w:p w14:paraId="403790C6" w14:textId="3D2EE3FA"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watsonx.governance</w:t>
      </w:r>
    </w:p>
    <w:p w14:paraId="6EA3F010" w14:textId="77D9F9E4"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watsonx.data</w:t>
      </w:r>
    </w:p>
    <w:p w14:paraId="7254CABA" w14:textId="4A6C5A91"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 code Assistant Enterprise</w:t>
      </w:r>
    </w:p>
    <w:p w14:paraId="0C769A57" w14:textId="2AF983DA"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 code assistant for Ansible</w:t>
      </w:r>
    </w:p>
    <w:p w14:paraId="401CA154" w14:textId="6942A17D"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 code assistant for Z</w:t>
      </w:r>
    </w:p>
    <w:p w14:paraId="5E1BB3C8" w14:textId="1CC0BD11"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watsonx assistant for Z</w:t>
      </w:r>
    </w:p>
    <w:p w14:paraId="6B93CB4A" w14:textId="664A0D1F" w:rsidR="009A2AE4" w:rsidRPr="00081BA7" w:rsidRDefault="009A2AE4" w:rsidP="009A2AE4">
      <w:pPr>
        <w:pStyle w:val="ListParagraph"/>
        <w:numPr>
          <w:ilvl w:val="0"/>
          <w:numId w:val="1"/>
        </w:numPr>
        <w:rPr>
          <w:rFonts w:ascii="IBM Plex Sans" w:hAnsi="IBM Plex Sans"/>
          <w:sz w:val="20"/>
          <w:szCs w:val="20"/>
        </w:rPr>
      </w:pPr>
      <w:r w:rsidRPr="00081BA7">
        <w:rPr>
          <w:rFonts w:ascii="IBM Plex Sans" w:hAnsi="IBM Plex Sans"/>
          <w:sz w:val="20"/>
          <w:szCs w:val="20"/>
        </w:rPr>
        <w:t>Concert</w:t>
      </w:r>
    </w:p>
    <w:p w14:paraId="29416834" w14:textId="77777777" w:rsidR="009A2AE4" w:rsidRPr="00081BA7" w:rsidRDefault="009A2AE4" w:rsidP="009A2AE4">
      <w:pPr>
        <w:rPr>
          <w:rFonts w:ascii="IBM Plex Sans" w:hAnsi="IBM Plex Sans"/>
          <w:sz w:val="20"/>
          <w:szCs w:val="20"/>
        </w:rPr>
      </w:pPr>
    </w:p>
    <w:p w14:paraId="3E98CC11" w14:textId="3F8B1960" w:rsidR="004A26AA" w:rsidRPr="00081BA7" w:rsidRDefault="004A26AA" w:rsidP="009A2AE4">
      <w:pPr>
        <w:rPr>
          <w:rFonts w:ascii="IBM Plex Sans" w:hAnsi="IBM Plex Sans"/>
          <w:sz w:val="20"/>
          <w:szCs w:val="20"/>
        </w:rPr>
      </w:pPr>
      <w:r w:rsidRPr="00081BA7">
        <w:rPr>
          <w:rFonts w:ascii="IBM Plex Sans" w:hAnsi="IBM Plex Sans"/>
          <w:sz w:val="20"/>
          <w:szCs w:val="20"/>
        </w:rPr>
        <w:t xml:space="preserve">While our targets for Q2 are bold for both transactional &amp; SaaS, there is no better team to deliver than OURS. We are aligned on five goals to showcase week to week progress and performance in our business: </w:t>
      </w:r>
    </w:p>
    <w:p w14:paraId="02AE9894" w14:textId="77777777" w:rsidR="004A26AA" w:rsidRPr="00081BA7" w:rsidRDefault="004A26AA" w:rsidP="009A2AE4">
      <w:pPr>
        <w:rPr>
          <w:rFonts w:ascii="IBM Plex Sans" w:hAnsi="IBM Plex Sans"/>
          <w:sz w:val="20"/>
          <w:szCs w:val="20"/>
        </w:rPr>
      </w:pPr>
    </w:p>
    <w:p w14:paraId="5265BA3B" w14:textId="4E7ED8A0" w:rsidR="004A26AA" w:rsidRPr="004A26AA" w:rsidRDefault="004A26AA" w:rsidP="004A26AA">
      <w:pPr>
        <w:numPr>
          <w:ilvl w:val="0"/>
          <w:numId w:val="2"/>
        </w:numPr>
        <w:rPr>
          <w:rFonts w:ascii="IBM Plex Sans" w:hAnsi="IBM Plex Sans"/>
          <w:sz w:val="20"/>
          <w:szCs w:val="20"/>
        </w:rPr>
      </w:pPr>
      <w:r w:rsidRPr="004A26AA">
        <w:rPr>
          <w:rFonts w:ascii="IBM Plex Sans" w:hAnsi="IBM Plex Sans"/>
          <w:b/>
          <w:bCs/>
          <w:sz w:val="20"/>
          <w:szCs w:val="20"/>
        </w:rPr>
        <w:t xml:space="preserve">Goal 1: </w:t>
      </w:r>
      <w:r w:rsidRPr="004A26AA">
        <w:rPr>
          <w:rFonts w:ascii="IBM Plex Sans" w:hAnsi="IBM Plex Sans"/>
          <w:sz w:val="20"/>
          <w:szCs w:val="20"/>
        </w:rPr>
        <w:t>Deliver new OI at 3x the current rate of qualified opportunity identification</w:t>
      </w:r>
      <w:r w:rsidRPr="00081BA7">
        <w:rPr>
          <w:rFonts w:ascii="IBM Plex Sans" w:hAnsi="IBM Plex Sans"/>
          <w:sz w:val="20"/>
          <w:szCs w:val="20"/>
        </w:rPr>
        <w:t xml:space="preserve"> –</w:t>
      </w:r>
      <w:r w:rsidRPr="00081BA7">
        <w:rPr>
          <w:rFonts w:ascii="IBM Plex Sans" w:hAnsi="IBM Plex Sans"/>
          <w:i/>
          <w:iCs/>
          <w:sz w:val="20"/>
          <w:szCs w:val="20"/>
        </w:rPr>
        <w:t xml:space="preserve"> “does my market have 4x or greater qualified pipe for current quarter and next quarter?”</w:t>
      </w:r>
    </w:p>
    <w:p w14:paraId="23A64DD7" w14:textId="0573753B" w:rsidR="004A26AA" w:rsidRPr="004A26AA" w:rsidRDefault="004A26AA" w:rsidP="004A26AA">
      <w:pPr>
        <w:numPr>
          <w:ilvl w:val="0"/>
          <w:numId w:val="2"/>
        </w:numPr>
        <w:rPr>
          <w:rFonts w:ascii="IBM Plex Sans" w:hAnsi="IBM Plex Sans"/>
          <w:i/>
          <w:iCs/>
          <w:sz w:val="20"/>
          <w:szCs w:val="20"/>
        </w:rPr>
      </w:pPr>
      <w:r w:rsidRPr="004A26AA">
        <w:rPr>
          <w:rFonts w:ascii="IBM Plex Sans" w:hAnsi="IBM Plex Sans"/>
          <w:b/>
          <w:bCs/>
          <w:sz w:val="20"/>
          <w:szCs w:val="20"/>
        </w:rPr>
        <w:t xml:space="preserve">Goal 2: </w:t>
      </w:r>
      <w:r w:rsidRPr="004A26AA">
        <w:rPr>
          <w:rFonts w:ascii="IBM Plex Sans" w:hAnsi="IBM Plex Sans"/>
          <w:sz w:val="20"/>
          <w:szCs w:val="20"/>
        </w:rPr>
        <w:t>4x the volume of technical engagement to qualify technical wins &amp; accelerate proposal delivery</w:t>
      </w:r>
      <w:r w:rsidRPr="00081BA7">
        <w:rPr>
          <w:rFonts w:ascii="IBM Plex Sans" w:hAnsi="IBM Plex Sans"/>
          <w:sz w:val="20"/>
          <w:szCs w:val="20"/>
        </w:rPr>
        <w:t xml:space="preserve"> – </w:t>
      </w:r>
      <w:r w:rsidRPr="00081BA7">
        <w:rPr>
          <w:rFonts w:ascii="IBM Plex Sans" w:hAnsi="IBM Plex Sans"/>
          <w:i/>
          <w:iCs/>
          <w:sz w:val="20"/>
          <w:szCs w:val="20"/>
        </w:rPr>
        <w:t>“will the rate and pace of client  &amp; technical engagement enable me to achieve the market objective?”</w:t>
      </w:r>
    </w:p>
    <w:p w14:paraId="3E04F3DE" w14:textId="24E48BBE" w:rsidR="004A26AA" w:rsidRPr="004A26AA" w:rsidRDefault="004A26AA" w:rsidP="004A26AA">
      <w:pPr>
        <w:numPr>
          <w:ilvl w:val="0"/>
          <w:numId w:val="2"/>
        </w:numPr>
        <w:rPr>
          <w:rFonts w:ascii="IBM Plex Sans" w:hAnsi="IBM Plex Sans"/>
          <w:sz w:val="20"/>
          <w:szCs w:val="20"/>
        </w:rPr>
      </w:pPr>
      <w:r w:rsidRPr="004A26AA">
        <w:rPr>
          <w:rFonts w:ascii="IBM Plex Sans" w:hAnsi="IBM Plex Sans"/>
          <w:b/>
          <w:bCs/>
          <w:sz w:val="20"/>
          <w:szCs w:val="20"/>
        </w:rPr>
        <w:t xml:space="preserve">Goal 3: </w:t>
      </w:r>
      <w:r w:rsidRPr="004A26AA">
        <w:rPr>
          <w:rFonts w:ascii="IBM Plex Sans" w:hAnsi="IBM Plex Sans"/>
          <w:sz w:val="20"/>
          <w:szCs w:val="20"/>
        </w:rPr>
        <w:t>Reduce the average time to technical sign off by 75%</w:t>
      </w:r>
      <w:r w:rsidRPr="00081BA7">
        <w:rPr>
          <w:rFonts w:ascii="IBM Plex Sans" w:hAnsi="IBM Plex Sans"/>
          <w:sz w:val="20"/>
          <w:szCs w:val="20"/>
        </w:rPr>
        <w:t xml:space="preserve"> - </w:t>
      </w:r>
      <w:r w:rsidRPr="00081BA7">
        <w:rPr>
          <w:rFonts w:ascii="IBM Plex Sans" w:hAnsi="IBM Plex Sans"/>
          <w:i/>
          <w:iCs/>
          <w:sz w:val="20"/>
          <w:szCs w:val="20"/>
        </w:rPr>
        <w:t xml:space="preserve"> “how can we accelerate technical engagement cycles through workshops, custom demos, hackathons and more to increase capacity to do more technical engagement?”</w:t>
      </w:r>
    </w:p>
    <w:p w14:paraId="5F0C5F6B" w14:textId="4C319037" w:rsidR="004A26AA" w:rsidRPr="004A26AA" w:rsidRDefault="004A26AA" w:rsidP="004A26AA">
      <w:pPr>
        <w:numPr>
          <w:ilvl w:val="0"/>
          <w:numId w:val="2"/>
        </w:numPr>
        <w:rPr>
          <w:rFonts w:ascii="IBM Plex Sans" w:hAnsi="IBM Plex Sans"/>
          <w:i/>
          <w:iCs/>
          <w:sz w:val="20"/>
          <w:szCs w:val="20"/>
        </w:rPr>
      </w:pPr>
      <w:r w:rsidRPr="004A26AA">
        <w:rPr>
          <w:rFonts w:ascii="IBM Plex Sans" w:hAnsi="IBM Plex Sans"/>
          <w:b/>
          <w:bCs/>
          <w:sz w:val="20"/>
          <w:szCs w:val="20"/>
        </w:rPr>
        <w:t xml:space="preserve">Goal 4: </w:t>
      </w:r>
      <w:r w:rsidRPr="004A26AA">
        <w:rPr>
          <w:rFonts w:ascii="IBM Plex Sans" w:hAnsi="IBM Plex Sans"/>
          <w:sz w:val="20"/>
          <w:szCs w:val="20"/>
        </w:rPr>
        <w:t>Drive sales and technical sales OI participation rates to 100% per quarter</w:t>
      </w:r>
      <w:r w:rsidR="001E2840" w:rsidRPr="00081BA7">
        <w:rPr>
          <w:rFonts w:ascii="IBM Plex Sans" w:hAnsi="IBM Plex Sans"/>
          <w:sz w:val="20"/>
          <w:szCs w:val="20"/>
        </w:rPr>
        <w:t xml:space="preserve">  - </w:t>
      </w:r>
      <w:r w:rsidR="001E2840" w:rsidRPr="00081BA7">
        <w:rPr>
          <w:rFonts w:ascii="IBM Plex Sans" w:hAnsi="IBM Plex Sans"/>
          <w:i/>
          <w:iCs/>
          <w:sz w:val="20"/>
          <w:szCs w:val="20"/>
        </w:rPr>
        <w:t>“is everyone in the market proactively prospecting?”</w:t>
      </w:r>
    </w:p>
    <w:p w14:paraId="78B5688E" w14:textId="08F98B41" w:rsidR="004A26AA" w:rsidRPr="00081BA7" w:rsidRDefault="004A26AA" w:rsidP="004A26AA">
      <w:pPr>
        <w:numPr>
          <w:ilvl w:val="0"/>
          <w:numId w:val="2"/>
        </w:numPr>
        <w:rPr>
          <w:rFonts w:ascii="IBM Plex Sans" w:hAnsi="IBM Plex Sans"/>
          <w:sz w:val="20"/>
          <w:szCs w:val="20"/>
        </w:rPr>
      </w:pPr>
      <w:r w:rsidRPr="004A26AA">
        <w:rPr>
          <w:rFonts w:ascii="IBM Plex Sans" w:hAnsi="IBM Plex Sans"/>
          <w:b/>
          <w:bCs/>
          <w:sz w:val="20"/>
          <w:szCs w:val="20"/>
        </w:rPr>
        <w:t xml:space="preserve">Goal 5: </w:t>
      </w:r>
      <w:r w:rsidRPr="004A26AA">
        <w:rPr>
          <w:rFonts w:ascii="IBM Plex Sans" w:hAnsi="IBM Plex Sans"/>
          <w:sz w:val="20"/>
          <w:szCs w:val="20"/>
        </w:rPr>
        <w:t>Drive sales productivity participation rates to 75% across transactional &amp; SaaS ACV (i.e. minimum of 75% of sellers have opportunities in call every quarter)</w:t>
      </w:r>
      <w:r w:rsidR="001E2840" w:rsidRPr="00081BA7">
        <w:rPr>
          <w:rFonts w:ascii="IBM Plex Sans" w:hAnsi="IBM Plex Sans"/>
          <w:sz w:val="20"/>
          <w:szCs w:val="20"/>
        </w:rPr>
        <w:t xml:space="preserve">. -  </w:t>
      </w:r>
      <w:r w:rsidR="001E2840" w:rsidRPr="00081BA7">
        <w:rPr>
          <w:rFonts w:ascii="IBM Plex Sans" w:hAnsi="IBM Plex Sans"/>
          <w:i/>
          <w:iCs/>
          <w:sz w:val="20"/>
          <w:szCs w:val="20"/>
        </w:rPr>
        <w:t>“is everyone in my market on the board?  Do we have consistent contribution across territories, managers, brands, etc?”</w:t>
      </w:r>
    </w:p>
    <w:p w14:paraId="43BB51D4" w14:textId="77777777" w:rsidR="004A26AA" w:rsidRPr="00081BA7" w:rsidRDefault="004A26AA" w:rsidP="001E2840">
      <w:pPr>
        <w:rPr>
          <w:rFonts w:ascii="IBM Plex Sans" w:hAnsi="IBM Plex Sans"/>
          <w:sz w:val="20"/>
          <w:szCs w:val="20"/>
        </w:rPr>
      </w:pPr>
    </w:p>
    <w:p w14:paraId="0DB46E5B" w14:textId="7AC9BD4B" w:rsidR="004A26AA" w:rsidRDefault="001E2840" w:rsidP="009A2AE4">
      <w:pPr>
        <w:rPr>
          <w:rFonts w:ascii="IBM Plex Sans" w:hAnsi="IBM Plex Sans"/>
          <w:sz w:val="20"/>
          <w:szCs w:val="20"/>
        </w:rPr>
      </w:pPr>
      <w:r w:rsidRPr="00081BA7">
        <w:rPr>
          <w:rFonts w:ascii="IBM Plex Sans" w:hAnsi="IBM Plex Sans"/>
          <w:sz w:val="20"/>
          <w:szCs w:val="20"/>
        </w:rPr>
        <w:t xml:space="preserve">Moving forward, we will update the scorecard weekly.  Today, we start with our Q2 position. Next week, you will see week to week progress metrics across pipeline, productivity and technical activities. Healthy competition across markets </w:t>
      </w:r>
      <w:r w:rsidRPr="00081BA7">
        <w:rPr>
          <w:rFonts w:ascii="IBM Plex Sans" w:hAnsi="IBM Plex Sans"/>
          <w:sz w:val="20"/>
          <w:szCs w:val="20"/>
        </w:rPr>
        <w:sym w:font="Wingdings" w:char="F04A"/>
      </w:r>
      <w:r w:rsidRPr="00081BA7">
        <w:rPr>
          <w:rFonts w:ascii="IBM Plex Sans" w:hAnsi="IBM Plex Sans"/>
          <w:sz w:val="20"/>
          <w:szCs w:val="20"/>
        </w:rPr>
        <w:t xml:space="preserve"> </w:t>
      </w:r>
    </w:p>
    <w:p w14:paraId="6187E473" w14:textId="77777777" w:rsidR="00081BA7" w:rsidRDefault="00081BA7" w:rsidP="009A2AE4">
      <w:pPr>
        <w:rPr>
          <w:rFonts w:ascii="IBM Plex Sans" w:hAnsi="IBM Plex Sans"/>
          <w:sz w:val="20"/>
          <w:szCs w:val="20"/>
        </w:rPr>
      </w:pPr>
    </w:p>
    <w:p w14:paraId="6F19655C" w14:textId="77777777" w:rsidR="00081BA7" w:rsidRDefault="00081BA7" w:rsidP="009A2AE4">
      <w:pPr>
        <w:rPr>
          <w:rFonts w:ascii="IBM Plex Sans" w:hAnsi="IBM Plex Sans"/>
          <w:sz w:val="20"/>
          <w:szCs w:val="20"/>
        </w:rPr>
      </w:pPr>
    </w:p>
    <w:p w14:paraId="439319BC" w14:textId="77777777" w:rsidR="00081BA7" w:rsidRPr="00081BA7" w:rsidRDefault="00081BA7" w:rsidP="009A2AE4">
      <w:pPr>
        <w:rPr>
          <w:rFonts w:ascii="IBM Plex Sans" w:hAnsi="IBM Plex Sans"/>
          <w:sz w:val="20"/>
          <w:szCs w:val="20"/>
        </w:rPr>
      </w:pPr>
    </w:p>
    <w:p w14:paraId="642886B8" w14:textId="02CD8E42" w:rsidR="001E2840" w:rsidRPr="00081BA7" w:rsidRDefault="001E2840" w:rsidP="009A2AE4">
      <w:pPr>
        <w:rPr>
          <w:rFonts w:ascii="IBM Plex Sans" w:hAnsi="IBM Plex Sans"/>
          <w:sz w:val="20"/>
          <w:szCs w:val="20"/>
        </w:rPr>
      </w:pPr>
      <w:r w:rsidRPr="00081BA7">
        <w:rPr>
          <w:rFonts w:ascii="IBM Plex Sans" w:hAnsi="IBM Plex Sans"/>
          <w:b/>
          <w:bCs/>
          <w:sz w:val="20"/>
          <w:szCs w:val="20"/>
        </w:rPr>
        <w:lastRenderedPageBreak/>
        <w:t>Table 1:</w:t>
      </w:r>
      <w:r w:rsidRPr="00081BA7">
        <w:rPr>
          <w:rFonts w:ascii="IBM Plex Sans" w:hAnsi="IBM Plex Sans"/>
          <w:sz w:val="20"/>
          <w:szCs w:val="20"/>
        </w:rPr>
        <w:t xml:space="preserve">  Condensed Pipeline Analysis showcasing CQ + NQ pipeline metrics across transactional and SaaS.  The product makeup is also included, to showcase where the market may be overachieving in one area vs. another.  The </w:t>
      </w:r>
      <w:r w:rsidR="00011D88" w:rsidRPr="00081BA7">
        <w:rPr>
          <w:rFonts w:ascii="IBM Plex Sans" w:hAnsi="IBM Plex Sans"/>
          <w:sz w:val="20"/>
          <w:szCs w:val="20"/>
        </w:rPr>
        <w:t>data below is from EPM pipeline reports.</w:t>
      </w:r>
    </w:p>
    <w:p w14:paraId="4C83D19D" w14:textId="3AA70C7B" w:rsidR="001E2840" w:rsidRDefault="00011D88" w:rsidP="009A2AE4">
      <w:pPr>
        <w:rPr>
          <w:rFonts w:ascii="IBM Plex Sans" w:hAnsi="IBM Plex Sans"/>
          <w:sz w:val="21"/>
          <w:szCs w:val="21"/>
        </w:rPr>
      </w:pPr>
      <w:r w:rsidRPr="00011D88">
        <w:rPr>
          <w:rFonts w:ascii="IBM Plex Sans" w:hAnsi="IBM Plex Sans"/>
          <w:noProof/>
          <w:sz w:val="21"/>
          <w:szCs w:val="21"/>
        </w:rPr>
        <w:drawing>
          <wp:inline distT="0" distB="0" distL="0" distR="0" wp14:anchorId="3596B070" wp14:editId="6EFDC751">
            <wp:extent cx="6400800" cy="2419985"/>
            <wp:effectExtent l="0" t="0" r="0" b="5715"/>
            <wp:docPr id="860088246"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88246" name="Picture 1" descr="A table with numbers and text&#10;&#10;Description automatically generated"/>
                    <pic:cNvPicPr/>
                  </pic:nvPicPr>
                  <pic:blipFill>
                    <a:blip r:embed="rId7"/>
                    <a:stretch>
                      <a:fillRect/>
                    </a:stretch>
                  </pic:blipFill>
                  <pic:spPr>
                    <a:xfrm>
                      <a:off x="0" y="0"/>
                      <a:ext cx="6400800" cy="2419985"/>
                    </a:xfrm>
                    <a:prstGeom prst="rect">
                      <a:avLst/>
                    </a:prstGeom>
                  </pic:spPr>
                </pic:pic>
              </a:graphicData>
            </a:graphic>
          </wp:inline>
        </w:drawing>
      </w:r>
    </w:p>
    <w:p w14:paraId="2F8B91E7" w14:textId="5CA50801" w:rsidR="001E2840" w:rsidRPr="00081BA7" w:rsidRDefault="00216256" w:rsidP="00216256">
      <w:pPr>
        <w:pStyle w:val="ListParagraph"/>
        <w:numPr>
          <w:ilvl w:val="0"/>
          <w:numId w:val="5"/>
        </w:numPr>
        <w:rPr>
          <w:rFonts w:ascii="IBM Plex Sans" w:hAnsi="IBM Plex Sans"/>
          <w:i/>
          <w:iCs/>
          <w:sz w:val="20"/>
          <w:szCs w:val="20"/>
        </w:rPr>
      </w:pPr>
      <w:r w:rsidRPr="00081BA7">
        <w:rPr>
          <w:rFonts w:ascii="IBM Plex Sans" w:hAnsi="IBM Plex Sans"/>
          <w:i/>
          <w:iCs/>
          <w:sz w:val="20"/>
          <w:szCs w:val="20"/>
        </w:rPr>
        <w:t>Currently at 3</w:t>
      </w:r>
      <w:r w:rsidR="00011D88" w:rsidRPr="00081BA7">
        <w:rPr>
          <w:rFonts w:ascii="IBM Plex Sans" w:hAnsi="IBM Plex Sans"/>
          <w:i/>
          <w:iCs/>
          <w:sz w:val="20"/>
          <w:szCs w:val="20"/>
        </w:rPr>
        <w:t>81</w:t>
      </w:r>
      <w:r w:rsidRPr="00081BA7">
        <w:rPr>
          <w:rFonts w:ascii="IBM Plex Sans" w:hAnsi="IBM Plex Sans"/>
          <w:i/>
          <w:iCs/>
          <w:sz w:val="20"/>
          <w:szCs w:val="20"/>
        </w:rPr>
        <w:t xml:space="preserve">M of transactional pipe for Americas against a target of </w:t>
      </w:r>
      <w:r w:rsidR="00011D88" w:rsidRPr="00081BA7">
        <w:rPr>
          <w:rFonts w:ascii="IBM Plex Sans" w:hAnsi="IBM Plex Sans"/>
          <w:i/>
          <w:iCs/>
          <w:sz w:val="20"/>
          <w:szCs w:val="20"/>
        </w:rPr>
        <w:t>605</w:t>
      </w:r>
      <w:r w:rsidRPr="00081BA7">
        <w:rPr>
          <w:rFonts w:ascii="IBM Plex Sans" w:hAnsi="IBM Plex Sans"/>
          <w:i/>
          <w:iCs/>
          <w:sz w:val="20"/>
          <w:szCs w:val="20"/>
        </w:rPr>
        <w:t>M</w:t>
      </w:r>
      <w:r w:rsidR="00011D88" w:rsidRPr="00081BA7">
        <w:rPr>
          <w:rFonts w:ascii="IBM Plex Sans" w:hAnsi="IBM Plex Sans"/>
          <w:i/>
          <w:iCs/>
          <w:sz w:val="20"/>
          <w:szCs w:val="20"/>
        </w:rPr>
        <w:t xml:space="preserve"> (added only 7M of transactional pipe wtw total)</w:t>
      </w:r>
      <w:r w:rsidRPr="00081BA7">
        <w:rPr>
          <w:rFonts w:ascii="IBM Plex Sans" w:hAnsi="IBM Plex Sans"/>
          <w:i/>
          <w:iCs/>
          <w:sz w:val="20"/>
          <w:szCs w:val="20"/>
        </w:rPr>
        <w:t xml:space="preserve">.  We need to build and load pipe aggressively for the next 2 weeks before shifting majority of focus to </w:t>
      </w:r>
      <w:r w:rsidR="00011D88" w:rsidRPr="00081BA7">
        <w:rPr>
          <w:rFonts w:ascii="IBM Plex Sans" w:hAnsi="IBM Plex Sans"/>
          <w:i/>
          <w:iCs/>
          <w:sz w:val="20"/>
          <w:szCs w:val="20"/>
        </w:rPr>
        <w:t xml:space="preserve">current quarter </w:t>
      </w:r>
      <w:r w:rsidRPr="00081BA7">
        <w:rPr>
          <w:rFonts w:ascii="IBM Plex Sans" w:hAnsi="IBM Plex Sans"/>
          <w:i/>
          <w:iCs/>
          <w:sz w:val="20"/>
          <w:szCs w:val="20"/>
        </w:rPr>
        <w:t xml:space="preserve">progression on transactional. Congrats to </w:t>
      </w:r>
      <w:r w:rsidR="00011D88" w:rsidRPr="00081BA7">
        <w:rPr>
          <w:rFonts w:ascii="IBM Plex Sans" w:hAnsi="IBM Plex Sans"/>
          <w:i/>
          <w:iCs/>
          <w:sz w:val="20"/>
          <w:szCs w:val="20"/>
        </w:rPr>
        <w:t xml:space="preserve">Federal and Canada </w:t>
      </w:r>
      <w:r w:rsidRPr="00081BA7">
        <w:rPr>
          <w:rFonts w:ascii="IBM Plex Sans" w:hAnsi="IBM Plex Sans"/>
          <w:i/>
          <w:iCs/>
          <w:sz w:val="20"/>
          <w:szCs w:val="20"/>
        </w:rPr>
        <w:t>for coming out strong on CQ transactional pipe build for watsonx.</w:t>
      </w:r>
    </w:p>
    <w:p w14:paraId="7811CF75" w14:textId="15EA47D7" w:rsidR="00216256" w:rsidRPr="00081BA7" w:rsidRDefault="00216256" w:rsidP="00216256">
      <w:pPr>
        <w:pStyle w:val="ListParagraph"/>
        <w:numPr>
          <w:ilvl w:val="0"/>
          <w:numId w:val="5"/>
        </w:numPr>
        <w:rPr>
          <w:rFonts w:ascii="IBM Plex Sans" w:hAnsi="IBM Plex Sans"/>
          <w:i/>
          <w:iCs/>
          <w:sz w:val="20"/>
          <w:szCs w:val="20"/>
        </w:rPr>
      </w:pPr>
      <w:r w:rsidRPr="00081BA7">
        <w:rPr>
          <w:rFonts w:ascii="IBM Plex Sans" w:hAnsi="IBM Plex Sans"/>
          <w:i/>
          <w:iCs/>
          <w:sz w:val="20"/>
          <w:szCs w:val="20"/>
        </w:rPr>
        <w:t>For SaaS we are in a different spot – we are relatively well covered for SaaS, but historic</w:t>
      </w:r>
      <w:r w:rsidR="00011D88" w:rsidRPr="00081BA7">
        <w:rPr>
          <w:rFonts w:ascii="IBM Plex Sans" w:hAnsi="IBM Plex Sans"/>
          <w:i/>
          <w:iCs/>
          <w:sz w:val="20"/>
          <w:szCs w:val="20"/>
        </w:rPr>
        <w:t>al data</w:t>
      </w:r>
      <w:r w:rsidRPr="00081BA7">
        <w:rPr>
          <w:rFonts w:ascii="IBM Plex Sans" w:hAnsi="IBM Plex Sans"/>
          <w:i/>
          <w:iCs/>
          <w:sz w:val="20"/>
          <w:szCs w:val="20"/>
        </w:rPr>
        <w:t xml:space="preserve"> showcase</w:t>
      </w:r>
      <w:r w:rsidR="00011D88" w:rsidRPr="00081BA7">
        <w:rPr>
          <w:rFonts w:ascii="IBM Plex Sans" w:hAnsi="IBM Plex Sans"/>
          <w:i/>
          <w:iCs/>
          <w:sz w:val="20"/>
          <w:szCs w:val="20"/>
        </w:rPr>
        <w:t>s</w:t>
      </w:r>
      <w:r w:rsidRPr="00081BA7">
        <w:rPr>
          <w:rFonts w:ascii="IBM Plex Sans" w:hAnsi="IBM Plex Sans"/>
          <w:i/>
          <w:iCs/>
          <w:sz w:val="20"/>
          <w:szCs w:val="20"/>
        </w:rPr>
        <w:t xml:space="preserve"> we need to spend more time on blocking / tackling and progression for SaaS opportunities.  We will begin twice weekly deal huddles on top SaaS opportunities + partner focused deal huddles for </w:t>
      </w:r>
      <w:r w:rsidR="00011D88" w:rsidRPr="00081BA7">
        <w:rPr>
          <w:rFonts w:ascii="IBM Plex Sans" w:hAnsi="IBM Plex Sans"/>
          <w:i/>
          <w:iCs/>
          <w:sz w:val="20"/>
          <w:szCs w:val="20"/>
        </w:rPr>
        <w:t>N</w:t>
      </w:r>
      <w:r w:rsidRPr="00081BA7">
        <w:rPr>
          <w:rFonts w:ascii="IBM Plex Sans" w:hAnsi="IBM Plex Sans"/>
          <w:i/>
          <w:iCs/>
          <w:sz w:val="20"/>
          <w:szCs w:val="20"/>
        </w:rPr>
        <w:t>ational / LA / Canada</w:t>
      </w:r>
      <w:r w:rsidR="00011D88" w:rsidRPr="00081BA7">
        <w:rPr>
          <w:rFonts w:ascii="IBM Plex Sans" w:hAnsi="IBM Plex Sans"/>
          <w:i/>
          <w:iCs/>
          <w:sz w:val="20"/>
          <w:szCs w:val="20"/>
        </w:rPr>
        <w:t xml:space="preserve"> / </w:t>
      </w:r>
      <w:r w:rsidRPr="00081BA7">
        <w:rPr>
          <w:rFonts w:ascii="IBM Plex Sans" w:hAnsi="IBM Plex Sans"/>
          <w:i/>
          <w:iCs/>
          <w:sz w:val="20"/>
          <w:szCs w:val="20"/>
        </w:rPr>
        <w:t xml:space="preserve">to improve penetration in the select segment for progression. Great job to </w:t>
      </w:r>
      <w:r w:rsidR="00011D88" w:rsidRPr="00081BA7">
        <w:rPr>
          <w:rFonts w:ascii="IBM Plex Sans" w:hAnsi="IBM Plex Sans"/>
          <w:i/>
          <w:iCs/>
          <w:sz w:val="20"/>
          <w:szCs w:val="20"/>
        </w:rPr>
        <w:t>nearly every market</w:t>
      </w:r>
      <w:r w:rsidRPr="00081BA7">
        <w:rPr>
          <w:rFonts w:ascii="IBM Plex Sans" w:hAnsi="IBM Plex Sans"/>
          <w:i/>
          <w:iCs/>
          <w:sz w:val="20"/>
          <w:szCs w:val="20"/>
        </w:rPr>
        <w:t xml:space="preserve"> for punching above the weight class on SaaS pipeline!</w:t>
      </w:r>
    </w:p>
    <w:p w14:paraId="48CD4E26" w14:textId="0DD49D95" w:rsidR="00011D88" w:rsidRPr="00081BA7" w:rsidRDefault="00011D88" w:rsidP="00216256">
      <w:pPr>
        <w:pStyle w:val="ListParagraph"/>
        <w:numPr>
          <w:ilvl w:val="0"/>
          <w:numId w:val="5"/>
        </w:numPr>
        <w:rPr>
          <w:rFonts w:ascii="IBM Plex Sans" w:hAnsi="IBM Plex Sans"/>
          <w:i/>
          <w:iCs/>
          <w:sz w:val="20"/>
          <w:szCs w:val="20"/>
        </w:rPr>
      </w:pPr>
      <w:r w:rsidRPr="00081BA7">
        <w:rPr>
          <w:rFonts w:ascii="IBM Plex Sans" w:hAnsi="IBM Plex Sans"/>
          <w:i/>
          <w:iCs/>
          <w:sz w:val="20"/>
          <w:szCs w:val="20"/>
        </w:rPr>
        <w:t>Note that at week 4, we will adapt the tables above to focus on NQ pipeline to ensure we remain consistent on exercising the business development and pipe build muscles across our teams.</w:t>
      </w:r>
    </w:p>
    <w:p w14:paraId="1263715B" w14:textId="6709E197" w:rsidR="00602F15" w:rsidRPr="00081BA7" w:rsidRDefault="001E2840" w:rsidP="009A2AE4">
      <w:pPr>
        <w:rPr>
          <w:rFonts w:ascii="IBM Plex Sans" w:hAnsi="IBM Plex Sans"/>
          <w:sz w:val="20"/>
          <w:szCs w:val="20"/>
        </w:rPr>
      </w:pPr>
      <w:r w:rsidRPr="00081BA7">
        <w:rPr>
          <w:rFonts w:ascii="IBM Plex Sans" w:hAnsi="IBM Plex Sans"/>
          <w:b/>
          <w:bCs/>
          <w:sz w:val="20"/>
          <w:szCs w:val="20"/>
        </w:rPr>
        <w:t>Table 2:</w:t>
      </w:r>
      <w:r w:rsidRPr="00081BA7">
        <w:rPr>
          <w:rFonts w:ascii="IBM Plex Sans" w:hAnsi="IBM Plex Sans"/>
          <w:sz w:val="20"/>
          <w:szCs w:val="20"/>
        </w:rPr>
        <w:t xml:space="preserve"> </w:t>
      </w:r>
      <w:r w:rsidR="00081BA7" w:rsidRPr="00081BA7">
        <w:rPr>
          <w:rFonts w:ascii="IBM Plex Sans" w:hAnsi="IBM Plex Sans"/>
          <w:b/>
          <w:bCs/>
          <w:sz w:val="20"/>
          <w:szCs w:val="20"/>
        </w:rPr>
        <w:t xml:space="preserve">Seller </w:t>
      </w:r>
      <w:r w:rsidRPr="00081BA7">
        <w:rPr>
          <w:rFonts w:ascii="IBM Plex Sans" w:hAnsi="IBM Plex Sans"/>
          <w:b/>
          <w:bCs/>
          <w:sz w:val="20"/>
          <w:szCs w:val="20"/>
        </w:rPr>
        <w:t>Productivity.</w:t>
      </w:r>
      <w:r w:rsidRPr="00081BA7">
        <w:rPr>
          <w:rFonts w:ascii="IBM Plex Sans" w:hAnsi="IBM Plex Sans"/>
          <w:sz w:val="20"/>
          <w:szCs w:val="20"/>
        </w:rPr>
        <w:t xml:space="preserve">  You’ll find a discreet view across both transactional &amp; SaaS, as well as managers who have greater than 50% of their population with </w:t>
      </w:r>
      <w:r w:rsidR="00602F15" w:rsidRPr="00081BA7">
        <w:rPr>
          <w:rFonts w:ascii="IBM Plex Sans" w:hAnsi="IBM Plex Sans"/>
          <w:sz w:val="20"/>
          <w:szCs w:val="20"/>
        </w:rPr>
        <w:t>no call. Our focus here is on everyone contributing – there are markets where you are bound to have greater success in SaaS and others in transactional based on current certs, etc.  When each seller has points on the board, we become less reliant on larger transactions and skill development of our seller population naturally improves.  Let’s focus on every seller having points on the board – transactional or SaaS!</w:t>
      </w:r>
      <w:r w:rsidR="00B72A64" w:rsidRPr="00081BA7">
        <w:rPr>
          <w:rFonts w:ascii="IBM Plex Sans" w:hAnsi="IBM Plex Sans"/>
          <w:sz w:val="20"/>
          <w:szCs w:val="20"/>
        </w:rPr>
        <w:t xml:space="preserve">  This data comes from the </w:t>
      </w:r>
      <w:hyperlink r:id="rId8" w:history="1">
        <w:r w:rsidR="00011D88" w:rsidRPr="00081BA7">
          <w:rPr>
            <w:rStyle w:val="Hyperlink"/>
            <w:rFonts w:ascii="IBM Plex Sans" w:hAnsi="IBM Plex Sans"/>
            <w:sz w:val="20"/>
            <w:szCs w:val="20"/>
          </w:rPr>
          <w:t>seller productivity dashboard in ISC.</w:t>
        </w:r>
      </w:hyperlink>
    </w:p>
    <w:p w14:paraId="1F80CA57" w14:textId="1F79F4E3" w:rsidR="00011D88" w:rsidRDefault="00011D88" w:rsidP="009A2AE4">
      <w:pPr>
        <w:rPr>
          <w:rFonts w:ascii="IBM Plex Sans" w:hAnsi="IBM Plex Sans"/>
          <w:sz w:val="21"/>
          <w:szCs w:val="21"/>
        </w:rPr>
      </w:pPr>
      <w:r w:rsidRPr="00011D88">
        <w:rPr>
          <w:rFonts w:ascii="IBM Plex Sans" w:hAnsi="IBM Plex Sans"/>
          <w:noProof/>
          <w:sz w:val="21"/>
          <w:szCs w:val="21"/>
        </w:rPr>
        <w:drawing>
          <wp:inline distT="0" distB="0" distL="0" distR="0" wp14:anchorId="597379B1" wp14:editId="12F7A379">
            <wp:extent cx="6615108" cy="2082800"/>
            <wp:effectExtent l="0" t="0" r="1905" b="0"/>
            <wp:docPr id="500979844"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9844" name="Picture 1" descr="A table with numbers and text&#10;&#10;Description automatically generated"/>
                    <pic:cNvPicPr/>
                  </pic:nvPicPr>
                  <pic:blipFill>
                    <a:blip r:embed="rId9"/>
                    <a:stretch>
                      <a:fillRect/>
                    </a:stretch>
                  </pic:blipFill>
                  <pic:spPr>
                    <a:xfrm>
                      <a:off x="0" y="0"/>
                      <a:ext cx="6729444" cy="2118799"/>
                    </a:xfrm>
                    <a:prstGeom prst="rect">
                      <a:avLst/>
                    </a:prstGeom>
                  </pic:spPr>
                </pic:pic>
              </a:graphicData>
            </a:graphic>
          </wp:inline>
        </w:drawing>
      </w:r>
    </w:p>
    <w:p w14:paraId="323FFC63" w14:textId="0170D164" w:rsidR="00602F15" w:rsidRPr="000D3BAE" w:rsidRDefault="00081BA7" w:rsidP="00081BA7">
      <w:pPr>
        <w:pStyle w:val="ListParagraph"/>
        <w:numPr>
          <w:ilvl w:val="0"/>
          <w:numId w:val="5"/>
        </w:numPr>
        <w:rPr>
          <w:rFonts w:ascii="IBM Plex Sans" w:hAnsi="IBM Plex Sans"/>
          <w:i/>
          <w:iCs/>
          <w:sz w:val="20"/>
          <w:szCs w:val="20"/>
        </w:rPr>
      </w:pPr>
      <w:r w:rsidRPr="000D3BAE">
        <w:rPr>
          <w:rFonts w:ascii="IBM Plex Sans" w:hAnsi="IBM Plex Sans"/>
          <w:i/>
          <w:iCs/>
          <w:sz w:val="20"/>
          <w:szCs w:val="20"/>
        </w:rPr>
        <w:lastRenderedPageBreak/>
        <w:t xml:space="preserve">Please tune into the last column in the above table – this is looking holistically across SaaS / Trans and evaluating managers who have greater than 50% of their teams with no points on the board from a call or upside perspective.  We need to ensure these managers have the right level of focus on ensuring contribution across all territories and with all sellers. </w:t>
      </w:r>
    </w:p>
    <w:p w14:paraId="6BD8D3B6" w14:textId="373D3A53" w:rsidR="00081BA7" w:rsidRPr="000D3BAE" w:rsidRDefault="00081BA7" w:rsidP="00081BA7">
      <w:pPr>
        <w:pStyle w:val="ListParagraph"/>
        <w:numPr>
          <w:ilvl w:val="0"/>
          <w:numId w:val="5"/>
        </w:numPr>
        <w:rPr>
          <w:rFonts w:ascii="IBM Plex Sans" w:hAnsi="IBM Plex Sans"/>
          <w:i/>
          <w:iCs/>
          <w:sz w:val="20"/>
          <w:szCs w:val="20"/>
        </w:rPr>
      </w:pPr>
      <w:r w:rsidRPr="000D3BAE">
        <w:rPr>
          <w:rFonts w:ascii="IBM Plex Sans" w:hAnsi="IBM Plex Sans"/>
          <w:i/>
          <w:iCs/>
          <w:sz w:val="20"/>
          <w:szCs w:val="20"/>
        </w:rPr>
        <w:t>Where we have a lack of CQ productivity, we should see a strong relationship in developing pipeline across these territories.  According to CQ and NQ pipeline data, this is not occurring at the rate / pace it needs to for watsonx.</w:t>
      </w:r>
      <w:r w:rsidR="000D3BAE" w:rsidRPr="000D3BAE">
        <w:rPr>
          <w:rFonts w:ascii="IBM Plex Sans" w:hAnsi="IBM Plex Sans"/>
          <w:i/>
          <w:iCs/>
          <w:sz w:val="20"/>
          <w:szCs w:val="20"/>
        </w:rPr>
        <w:t xml:space="preserve"> </w:t>
      </w:r>
    </w:p>
    <w:p w14:paraId="0CC994B3" w14:textId="345DF0CF" w:rsidR="000D3BAE" w:rsidRPr="000D3BAE" w:rsidRDefault="000D3BAE" w:rsidP="00081BA7">
      <w:pPr>
        <w:pStyle w:val="ListParagraph"/>
        <w:numPr>
          <w:ilvl w:val="0"/>
          <w:numId w:val="5"/>
        </w:numPr>
        <w:rPr>
          <w:rFonts w:ascii="IBM Plex Sans" w:hAnsi="IBM Plex Sans"/>
          <w:i/>
          <w:iCs/>
          <w:sz w:val="20"/>
          <w:szCs w:val="20"/>
        </w:rPr>
      </w:pPr>
      <w:r w:rsidRPr="000D3BAE">
        <w:rPr>
          <w:rFonts w:ascii="IBM Plex Sans" w:hAnsi="IBM Plex Sans"/>
          <w:i/>
          <w:iCs/>
          <w:sz w:val="20"/>
          <w:szCs w:val="20"/>
        </w:rPr>
        <w:t>Our collective goal is 75% seller contribution across the Americas – lets work to have at least 10 more managers that have sellers with ‘points on the board’ by next Monday.</w:t>
      </w:r>
    </w:p>
    <w:p w14:paraId="499D1BB3" w14:textId="77777777" w:rsidR="00216256" w:rsidRPr="00216256" w:rsidRDefault="00216256" w:rsidP="00216256">
      <w:pPr>
        <w:rPr>
          <w:rFonts w:ascii="IBM Plex Sans" w:hAnsi="IBM Plex Sans"/>
          <w:sz w:val="21"/>
          <w:szCs w:val="21"/>
        </w:rPr>
      </w:pPr>
    </w:p>
    <w:p w14:paraId="1588AE95" w14:textId="663A1783" w:rsidR="001E2840" w:rsidRDefault="00602F15" w:rsidP="009A2AE4">
      <w:pPr>
        <w:rPr>
          <w:rFonts w:ascii="IBM Plex Sans" w:hAnsi="IBM Plex Sans"/>
          <w:sz w:val="21"/>
          <w:szCs w:val="21"/>
        </w:rPr>
      </w:pPr>
      <w:r w:rsidRPr="00506F1D">
        <w:rPr>
          <w:rFonts w:ascii="IBM Plex Sans" w:hAnsi="IBM Plex Sans"/>
          <w:b/>
          <w:bCs/>
          <w:sz w:val="21"/>
          <w:szCs w:val="21"/>
        </w:rPr>
        <w:t>Table 3:</w:t>
      </w:r>
      <w:r>
        <w:rPr>
          <w:rFonts w:ascii="IBM Plex Sans" w:hAnsi="IBM Plex Sans"/>
          <w:sz w:val="21"/>
          <w:szCs w:val="21"/>
        </w:rPr>
        <w:t xml:space="preserve"> </w:t>
      </w:r>
      <w:r w:rsidRPr="000D3BAE">
        <w:rPr>
          <w:rFonts w:ascii="IBM Plex Sans" w:hAnsi="IBM Plex Sans"/>
          <w:b/>
          <w:bCs/>
          <w:sz w:val="21"/>
          <w:szCs w:val="21"/>
        </w:rPr>
        <w:t>Technical Activities.</w:t>
      </w:r>
      <w:r>
        <w:rPr>
          <w:rFonts w:ascii="IBM Plex Sans" w:hAnsi="IBM Plex Sans"/>
          <w:sz w:val="21"/>
          <w:szCs w:val="21"/>
        </w:rPr>
        <w:t xml:space="preserve"> </w:t>
      </w:r>
      <w:r w:rsidRPr="000D3BAE">
        <w:rPr>
          <w:rFonts w:ascii="IBM Plex Sans" w:hAnsi="IBM Plex Sans"/>
          <w:sz w:val="20"/>
          <w:szCs w:val="20"/>
        </w:rPr>
        <w:t xml:space="preserve">Our volume of technical engagement must increase – the market has moved on from 6 week pilots </w:t>
      </w:r>
      <w:r w:rsidR="00F369FA" w:rsidRPr="000D3BAE">
        <w:rPr>
          <w:rFonts w:ascii="IBM Plex Sans" w:hAnsi="IBM Plex Sans"/>
          <w:sz w:val="20"/>
          <w:szCs w:val="20"/>
        </w:rPr>
        <w:t>to condensed technical engagements focused on value at the forefront.  We are looking across technical activities in the markets for demos</w:t>
      </w:r>
      <w:r w:rsidR="00851483" w:rsidRPr="000D3BAE">
        <w:rPr>
          <w:rFonts w:ascii="IBM Plex Sans" w:hAnsi="IBM Plex Sans"/>
          <w:sz w:val="20"/>
          <w:szCs w:val="20"/>
        </w:rPr>
        <w:t xml:space="preserve">, </w:t>
      </w:r>
      <w:r w:rsidR="00F369FA" w:rsidRPr="000D3BAE">
        <w:rPr>
          <w:rFonts w:ascii="IBM Plex Sans" w:hAnsi="IBM Plex Sans"/>
          <w:sz w:val="20"/>
          <w:szCs w:val="20"/>
        </w:rPr>
        <w:t xml:space="preserve">workshops, business value assessments, </w:t>
      </w:r>
      <w:r w:rsidR="00851483" w:rsidRPr="000D3BAE">
        <w:rPr>
          <w:rFonts w:ascii="IBM Plex Sans" w:hAnsi="IBM Plex Sans"/>
          <w:sz w:val="20"/>
          <w:szCs w:val="20"/>
        </w:rPr>
        <w:t>architecture engagements</w:t>
      </w:r>
      <w:r w:rsidR="00F369FA" w:rsidRPr="000D3BAE">
        <w:rPr>
          <w:rFonts w:ascii="IBM Plex Sans" w:hAnsi="IBM Plex Sans"/>
          <w:sz w:val="20"/>
          <w:szCs w:val="20"/>
        </w:rPr>
        <w:t xml:space="preserve"> and pilots to assess our scope of technical engagement week to week for </w:t>
      </w:r>
      <w:r w:rsidR="00B72A64" w:rsidRPr="000D3BAE">
        <w:rPr>
          <w:rFonts w:ascii="IBM Plex Sans" w:hAnsi="IBM Plex Sans"/>
          <w:sz w:val="20"/>
          <w:szCs w:val="20"/>
        </w:rPr>
        <w:t>current quarter opportunities</w:t>
      </w:r>
      <w:r w:rsidR="00851483" w:rsidRPr="000D3BAE">
        <w:rPr>
          <w:rFonts w:ascii="IBM Plex Sans" w:hAnsi="IBM Plex Sans"/>
          <w:sz w:val="20"/>
          <w:szCs w:val="20"/>
        </w:rPr>
        <w:t xml:space="preserve"> across watsonx offerings</w:t>
      </w:r>
      <w:r w:rsidR="00B72A64" w:rsidRPr="000D3BAE">
        <w:rPr>
          <w:rFonts w:ascii="IBM Plex Sans" w:hAnsi="IBM Plex Sans"/>
          <w:sz w:val="20"/>
          <w:szCs w:val="20"/>
        </w:rPr>
        <w:t xml:space="preserve">.  These come from the </w:t>
      </w:r>
      <w:hyperlink r:id="rId10" w:history="1">
        <w:r w:rsidR="00B72A64" w:rsidRPr="000D3BAE">
          <w:rPr>
            <w:rStyle w:val="Hyperlink"/>
            <w:rFonts w:ascii="IBM Plex Sans" w:hAnsi="IBM Plex Sans"/>
            <w:sz w:val="20"/>
            <w:szCs w:val="20"/>
          </w:rPr>
          <w:t>Technical Sales Dashboard in ISC</w:t>
        </w:r>
      </w:hyperlink>
    </w:p>
    <w:p w14:paraId="3E732292" w14:textId="5139F1DF" w:rsidR="00506F1D" w:rsidRDefault="00851483" w:rsidP="009A2AE4">
      <w:pPr>
        <w:rPr>
          <w:rFonts w:ascii="IBM Plex Sans" w:hAnsi="IBM Plex Sans"/>
          <w:sz w:val="21"/>
          <w:szCs w:val="21"/>
        </w:rPr>
      </w:pPr>
      <w:r w:rsidRPr="00851483">
        <w:rPr>
          <w:rFonts w:ascii="IBM Plex Sans" w:hAnsi="IBM Plex Sans"/>
          <w:noProof/>
          <w:sz w:val="21"/>
          <w:szCs w:val="21"/>
        </w:rPr>
        <w:drawing>
          <wp:inline distT="0" distB="0" distL="0" distR="0" wp14:anchorId="3700E5EF" wp14:editId="4D63CFEE">
            <wp:extent cx="6400800" cy="2289175"/>
            <wp:effectExtent l="0" t="0" r="0" b="0"/>
            <wp:docPr id="645036945"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36945" name="Picture 1" descr="A table with numbers and text&#10;&#10;Description automatically generated"/>
                    <pic:cNvPicPr/>
                  </pic:nvPicPr>
                  <pic:blipFill>
                    <a:blip r:embed="rId11"/>
                    <a:stretch>
                      <a:fillRect/>
                    </a:stretch>
                  </pic:blipFill>
                  <pic:spPr>
                    <a:xfrm>
                      <a:off x="0" y="0"/>
                      <a:ext cx="6400800" cy="2289175"/>
                    </a:xfrm>
                    <a:prstGeom prst="rect">
                      <a:avLst/>
                    </a:prstGeom>
                  </pic:spPr>
                </pic:pic>
              </a:graphicData>
            </a:graphic>
          </wp:inline>
        </w:drawing>
      </w:r>
    </w:p>
    <w:p w14:paraId="55BEA8C1" w14:textId="4B3114A0" w:rsidR="00851483" w:rsidRPr="000D3BAE" w:rsidRDefault="00851483" w:rsidP="00851483">
      <w:pPr>
        <w:rPr>
          <w:rFonts w:ascii="IBM Plex Sans" w:hAnsi="IBM Plex Sans"/>
          <w:i/>
          <w:iCs/>
          <w:sz w:val="20"/>
          <w:szCs w:val="20"/>
        </w:rPr>
      </w:pPr>
      <w:r w:rsidRPr="000D3BAE">
        <w:rPr>
          <w:rFonts w:ascii="IBM Plex Sans" w:hAnsi="IBM Plex Sans"/>
          <w:i/>
          <w:iCs/>
          <w:sz w:val="20"/>
          <w:szCs w:val="20"/>
        </w:rPr>
        <w:t xml:space="preserve">After a deep dive analysis through specific market data in the Technical Sales dashboard, we recognized multiple technical sellers applying the same technical activities across the exact same opportunities.  This artificially inflates our level of client engagement + should not be happening given the deep technical specialization &amp; client alignment established for 2025. </w:t>
      </w:r>
    </w:p>
    <w:p w14:paraId="07FA69B4" w14:textId="03916E50" w:rsidR="00851483" w:rsidRPr="000D3BAE" w:rsidRDefault="00851483" w:rsidP="00851483">
      <w:pPr>
        <w:rPr>
          <w:i/>
          <w:iCs/>
          <w:sz w:val="20"/>
          <w:szCs w:val="20"/>
        </w:rPr>
      </w:pPr>
      <w:r w:rsidRPr="000D3BAE">
        <w:rPr>
          <w:rFonts w:ascii="IBM Plex Sans" w:hAnsi="IBM Plex Sans"/>
          <w:i/>
          <w:iCs/>
          <w:sz w:val="20"/>
          <w:szCs w:val="20"/>
        </w:rPr>
        <w:t xml:space="preserve">Please work with your teams to ensure appropriate coverage &amp; level of technical engagement is occurring. The five categories above are aligned with WW &amp; across markets for where the technical community has been asked to align technical engagement around. </w:t>
      </w:r>
    </w:p>
    <w:p w14:paraId="1A2A91BF" w14:textId="77777777" w:rsidR="00851483" w:rsidRPr="00851483" w:rsidRDefault="00851483" w:rsidP="00851483">
      <w:pPr>
        <w:pBdr>
          <w:bottom w:val="single" w:sz="6" w:space="1" w:color="auto"/>
        </w:pBdr>
        <w:rPr>
          <w:rFonts w:ascii="IBM Plex Sans" w:hAnsi="IBM Plex Sans"/>
          <w:sz w:val="21"/>
          <w:szCs w:val="21"/>
        </w:rPr>
      </w:pPr>
    </w:p>
    <w:p w14:paraId="2B821403" w14:textId="30698C4E" w:rsidR="00B72A64" w:rsidRPr="000D3BAE" w:rsidRDefault="000D3BAE" w:rsidP="009A2AE4">
      <w:pPr>
        <w:rPr>
          <w:rFonts w:ascii="IBM Plex Sans" w:hAnsi="IBM Plex Sans"/>
          <w:b/>
          <w:bCs/>
          <w:sz w:val="21"/>
          <w:szCs w:val="21"/>
        </w:rPr>
      </w:pPr>
      <w:r w:rsidRPr="000D3BAE">
        <w:rPr>
          <w:rFonts w:ascii="IBM Plex Sans" w:hAnsi="IBM Plex Sans"/>
          <w:b/>
          <w:bCs/>
          <w:sz w:val="21"/>
          <w:szCs w:val="21"/>
        </w:rPr>
        <w:t>Resources</w:t>
      </w:r>
    </w:p>
    <w:p w14:paraId="03D4476D" w14:textId="0273FB8D" w:rsidR="00B72A64" w:rsidRDefault="00B72A64" w:rsidP="009A2AE4">
      <w:pPr>
        <w:rPr>
          <w:rFonts w:ascii="IBM Plex Sans" w:hAnsi="IBM Plex Sans"/>
          <w:sz w:val="21"/>
          <w:szCs w:val="21"/>
        </w:rPr>
      </w:pPr>
      <w:r>
        <w:rPr>
          <w:rFonts w:ascii="IBM Plex Sans" w:hAnsi="IBM Plex Sans"/>
          <w:sz w:val="21"/>
          <w:szCs w:val="21"/>
        </w:rPr>
        <w:t xml:space="preserve">Americas &amp; Market SME’s, our Technical Teams and more have been hard at work to provide support across </w:t>
      </w:r>
      <w:r w:rsidR="00506F1D">
        <w:rPr>
          <w:rFonts w:ascii="IBM Plex Sans" w:hAnsi="IBM Plex Sans"/>
          <w:sz w:val="21"/>
          <w:szCs w:val="21"/>
        </w:rPr>
        <w:t xml:space="preserve">pipeline generation &amp; progression activities. </w:t>
      </w:r>
      <w:r w:rsidR="000D3BAE">
        <w:rPr>
          <w:rFonts w:ascii="IBM Plex Sans" w:hAnsi="IBM Plex Sans"/>
          <w:sz w:val="21"/>
          <w:szCs w:val="21"/>
        </w:rPr>
        <w:t xml:space="preserve"> We will include new assets, announcements &amp; best practices for your teams to review moving forward.</w:t>
      </w:r>
    </w:p>
    <w:p w14:paraId="0210E4FA" w14:textId="77777777" w:rsidR="00851483" w:rsidRDefault="00506F1D" w:rsidP="009A2AE4">
      <w:pPr>
        <w:rPr>
          <w:rFonts w:ascii="IBM Plex Sans" w:hAnsi="IBM Plex Sans"/>
          <w:sz w:val="21"/>
          <w:szCs w:val="21"/>
        </w:rPr>
      </w:pPr>
      <w:r>
        <w:rPr>
          <w:rFonts w:ascii="IBM Plex Sans" w:hAnsi="IBM Plex Sans"/>
          <w:sz w:val="21"/>
          <w:szCs w:val="21"/>
        </w:rPr>
        <w:t>Please review the full operating plan deck here:</w:t>
      </w:r>
    </w:p>
    <w:p w14:paraId="1CE0290E" w14:textId="6D499BC2" w:rsidR="00506F1D" w:rsidRDefault="00851483" w:rsidP="009A2AE4">
      <w:pPr>
        <w:rPr>
          <w:rFonts w:ascii="IBM Plex Sans" w:hAnsi="IBM Plex Sans"/>
          <w:sz w:val="21"/>
          <w:szCs w:val="21"/>
        </w:rPr>
      </w:pPr>
      <w:hyperlink r:id="rId12" w:history="1">
        <w:r w:rsidR="00B30276" w:rsidRPr="00851483">
          <w:rPr>
            <w:rStyle w:val="Hyperlink"/>
            <w:rFonts w:ascii="IBM Plex Sans" w:hAnsi="IBM Plex Sans"/>
            <w:sz w:val="21"/>
            <w:szCs w:val="21"/>
          </w:rPr>
          <w:t>https://ibm.box.com/s/vqv8cw5ddsvf2qm52vrrn5t7uz0v2s1r</w:t>
        </w:r>
      </w:hyperlink>
    </w:p>
    <w:p w14:paraId="0B84F509" w14:textId="77777777" w:rsidR="00506F1D" w:rsidRDefault="00506F1D" w:rsidP="009A2AE4">
      <w:pPr>
        <w:rPr>
          <w:rFonts w:ascii="IBM Plex Sans" w:hAnsi="IBM Plex Sans"/>
          <w:sz w:val="21"/>
          <w:szCs w:val="21"/>
        </w:rPr>
      </w:pPr>
    </w:p>
    <w:p w14:paraId="77373CEF" w14:textId="6F8CA1B5" w:rsidR="00506F1D" w:rsidRPr="00506F1D" w:rsidRDefault="00506F1D" w:rsidP="00506F1D">
      <w:pPr>
        <w:rPr>
          <w:rFonts w:ascii="IBM Plex Sans" w:hAnsi="IBM Plex Sans"/>
          <w:sz w:val="21"/>
          <w:szCs w:val="21"/>
        </w:rPr>
      </w:pPr>
      <w:r w:rsidRPr="00506F1D">
        <w:rPr>
          <w:rFonts w:ascii="IBM Plex Sans" w:hAnsi="IBM Plex Sans"/>
          <w:b/>
          <w:bCs/>
          <w:sz w:val="21"/>
          <w:szCs w:val="21"/>
        </w:rPr>
        <w:t xml:space="preserve">Consistent development and rollout of </w:t>
      </w:r>
      <w:r w:rsidR="00851483">
        <w:rPr>
          <w:rFonts w:ascii="IBM Plex Sans" w:hAnsi="IBM Plex Sans"/>
          <w:b/>
          <w:bCs/>
          <w:sz w:val="21"/>
          <w:szCs w:val="21"/>
        </w:rPr>
        <w:t xml:space="preserve">prospecting &amp; business development </w:t>
      </w:r>
      <w:r w:rsidRPr="00506F1D">
        <w:rPr>
          <w:rFonts w:ascii="IBM Plex Sans" w:hAnsi="IBM Plex Sans"/>
          <w:b/>
          <w:bCs/>
          <w:sz w:val="21"/>
          <w:szCs w:val="21"/>
        </w:rPr>
        <w:t>content</w:t>
      </w:r>
    </w:p>
    <w:p w14:paraId="1D299E9A" w14:textId="7E9EEA6A" w:rsidR="00506F1D" w:rsidRPr="00506F1D" w:rsidRDefault="00506F1D" w:rsidP="00506F1D">
      <w:pPr>
        <w:pStyle w:val="ListParagraph"/>
        <w:numPr>
          <w:ilvl w:val="0"/>
          <w:numId w:val="4"/>
        </w:numPr>
        <w:rPr>
          <w:rFonts w:ascii="IBM Plex Sans" w:hAnsi="IBM Plex Sans"/>
          <w:b/>
          <w:bCs/>
          <w:sz w:val="21"/>
          <w:szCs w:val="21"/>
        </w:rPr>
      </w:pPr>
      <w:hyperlink r:id="rId13" w:anchor="/doccenter/f6bc8873-d580-4ee8-a903-c4e0d3a7eee9/doc/%252Fdd85c941b1-5f54-2314-ce72-b98c4c0974c2%252FdfOTRiYmU4NTQtNWY4NC03Y2QyLWZjYWUtOGIxYmFmZjkyZThk%252CPT0%253D%252CU2FsZXMgTW90aW9uL0NhbXBhaWdu%252Flfa9e4e69f-90a7-4403-a31b-f299ae169276//?mode=view&amp;searchId=5504265e-0fde-42de-bbe3-8a1bfeef7958" w:history="1">
        <w:r w:rsidRPr="00851483">
          <w:rPr>
            <w:rStyle w:val="Hyperlink"/>
            <w:rFonts w:ascii="IBM Plex Sans" w:hAnsi="IBM Plex Sans"/>
            <w:b/>
            <w:bCs/>
            <w:sz w:val="21"/>
            <w:szCs w:val="21"/>
          </w:rPr>
          <w:t>Golden Sales Playbooks (GSP’s)</w:t>
        </w:r>
      </w:hyperlink>
    </w:p>
    <w:p w14:paraId="60B6447F" w14:textId="0566F0A3" w:rsidR="00506F1D" w:rsidRPr="00506F1D" w:rsidRDefault="00506F1D" w:rsidP="00506F1D">
      <w:pPr>
        <w:numPr>
          <w:ilvl w:val="2"/>
          <w:numId w:val="3"/>
        </w:numPr>
        <w:rPr>
          <w:rFonts w:ascii="IBM Plex Sans" w:hAnsi="IBM Plex Sans"/>
          <w:sz w:val="21"/>
          <w:szCs w:val="21"/>
        </w:rPr>
      </w:pPr>
      <w:r w:rsidRPr="00506F1D">
        <w:rPr>
          <w:rFonts w:ascii="IBM Plex Sans" w:hAnsi="IBM Plex Sans"/>
          <w:sz w:val="21"/>
          <w:szCs w:val="21"/>
        </w:rPr>
        <w:t xml:space="preserve">In production today: </w:t>
      </w:r>
      <w:hyperlink r:id="rId14" w:history="1">
        <w:r w:rsidRPr="00506F1D">
          <w:rPr>
            <w:rStyle w:val="Hyperlink"/>
            <w:rFonts w:ascii="IBM Plex Sans" w:hAnsi="IBM Plex Sans"/>
            <w:sz w:val="21"/>
            <w:szCs w:val="21"/>
          </w:rPr>
          <w:t>HR,</w:t>
        </w:r>
      </w:hyperlink>
      <w:r w:rsidRPr="00506F1D">
        <w:rPr>
          <w:rFonts w:ascii="IBM Plex Sans" w:hAnsi="IBM Plex Sans"/>
          <w:sz w:val="21"/>
          <w:szCs w:val="21"/>
        </w:rPr>
        <w:t xml:space="preserve"> </w:t>
      </w:r>
      <w:hyperlink r:id="rId15" w:anchor="/doccenter/f6bc8873-d580-4ee8-a903-c4e0d3a7eee9/doc/%252Fdd85c941b1-5f54-2314-ce72-b98c4c0974c2%252FdfOTRiYmU4NTQtNWY4NC03Y2QyLWZjYWUtOGIxYmFmZjkyZThk%252CPT0%253D%252CU2FsZXMgTW90aW9uL0NhbXBhaWdu%252Flff5d70994-8f96-43f1-8ccb-eae6956eebcc//?mode=view&amp;searchId=1498c2e8-3716-485d-b77e-9b86316a67d3" w:history="1">
        <w:r w:rsidRPr="00506F1D">
          <w:rPr>
            <w:rStyle w:val="Hyperlink"/>
            <w:rFonts w:ascii="IBM Plex Sans" w:hAnsi="IBM Plex Sans"/>
            <w:sz w:val="21"/>
            <w:szCs w:val="21"/>
          </w:rPr>
          <w:t>Customer Care</w:t>
        </w:r>
      </w:hyperlink>
      <w:r w:rsidRPr="00506F1D">
        <w:rPr>
          <w:rFonts w:ascii="IBM Plex Sans" w:hAnsi="IBM Plex Sans"/>
          <w:sz w:val="21"/>
          <w:szCs w:val="21"/>
        </w:rPr>
        <w:t xml:space="preserve">, </w:t>
      </w:r>
      <w:hyperlink r:id="rId16" w:anchor="/doccenter/861ea1fd-99e0-44d7-9135-85412e5c28d1/doc/%252Fdda8143fc2-b2db-1d78-87a2-bc044b81953c%252Fddc3c7e856-3107-3cee-c6be-555aef298988%252Fdd0ac5f997-4999-f3f5-8362-b6a68c6df8f6%252FdfMGU3ZjBmZDktMDcxZi1hY2JmLWZkMzYtOGViNjc4ZjQ5MmNj%252CPT0%253D%252CSUJNIFNvZnR3YXJl%252FdfOTRiYmU4NTQtNWY4NC03Y2QyLWZjYWUtOGIxYmFmZjkyZThk%252CPT0%253D%252CQ2xpZW50IHN0b3J5%252Flf929c7394-7b24-4904-9970-50cf93e98485//?mode=view" w:history="1">
        <w:r w:rsidRPr="00506F1D">
          <w:rPr>
            <w:rStyle w:val="Hyperlink"/>
            <w:rFonts w:ascii="IBM Plex Sans" w:hAnsi="IBM Plex Sans"/>
            <w:sz w:val="21"/>
            <w:szCs w:val="21"/>
          </w:rPr>
          <w:t>AI Governance,</w:t>
        </w:r>
      </w:hyperlink>
      <w:r w:rsidRPr="00506F1D">
        <w:rPr>
          <w:rFonts w:ascii="IBM Plex Sans" w:hAnsi="IBM Plex Sans"/>
          <w:sz w:val="21"/>
          <w:szCs w:val="21"/>
        </w:rPr>
        <w:t xml:space="preserve"> </w:t>
      </w:r>
      <w:hyperlink r:id="rId17" w:anchor="/doccenter/861ea1fd-99e0-44d7-9135-85412e5c28d1/doc/%252Fdd3359e5f7-a856-a91b-7688-41024b2ac637%252FdfNTY4NmVhOWItY2RkNS04ZWY3LTZkNzItZTQwZjczMWUyMjk1%252CPT0%253D%252CQ29sbGFib3JhdGlvbiBTb2x1dGlvbnM%253D%252FdfNDRmODBlMzMtY2ViMC0zMDI1LTVhNDEtNzg2OTg4MWVmZDBl%252COthers%252FdfOTRiYmU4NTQtNWY4NC03Y2QyLWZjYWUtOGIxYmFmZjkyZThk%252CPT0%253D%252CU2FsZXMgTW90aW9uL0NhbXBhaWdu%252Flf1987b42d-7571-4498-874e-e7340d854a04//?mode=view" w:history="1">
        <w:r w:rsidRPr="00506F1D">
          <w:rPr>
            <w:rStyle w:val="Hyperlink"/>
            <w:rFonts w:ascii="IBM Plex Sans" w:hAnsi="IBM Plex Sans"/>
            <w:sz w:val="21"/>
            <w:szCs w:val="21"/>
          </w:rPr>
          <w:t>Procurement</w:t>
        </w:r>
      </w:hyperlink>
    </w:p>
    <w:p w14:paraId="4B6EB213" w14:textId="298712A1" w:rsidR="00506F1D" w:rsidRPr="00506F1D" w:rsidRDefault="00506F1D" w:rsidP="00506F1D">
      <w:pPr>
        <w:numPr>
          <w:ilvl w:val="2"/>
          <w:numId w:val="3"/>
        </w:numPr>
        <w:rPr>
          <w:rFonts w:ascii="IBM Plex Sans" w:hAnsi="IBM Plex Sans"/>
          <w:sz w:val="21"/>
          <w:szCs w:val="21"/>
        </w:rPr>
      </w:pPr>
      <w:r w:rsidRPr="00506F1D">
        <w:rPr>
          <w:rFonts w:ascii="IBM Plex Sans" w:hAnsi="IBM Plex Sans"/>
          <w:sz w:val="21"/>
          <w:szCs w:val="21"/>
        </w:rPr>
        <w:t xml:space="preserve">Up Next: Supply Chain, Enterprise Performance Management, Sales Productivity delivered by </w:t>
      </w:r>
      <w:r w:rsidRPr="00506F1D">
        <w:rPr>
          <w:rFonts w:ascii="IBM Plex Sans" w:hAnsi="IBM Plex Sans"/>
          <w:b/>
          <w:bCs/>
          <w:sz w:val="21"/>
          <w:szCs w:val="21"/>
        </w:rPr>
        <w:t xml:space="preserve">April </w:t>
      </w:r>
      <w:r w:rsidR="00596C74">
        <w:rPr>
          <w:rFonts w:ascii="IBM Plex Sans" w:hAnsi="IBM Plex Sans"/>
          <w:b/>
          <w:bCs/>
          <w:sz w:val="21"/>
          <w:szCs w:val="21"/>
        </w:rPr>
        <w:t>30th</w:t>
      </w:r>
    </w:p>
    <w:p w14:paraId="70B258FE" w14:textId="77777777" w:rsidR="00506F1D" w:rsidRDefault="00506F1D" w:rsidP="00506F1D">
      <w:pPr>
        <w:numPr>
          <w:ilvl w:val="1"/>
          <w:numId w:val="3"/>
        </w:numPr>
        <w:rPr>
          <w:rFonts w:ascii="IBM Plex Sans" w:hAnsi="IBM Plex Sans"/>
          <w:sz w:val="21"/>
          <w:szCs w:val="21"/>
        </w:rPr>
      </w:pPr>
      <w:r w:rsidRPr="00506F1D">
        <w:rPr>
          <w:rFonts w:ascii="IBM Plex Sans" w:hAnsi="IBM Plex Sans"/>
          <w:b/>
          <w:bCs/>
          <w:sz w:val="21"/>
          <w:szCs w:val="21"/>
        </w:rPr>
        <w:t>Value Creation Frameworks</w:t>
      </w:r>
      <w:r w:rsidRPr="00506F1D">
        <w:rPr>
          <w:rFonts w:ascii="IBM Plex Sans" w:hAnsi="IBM Plex Sans"/>
          <w:sz w:val="21"/>
          <w:szCs w:val="21"/>
        </w:rPr>
        <w:t xml:space="preserve"> (Aligned to GSP use cases) delivered to all use cases above by May 1</w:t>
      </w:r>
    </w:p>
    <w:p w14:paraId="31948EE2" w14:textId="2F1D041B" w:rsidR="00506F1D" w:rsidRPr="00506F1D" w:rsidRDefault="00596C74" w:rsidP="00596C74">
      <w:pPr>
        <w:numPr>
          <w:ilvl w:val="2"/>
          <w:numId w:val="3"/>
        </w:numPr>
        <w:rPr>
          <w:rFonts w:ascii="IBM Plex Sans" w:hAnsi="IBM Plex Sans"/>
          <w:sz w:val="21"/>
          <w:szCs w:val="21"/>
        </w:rPr>
      </w:pPr>
      <w:r w:rsidRPr="00596C74">
        <w:rPr>
          <w:rFonts w:ascii="IBM Plex Sans" w:hAnsi="IBM Plex Sans"/>
          <w:sz w:val="21"/>
          <w:szCs w:val="21"/>
        </w:rPr>
        <w:t>Check out the existing value creation frameworks in HR, Customer Care &amp; AI Governance within the GSP</w:t>
      </w:r>
    </w:p>
    <w:p w14:paraId="050CFD2A" w14:textId="77777777" w:rsidR="00506F1D" w:rsidRPr="00506F1D" w:rsidRDefault="00506F1D" w:rsidP="00506F1D">
      <w:pPr>
        <w:rPr>
          <w:rFonts w:ascii="IBM Plex Sans" w:hAnsi="IBM Plex Sans"/>
          <w:sz w:val="21"/>
          <w:szCs w:val="21"/>
        </w:rPr>
      </w:pPr>
      <w:r w:rsidRPr="00506F1D">
        <w:rPr>
          <w:rFonts w:ascii="IBM Plex Sans" w:hAnsi="IBM Plex Sans"/>
          <w:b/>
          <w:bCs/>
          <w:sz w:val="21"/>
          <w:szCs w:val="21"/>
        </w:rPr>
        <w:t>Client Zero Demo Acceleration</w:t>
      </w:r>
    </w:p>
    <w:p w14:paraId="5E58F585" w14:textId="77777777" w:rsidR="00506F1D" w:rsidRPr="00506F1D" w:rsidRDefault="00506F1D" w:rsidP="00506F1D">
      <w:pPr>
        <w:numPr>
          <w:ilvl w:val="1"/>
          <w:numId w:val="3"/>
        </w:numPr>
        <w:rPr>
          <w:rFonts w:ascii="IBM Plex Sans" w:hAnsi="IBM Plex Sans"/>
          <w:sz w:val="21"/>
          <w:szCs w:val="21"/>
        </w:rPr>
      </w:pPr>
      <w:r w:rsidRPr="00506F1D">
        <w:rPr>
          <w:rFonts w:ascii="IBM Plex Sans" w:hAnsi="IBM Plex Sans"/>
          <w:sz w:val="21"/>
          <w:szCs w:val="21"/>
        </w:rPr>
        <w:t>What: Americas top created a demo tenant whereby client zero use cases are pre-built for sellers to use on the fly (no connection to external endpoints / removes requirement to pre-spin up a techzone instance</w:t>
      </w:r>
    </w:p>
    <w:p w14:paraId="15CFD12D" w14:textId="77777777" w:rsidR="00506F1D" w:rsidRPr="00506F1D" w:rsidRDefault="00506F1D" w:rsidP="00506F1D">
      <w:pPr>
        <w:numPr>
          <w:ilvl w:val="1"/>
          <w:numId w:val="3"/>
        </w:numPr>
        <w:rPr>
          <w:rFonts w:ascii="IBM Plex Sans" w:hAnsi="IBM Plex Sans"/>
          <w:sz w:val="21"/>
          <w:szCs w:val="21"/>
        </w:rPr>
      </w:pPr>
      <w:r w:rsidRPr="00506F1D">
        <w:rPr>
          <w:rFonts w:ascii="IBM Plex Sans" w:hAnsi="IBM Plex Sans"/>
          <w:sz w:val="21"/>
          <w:szCs w:val="21"/>
        </w:rPr>
        <w:t>Demo tenants can serve as the ‘starter kit’ for further customization of client demos (amortizing significant portion of workload up front for custom demos)</w:t>
      </w:r>
    </w:p>
    <w:p w14:paraId="6098675D" w14:textId="77777777" w:rsidR="00506F1D" w:rsidRPr="00506F1D" w:rsidRDefault="00506F1D" w:rsidP="00506F1D">
      <w:pPr>
        <w:numPr>
          <w:ilvl w:val="1"/>
          <w:numId w:val="3"/>
        </w:numPr>
        <w:rPr>
          <w:rFonts w:ascii="IBM Plex Sans" w:hAnsi="IBM Plex Sans"/>
          <w:sz w:val="21"/>
          <w:szCs w:val="21"/>
        </w:rPr>
      </w:pPr>
      <w:r w:rsidRPr="00506F1D">
        <w:rPr>
          <w:rFonts w:ascii="IBM Plex Sans" w:hAnsi="IBM Plex Sans"/>
          <w:sz w:val="21"/>
          <w:szCs w:val="21"/>
        </w:rPr>
        <w:t>Goal is to expose the “live chat” environment to customers in the future and these assets will be used to push these into the product faster than they otherwise could be</w:t>
      </w:r>
    </w:p>
    <w:p w14:paraId="51C24795" w14:textId="77777777" w:rsidR="00506F1D" w:rsidRPr="00506F1D" w:rsidRDefault="00506F1D" w:rsidP="00506F1D">
      <w:pPr>
        <w:numPr>
          <w:ilvl w:val="1"/>
          <w:numId w:val="3"/>
        </w:numPr>
        <w:rPr>
          <w:rFonts w:ascii="IBM Plex Sans" w:hAnsi="IBM Plex Sans"/>
          <w:sz w:val="21"/>
          <w:szCs w:val="21"/>
        </w:rPr>
      </w:pPr>
      <w:r w:rsidRPr="00506F1D">
        <w:rPr>
          <w:rFonts w:ascii="IBM Plex Sans" w:hAnsi="IBM Plex Sans"/>
          <w:sz w:val="21"/>
          <w:szCs w:val="21"/>
        </w:rPr>
        <w:t>Documentation / Optimal Scripts are built for use cases across the client zero demo environment</w:t>
      </w:r>
    </w:p>
    <w:p w14:paraId="2540EF14" w14:textId="77777777" w:rsidR="00506F1D" w:rsidRPr="00506F1D" w:rsidRDefault="00506F1D" w:rsidP="00506F1D">
      <w:pPr>
        <w:numPr>
          <w:ilvl w:val="1"/>
          <w:numId w:val="3"/>
        </w:numPr>
        <w:rPr>
          <w:rFonts w:ascii="IBM Plex Sans" w:hAnsi="IBM Plex Sans"/>
          <w:sz w:val="21"/>
          <w:szCs w:val="21"/>
        </w:rPr>
      </w:pPr>
      <w:r w:rsidRPr="00506F1D">
        <w:rPr>
          <w:rFonts w:ascii="IBM Plex Sans" w:hAnsi="IBM Plex Sans"/>
          <w:sz w:val="21"/>
          <w:szCs w:val="21"/>
        </w:rPr>
        <w:t>Client Zero Demo Environment Live Chat: </w:t>
      </w:r>
      <w:hyperlink r:id="rId18" w:history="1">
        <w:r w:rsidRPr="00506F1D">
          <w:rPr>
            <w:rStyle w:val="Hyperlink"/>
            <w:rFonts w:ascii="IBM Plex Sans" w:hAnsi="IBM Plex Sans"/>
            <w:sz w:val="21"/>
            <w:szCs w:val="21"/>
          </w:rPr>
          <w:t>https://ibm.biz/CZDemos</w:t>
        </w:r>
      </w:hyperlink>
      <w:r w:rsidRPr="00506F1D">
        <w:rPr>
          <w:rFonts w:ascii="IBM Plex Sans" w:hAnsi="IBM Plex Sans"/>
          <w:sz w:val="21"/>
          <w:szCs w:val="21"/>
        </w:rPr>
        <w:br/>
        <w:t>Client Zero Demo Instructions: </w:t>
      </w:r>
      <w:hyperlink r:id="rId19" w:history="1">
        <w:r w:rsidRPr="00506F1D">
          <w:rPr>
            <w:rStyle w:val="Hyperlink"/>
            <w:rFonts w:ascii="IBM Plex Sans" w:hAnsi="IBM Plex Sans"/>
            <w:sz w:val="21"/>
            <w:szCs w:val="21"/>
          </w:rPr>
          <w:t>https://ibm.biz/CZDemoInstructions</w:t>
        </w:r>
      </w:hyperlink>
    </w:p>
    <w:p w14:paraId="4A608606" w14:textId="034D8D07" w:rsidR="00506F1D" w:rsidRPr="00506F1D" w:rsidRDefault="00506F1D" w:rsidP="00506F1D">
      <w:pPr>
        <w:rPr>
          <w:rFonts w:ascii="IBM Plex Sans" w:hAnsi="IBM Plex Sans"/>
          <w:sz w:val="21"/>
          <w:szCs w:val="21"/>
        </w:rPr>
      </w:pPr>
      <w:hyperlink r:id="rId20" w:anchor="/doccenter/f6bc8873-d580-4ee8-a903-c4e0d3a7eee9/doc/%252Fdd85c941b1-5f54-2314-ce72-b98c4c0974c2%252FdfOTRiYmU4NTQtNWY4NC03Y2QyLWZjYWUtOGIxYmFmZjkyZThk%252CPT0%253D%252CQ2xpZW50IEludGVyZXN0IFByb2dyZXNzaW9u%252Flfd88190ff-e41c-4fe1-9602-24ba3929d946//?mode=view&amp;searchId=1ad35424-889e-4902-a2c6-56055f9586dc" w:history="1">
        <w:r w:rsidRPr="00506F1D">
          <w:rPr>
            <w:rStyle w:val="Hyperlink"/>
            <w:rFonts w:ascii="IBM Plex Sans" w:hAnsi="IBM Plex Sans"/>
            <w:b/>
            <w:bCs/>
            <w:sz w:val="21"/>
            <w:szCs w:val="21"/>
          </w:rPr>
          <w:t>Agentic AI 1-2 day bootcamps led by CE</w:t>
        </w:r>
      </w:hyperlink>
    </w:p>
    <w:p w14:paraId="49785656" w14:textId="35E7CBD9" w:rsidR="00506F1D" w:rsidRPr="00596C74" w:rsidRDefault="00506F1D" w:rsidP="00506F1D">
      <w:pPr>
        <w:rPr>
          <w:rFonts w:ascii="IBM Plex Sans" w:hAnsi="IBM Plex Sans"/>
          <w:b/>
          <w:bCs/>
          <w:sz w:val="21"/>
          <w:szCs w:val="21"/>
        </w:rPr>
      </w:pPr>
      <w:hyperlink r:id="rId21" w:history="1">
        <w:r w:rsidRPr="00506F1D">
          <w:rPr>
            <w:rStyle w:val="Hyperlink"/>
            <w:rFonts w:ascii="IBM Plex Sans" w:hAnsi="IBM Plex Sans"/>
            <w:b/>
            <w:bCs/>
            <w:sz w:val="21"/>
            <w:szCs w:val="21"/>
          </w:rPr>
          <w:t xml:space="preserve">Weekly </w:t>
        </w:r>
        <w:r w:rsidRPr="00596C74">
          <w:rPr>
            <w:rStyle w:val="Hyperlink"/>
            <w:rFonts w:ascii="IBM Plex Sans" w:hAnsi="IBM Plex Sans"/>
            <w:b/>
            <w:bCs/>
            <w:sz w:val="21"/>
            <w:szCs w:val="21"/>
          </w:rPr>
          <w:t xml:space="preserve">Wednesday </w:t>
        </w:r>
        <w:r w:rsidRPr="00506F1D">
          <w:rPr>
            <w:rStyle w:val="Hyperlink"/>
            <w:rFonts w:ascii="IBM Plex Sans" w:hAnsi="IBM Plex Sans"/>
            <w:b/>
            <w:bCs/>
            <w:sz w:val="21"/>
            <w:szCs w:val="21"/>
          </w:rPr>
          <w:t>Prospecting Blitzes</w:t>
        </w:r>
      </w:hyperlink>
      <w:r w:rsidRPr="00506F1D">
        <w:rPr>
          <w:rFonts w:ascii="IBM Plex Sans" w:hAnsi="IBM Plex Sans"/>
          <w:b/>
          <w:bCs/>
          <w:sz w:val="21"/>
          <w:szCs w:val="21"/>
        </w:rPr>
        <w:t xml:space="preserve"> (</w:t>
      </w:r>
      <w:r>
        <w:rPr>
          <w:rFonts w:ascii="IBM Plex Sans" w:hAnsi="IBM Plex Sans"/>
          <w:b/>
          <w:bCs/>
          <w:sz w:val="21"/>
          <w:szCs w:val="21"/>
        </w:rPr>
        <w:t>3</w:t>
      </w:r>
      <w:r w:rsidRPr="00506F1D">
        <w:rPr>
          <w:rFonts w:ascii="IBM Plex Sans" w:hAnsi="IBM Plex Sans"/>
          <w:b/>
          <w:bCs/>
          <w:sz w:val="21"/>
          <w:szCs w:val="21"/>
        </w:rPr>
        <w:t>0 min activation + 60 minutes pure reach out)</w:t>
      </w:r>
      <w:r>
        <w:rPr>
          <w:rFonts w:ascii="IBM Plex Sans" w:hAnsi="IBM Plex Sans"/>
          <w:b/>
          <w:bCs/>
          <w:sz w:val="21"/>
          <w:szCs w:val="21"/>
        </w:rPr>
        <w:t xml:space="preserve"> – </w:t>
      </w:r>
      <w:r w:rsidR="00596C74">
        <w:rPr>
          <w:rFonts w:ascii="IBM Plex Sans" w:hAnsi="IBM Plex Sans"/>
          <w:b/>
          <w:bCs/>
          <w:sz w:val="21"/>
          <w:szCs w:val="21"/>
        </w:rPr>
        <w:t>Happening all throughout April</w:t>
      </w:r>
    </w:p>
    <w:p w14:paraId="29E35D08" w14:textId="77777777" w:rsidR="00506F1D" w:rsidRPr="00506F1D" w:rsidRDefault="00506F1D" w:rsidP="00506F1D">
      <w:pPr>
        <w:rPr>
          <w:rFonts w:ascii="IBM Plex Sans" w:hAnsi="IBM Plex Sans"/>
          <w:sz w:val="21"/>
          <w:szCs w:val="21"/>
        </w:rPr>
      </w:pPr>
    </w:p>
    <w:p w14:paraId="0209A451" w14:textId="77777777" w:rsidR="00506F1D" w:rsidRPr="009A2AE4" w:rsidRDefault="00506F1D" w:rsidP="009A2AE4">
      <w:pPr>
        <w:rPr>
          <w:rFonts w:ascii="IBM Plex Sans" w:hAnsi="IBM Plex Sans"/>
          <w:sz w:val="21"/>
          <w:szCs w:val="21"/>
        </w:rPr>
      </w:pPr>
    </w:p>
    <w:sectPr w:rsidR="00506F1D" w:rsidRPr="009A2AE4" w:rsidSect="00081BA7">
      <w:head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1A9CC" w14:textId="77777777" w:rsidR="00B751D6" w:rsidRDefault="00B751D6" w:rsidP="00B94108">
      <w:pPr>
        <w:spacing w:after="0" w:line="240" w:lineRule="auto"/>
      </w:pPr>
      <w:r>
        <w:separator/>
      </w:r>
    </w:p>
  </w:endnote>
  <w:endnote w:type="continuationSeparator" w:id="0">
    <w:p w14:paraId="4FA8CCDF" w14:textId="77777777" w:rsidR="00B751D6" w:rsidRDefault="00B751D6" w:rsidP="00B94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BM Plex Sans">
    <w:panose1 w:val="020B0503050203000203"/>
    <w:charset w:val="00"/>
    <w:family w:val="swiss"/>
    <w:pitch w:val="variable"/>
    <w:sig w:usb0="A00002EF" w:usb1="5000207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CB04" w14:textId="77777777" w:rsidR="00B751D6" w:rsidRDefault="00B751D6" w:rsidP="00B94108">
      <w:pPr>
        <w:spacing w:after="0" w:line="240" w:lineRule="auto"/>
      </w:pPr>
      <w:r>
        <w:separator/>
      </w:r>
    </w:p>
  </w:footnote>
  <w:footnote w:type="continuationSeparator" w:id="0">
    <w:p w14:paraId="34637C48" w14:textId="77777777" w:rsidR="00B751D6" w:rsidRDefault="00B751D6" w:rsidP="00B94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9208" w14:textId="77777777" w:rsidR="00B94108" w:rsidRDefault="00B94108">
    <w:pPr>
      <w:pStyle w:val="Header"/>
    </w:pPr>
    <w:r>
      <w:rPr>
        <w:noProof/>
      </w:rPr>
      <mc:AlternateContent>
        <mc:Choice Requires="wps">
          <w:drawing>
            <wp:anchor distT="0" distB="0" distL="114300" distR="114300" simplePos="0" relativeHeight="251659264" behindDoc="0" locked="0" layoutInCell="1" allowOverlap="1" wp14:anchorId="4AC70B0E" wp14:editId="5100033C">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B33C272" w14:textId="074D07E8" w:rsidR="00B94108" w:rsidRDefault="00B94108">
                              <w:pPr>
                                <w:pStyle w:val="NoSpacing"/>
                                <w:jc w:val="center"/>
                                <w:rPr>
                                  <w:b/>
                                  <w:caps/>
                                  <w:spacing w:val="20"/>
                                  <w:sz w:val="28"/>
                                  <w:szCs w:val="28"/>
                                </w:rPr>
                              </w:pPr>
                              <w:r>
                                <w:rPr>
                                  <w:b/>
                                  <w:caps/>
                                  <w:spacing w:val="20"/>
                                  <w:sz w:val="28"/>
                                  <w:szCs w:val="28"/>
                                </w:rPr>
                                <w:t xml:space="preserve">watsonx weekly Scorecard – April </w:t>
                              </w:r>
                              <w:r w:rsidR="000D3BAE">
                                <w:rPr>
                                  <w:b/>
                                  <w:caps/>
                                  <w:spacing w:val="20"/>
                                  <w:sz w:val="28"/>
                                  <w:szCs w:val="28"/>
                                </w:rPr>
                                <w:t>14</w:t>
                              </w:r>
                              <w:r>
                                <w:rPr>
                                  <w:b/>
                                  <w:caps/>
                                  <w:spacing w:val="20"/>
                                  <w:sz w:val="28"/>
                                  <w:szCs w:val="28"/>
                                </w:rPr>
                                <w:t>th 2025</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4AC70B0E"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0e2841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1B33C272" w14:textId="074D07E8" w:rsidR="00B94108" w:rsidRDefault="00B94108">
                        <w:pPr>
                          <w:pStyle w:val="NoSpacing"/>
                          <w:jc w:val="center"/>
                          <w:rPr>
                            <w:b/>
                            <w:caps/>
                            <w:spacing w:val="20"/>
                            <w:sz w:val="28"/>
                            <w:szCs w:val="28"/>
                          </w:rPr>
                        </w:pPr>
                        <w:r>
                          <w:rPr>
                            <w:b/>
                            <w:caps/>
                            <w:spacing w:val="20"/>
                            <w:sz w:val="28"/>
                            <w:szCs w:val="28"/>
                          </w:rPr>
                          <w:t xml:space="preserve">watsonx weekly Scorecard – April </w:t>
                        </w:r>
                        <w:r w:rsidR="000D3BAE">
                          <w:rPr>
                            <w:b/>
                            <w:caps/>
                            <w:spacing w:val="20"/>
                            <w:sz w:val="28"/>
                            <w:szCs w:val="28"/>
                          </w:rPr>
                          <w:t>14</w:t>
                        </w:r>
                        <w:r>
                          <w:rPr>
                            <w:b/>
                            <w:caps/>
                            <w:spacing w:val="20"/>
                            <w:sz w:val="28"/>
                            <w:szCs w:val="28"/>
                          </w:rPr>
                          <w:t>th 2025</w:t>
                        </w:r>
                      </w:p>
                    </w:sdtContent>
                  </w:sdt>
                </w:txbxContent>
              </v:textbox>
              <w10:wrap anchorx="page" anchory="page"/>
            </v:rect>
          </w:pict>
        </mc:Fallback>
      </mc:AlternateContent>
    </w:r>
  </w:p>
  <w:p w14:paraId="531CCF8D" w14:textId="77777777" w:rsidR="00B94108" w:rsidRDefault="00B94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A3F"/>
    <w:multiLevelType w:val="hybridMultilevel"/>
    <w:tmpl w:val="A342BB1E"/>
    <w:lvl w:ilvl="0" w:tplc="FACAB520">
      <w:start w:val="1"/>
      <w:numFmt w:val="bullet"/>
      <w:lvlText w:val="•"/>
      <w:lvlJc w:val="left"/>
      <w:pPr>
        <w:tabs>
          <w:tab w:val="num" w:pos="720"/>
        </w:tabs>
        <w:ind w:left="720" w:hanging="360"/>
      </w:pPr>
      <w:rPr>
        <w:rFonts w:ascii="Arial" w:hAnsi="Arial" w:hint="default"/>
      </w:rPr>
    </w:lvl>
    <w:lvl w:ilvl="1" w:tplc="0B90E014">
      <w:numFmt w:val="bullet"/>
      <w:lvlText w:val="•"/>
      <w:lvlJc w:val="left"/>
      <w:pPr>
        <w:tabs>
          <w:tab w:val="num" w:pos="1440"/>
        </w:tabs>
        <w:ind w:left="1440" w:hanging="360"/>
      </w:pPr>
      <w:rPr>
        <w:rFonts w:ascii="Arial" w:hAnsi="Arial" w:hint="default"/>
      </w:rPr>
    </w:lvl>
    <w:lvl w:ilvl="2" w:tplc="ED7A157E">
      <w:numFmt w:val="bullet"/>
      <w:lvlText w:val="•"/>
      <w:lvlJc w:val="left"/>
      <w:pPr>
        <w:tabs>
          <w:tab w:val="num" w:pos="2160"/>
        </w:tabs>
        <w:ind w:left="2160" w:hanging="360"/>
      </w:pPr>
      <w:rPr>
        <w:rFonts w:ascii="Arial" w:hAnsi="Arial" w:hint="default"/>
      </w:rPr>
    </w:lvl>
    <w:lvl w:ilvl="3" w:tplc="CC324690" w:tentative="1">
      <w:start w:val="1"/>
      <w:numFmt w:val="bullet"/>
      <w:lvlText w:val="•"/>
      <w:lvlJc w:val="left"/>
      <w:pPr>
        <w:tabs>
          <w:tab w:val="num" w:pos="2880"/>
        </w:tabs>
        <w:ind w:left="2880" w:hanging="360"/>
      </w:pPr>
      <w:rPr>
        <w:rFonts w:ascii="Arial" w:hAnsi="Arial" w:hint="default"/>
      </w:rPr>
    </w:lvl>
    <w:lvl w:ilvl="4" w:tplc="76F4F60C" w:tentative="1">
      <w:start w:val="1"/>
      <w:numFmt w:val="bullet"/>
      <w:lvlText w:val="•"/>
      <w:lvlJc w:val="left"/>
      <w:pPr>
        <w:tabs>
          <w:tab w:val="num" w:pos="3600"/>
        </w:tabs>
        <w:ind w:left="3600" w:hanging="360"/>
      </w:pPr>
      <w:rPr>
        <w:rFonts w:ascii="Arial" w:hAnsi="Arial" w:hint="default"/>
      </w:rPr>
    </w:lvl>
    <w:lvl w:ilvl="5" w:tplc="BBDA09BC" w:tentative="1">
      <w:start w:val="1"/>
      <w:numFmt w:val="bullet"/>
      <w:lvlText w:val="•"/>
      <w:lvlJc w:val="left"/>
      <w:pPr>
        <w:tabs>
          <w:tab w:val="num" w:pos="4320"/>
        </w:tabs>
        <w:ind w:left="4320" w:hanging="360"/>
      </w:pPr>
      <w:rPr>
        <w:rFonts w:ascii="Arial" w:hAnsi="Arial" w:hint="default"/>
      </w:rPr>
    </w:lvl>
    <w:lvl w:ilvl="6" w:tplc="C4604EE2" w:tentative="1">
      <w:start w:val="1"/>
      <w:numFmt w:val="bullet"/>
      <w:lvlText w:val="•"/>
      <w:lvlJc w:val="left"/>
      <w:pPr>
        <w:tabs>
          <w:tab w:val="num" w:pos="5040"/>
        </w:tabs>
        <w:ind w:left="5040" w:hanging="360"/>
      </w:pPr>
      <w:rPr>
        <w:rFonts w:ascii="Arial" w:hAnsi="Arial" w:hint="default"/>
      </w:rPr>
    </w:lvl>
    <w:lvl w:ilvl="7" w:tplc="AB520274" w:tentative="1">
      <w:start w:val="1"/>
      <w:numFmt w:val="bullet"/>
      <w:lvlText w:val="•"/>
      <w:lvlJc w:val="left"/>
      <w:pPr>
        <w:tabs>
          <w:tab w:val="num" w:pos="5760"/>
        </w:tabs>
        <w:ind w:left="5760" w:hanging="360"/>
      </w:pPr>
      <w:rPr>
        <w:rFonts w:ascii="Arial" w:hAnsi="Arial" w:hint="default"/>
      </w:rPr>
    </w:lvl>
    <w:lvl w:ilvl="8" w:tplc="91B2D10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B542C4"/>
    <w:multiLevelType w:val="hybridMultilevel"/>
    <w:tmpl w:val="2E2CC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25954"/>
    <w:multiLevelType w:val="hybridMultilevel"/>
    <w:tmpl w:val="F826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8683E"/>
    <w:multiLevelType w:val="hybridMultilevel"/>
    <w:tmpl w:val="F782CF3C"/>
    <w:lvl w:ilvl="0" w:tplc="FBE29BC8">
      <w:start w:val="1"/>
      <w:numFmt w:val="bullet"/>
      <w:lvlText w:val="-"/>
      <w:lvlJc w:val="left"/>
      <w:pPr>
        <w:ind w:left="720" w:hanging="360"/>
      </w:pPr>
      <w:rPr>
        <w:rFonts w:ascii="IBM Plex Sans" w:eastAsiaTheme="minorHAnsi" w:hAnsi="IBM Plex San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3A505F"/>
    <w:multiLevelType w:val="hybridMultilevel"/>
    <w:tmpl w:val="226C1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9C2C76"/>
    <w:multiLevelType w:val="hybridMultilevel"/>
    <w:tmpl w:val="33A4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D30C2"/>
    <w:multiLevelType w:val="hybridMultilevel"/>
    <w:tmpl w:val="5F6E73E0"/>
    <w:lvl w:ilvl="0" w:tplc="EBBADF20">
      <w:start w:val="1"/>
      <w:numFmt w:val="bullet"/>
      <w:lvlText w:val="•"/>
      <w:lvlJc w:val="left"/>
      <w:pPr>
        <w:tabs>
          <w:tab w:val="num" w:pos="720"/>
        </w:tabs>
        <w:ind w:left="720" w:hanging="360"/>
      </w:pPr>
      <w:rPr>
        <w:rFonts w:ascii="Arial" w:hAnsi="Arial" w:hint="default"/>
      </w:rPr>
    </w:lvl>
    <w:lvl w:ilvl="1" w:tplc="8A0EB094" w:tentative="1">
      <w:start w:val="1"/>
      <w:numFmt w:val="bullet"/>
      <w:lvlText w:val="•"/>
      <w:lvlJc w:val="left"/>
      <w:pPr>
        <w:tabs>
          <w:tab w:val="num" w:pos="1440"/>
        </w:tabs>
        <w:ind w:left="1440" w:hanging="360"/>
      </w:pPr>
      <w:rPr>
        <w:rFonts w:ascii="Arial" w:hAnsi="Arial" w:hint="default"/>
      </w:rPr>
    </w:lvl>
    <w:lvl w:ilvl="2" w:tplc="A8543380" w:tentative="1">
      <w:start w:val="1"/>
      <w:numFmt w:val="bullet"/>
      <w:lvlText w:val="•"/>
      <w:lvlJc w:val="left"/>
      <w:pPr>
        <w:tabs>
          <w:tab w:val="num" w:pos="2160"/>
        </w:tabs>
        <w:ind w:left="2160" w:hanging="360"/>
      </w:pPr>
      <w:rPr>
        <w:rFonts w:ascii="Arial" w:hAnsi="Arial" w:hint="default"/>
      </w:rPr>
    </w:lvl>
    <w:lvl w:ilvl="3" w:tplc="1B04B81A" w:tentative="1">
      <w:start w:val="1"/>
      <w:numFmt w:val="bullet"/>
      <w:lvlText w:val="•"/>
      <w:lvlJc w:val="left"/>
      <w:pPr>
        <w:tabs>
          <w:tab w:val="num" w:pos="2880"/>
        </w:tabs>
        <w:ind w:left="2880" w:hanging="360"/>
      </w:pPr>
      <w:rPr>
        <w:rFonts w:ascii="Arial" w:hAnsi="Arial" w:hint="default"/>
      </w:rPr>
    </w:lvl>
    <w:lvl w:ilvl="4" w:tplc="6E1A3FAC" w:tentative="1">
      <w:start w:val="1"/>
      <w:numFmt w:val="bullet"/>
      <w:lvlText w:val="•"/>
      <w:lvlJc w:val="left"/>
      <w:pPr>
        <w:tabs>
          <w:tab w:val="num" w:pos="3600"/>
        </w:tabs>
        <w:ind w:left="3600" w:hanging="360"/>
      </w:pPr>
      <w:rPr>
        <w:rFonts w:ascii="Arial" w:hAnsi="Arial" w:hint="default"/>
      </w:rPr>
    </w:lvl>
    <w:lvl w:ilvl="5" w:tplc="F3A81462" w:tentative="1">
      <w:start w:val="1"/>
      <w:numFmt w:val="bullet"/>
      <w:lvlText w:val="•"/>
      <w:lvlJc w:val="left"/>
      <w:pPr>
        <w:tabs>
          <w:tab w:val="num" w:pos="4320"/>
        </w:tabs>
        <w:ind w:left="4320" w:hanging="360"/>
      </w:pPr>
      <w:rPr>
        <w:rFonts w:ascii="Arial" w:hAnsi="Arial" w:hint="default"/>
      </w:rPr>
    </w:lvl>
    <w:lvl w:ilvl="6" w:tplc="3E164AB4" w:tentative="1">
      <w:start w:val="1"/>
      <w:numFmt w:val="bullet"/>
      <w:lvlText w:val="•"/>
      <w:lvlJc w:val="left"/>
      <w:pPr>
        <w:tabs>
          <w:tab w:val="num" w:pos="5040"/>
        </w:tabs>
        <w:ind w:left="5040" w:hanging="360"/>
      </w:pPr>
      <w:rPr>
        <w:rFonts w:ascii="Arial" w:hAnsi="Arial" w:hint="default"/>
      </w:rPr>
    </w:lvl>
    <w:lvl w:ilvl="7" w:tplc="4A7609BA" w:tentative="1">
      <w:start w:val="1"/>
      <w:numFmt w:val="bullet"/>
      <w:lvlText w:val="•"/>
      <w:lvlJc w:val="left"/>
      <w:pPr>
        <w:tabs>
          <w:tab w:val="num" w:pos="5760"/>
        </w:tabs>
        <w:ind w:left="5760" w:hanging="360"/>
      </w:pPr>
      <w:rPr>
        <w:rFonts w:ascii="Arial" w:hAnsi="Arial" w:hint="default"/>
      </w:rPr>
    </w:lvl>
    <w:lvl w:ilvl="8" w:tplc="8CC855F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C2174EA"/>
    <w:multiLevelType w:val="hybridMultilevel"/>
    <w:tmpl w:val="11C87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5D0A75"/>
    <w:multiLevelType w:val="hybridMultilevel"/>
    <w:tmpl w:val="DDA8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791452">
    <w:abstractNumId w:val="8"/>
  </w:num>
  <w:num w:numId="2" w16cid:durableId="96338690">
    <w:abstractNumId w:val="6"/>
  </w:num>
  <w:num w:numId="3" w16cid:durableId="1138842680">
    <w:abstractNumId w:val="0"/>
  </w:num>
  <w:num w:numId="4" w16cid:durableId="21637226">
    <w:abstractNumId w:val="5"/>
  </w:num>
  <w:num w:numId="5" w16cid:durableId="1549687917">
    <w:abstractNumId w:val="3"/>
  </w:num>
  <w:num w:numId="6" w16cid:durableId="214121759">
    <w:abstractNumId w:val="2"/>
  </w:num>
  <w:num w:numId="7" w16cid:durableId="31542392">
    <w:abstractNumId w:val="7"/>
  </w:num>
  <w:num w:numId="8" w16cid:durableId="1132282420">
    <w:abstractNumId w:val="1"/>
  </w:num>
  <w:num w:numId="9" w16cid:durableId="721904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08"/>
    <w:rsid w:val="00011D88"/>
    <w:rsid w:val="00081BA7"/>
    <w:rsid w:val="000D3BAE"/>
    <w:rsid w:val="001D070C"/>
    <w:rsid w:val="001E2840"/>
    <w:rsid w:val="00216256"/>
    <w:rsid w:val="003E7B4B"/>
    <w:rsid w:val="004A26AA"/>
    <w:rsid w:val="00506F1D"/>
    <w:rsid w:val="00596C74"/>
    <w:rsid w:val="00602F15"/>
    <w:rsid w:val="007E39E0"/>
    <w:rsid w:val="00851483"/>
    <w:rsid w:val="009407C8"/>
    <w:rsid w:val="009A2AE4"/>
    <w:rsid w:val="00B30276"/>
    <w:rsid w:val="00B72A64"/>
    <w:rsid w:val="00B751D6"/>
    <w:rsid w:val="00B94108"/>
    <w:rsid w:val="00C3574A"/>
    <w:rsid w:val="00E66DBB"/>
    <w:rsid w:val="00E94812"/>
    <w:rsid w:val="00F36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AB47D"/>
  <w15:chartTrackingRefBased/>
  <w15:docId w15:val="{494DEDB0-E3D3-804D-AA28-A7911C0F7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108"/>
    <w:rPr>
      <w:rFonts w:eastAsiaTheme="majorEastAsia" w:cstheme="majorBidi"/>
      <w:color w:val="272727" w:themeColor="text1" w:themeTint="D8"/>
    </w:rPr>
  </w:style>
  <w:style w:type="paragraph" w:styleId="Title">
    <w:name w:val="Title"/>
    <w:basedOn w:val="Normal"/>
    <w:next w:val="Normal"/>
    <w:link w:val="TitleChar"/>
    <w:uiPriority w:val="10"/>
    <w:qFormat/>
    <w:rsid w:val="00B9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108"/>
    <w:pPr>
      <w:spacing w:before="160"/>
      <w:jc w:val="center"/>
    </w:pPr>
    <w:rPr>
      <w:i/>
      <w:iCs/>
      <w:color w:val="404040" w:themeColor="text1" w:themeTint="BF"/>
    </w:rPr>
  </w:style>
  <w:style w:type="character" w:customStyle="1" w:styleId="QuoteChar">
    <w:name w:val="Quote Char"/>
    <w:basedOn w:val="DefaultParagraphFont"/>
    <w:link w:val="Quote"/>
    <w:uiPriority w:val="29"/>
    <w:rsid w:val="00B94108"/>
    <w:rPr>
      <w:i/>
      <w:iCs/>
      <w:color w:val="404040" w:themeColor="text1" w:themeTint="BF"/>
    </w:rPr>
  </w:style>
  <w:style w:type="paragraph" w:styleId="ListParagraph">
    <w:name w:val="List Paragraph"/>
    <w:basedOn w:val="Normal"/>
    <w:uiPriority w:val="34"/>
    <w:qFormat/>
    <w:rsid w:val="00B94108"/>
    <w:pPr>
      <w:ind w:left="720"/>
      <w:contextualSpacing/>
    </w:pPr>
  </w:style>
  <w:style w:type="character" w:styleId="IntenseEmphasis">
    <w:name w:val="Intense Emphasis"/>
    <w:basedOn w:val="DefaultParagraphFont"/>
    <w:uiPriority w:val="21"/>
    <w:qFormat/>
    <w:rsid w:val="00B94108"/>
    <w:rPr>
      <w:i/>
      <w:iCs/>
      <w:color w:val="0F4761" w:themeColor="accent1" w:themeShade="BF"/>
    </w:rPr>
  </w:style>
  <w:style w:type="paragraph" w:styleId="IntenseQuote">
    <w:name w:val="Intense Quote"/>
    <w:basedOn w:val="Normal"/>
    <w:next w:val="Normal"/>
    <w:link w:val="IntenseQuoteChar"/>
    <w:uiPriority w:val="30"/>
    <w:qFormat/>
    <w:rsid w:val="00B9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108"/>
    <w:rPr>
      <w:i/>
      <w:iCs/>
      <w:color w:val="0F4761" w:themeColor="accent1" w:themeShade="BF"/>
    </w:rPr>
  </w:style>
  <w:style w:type="character" w:styleId="IntenseReference">
    <w:name w:val="Intense Reference"/>
    <w:basedOn w:val="DefaultParagraphFont"/>
    <w:uiPriority w:val="32"/>
    <w:qFormat/>
    <w:rsid w:val="00B94108"/>
    <w:rPr>
      <w:b/>
      <w:bCs/>
      <w:smallCaps/>
      <w:color w:val="0F4761" w:themeColor="accent1" w:themeShade="BF"/>
      <w:spacing w:val="5"/>
    </w:rPr>
  </w:style>
  <w:style w:type="paragraph" w:styleId="Header">
    <w:name w:val="header"/>
    <w:basedOn w:val="Normal"/>
    <w:link w:val="HeaderChar"/>
    <w:uiPriority w:val="99"/>
    <w:unhideWhenUsed/>
    <w:rsid w:val="00B94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108"/>
  </w:style>
  <w:style w:type="paragraph" w:styleId="Footer">
    <w:name w:val="footer"/>
    <w:basedOn w:val="Normal"/>
    <w:link w:val="FooterChar"/>
    <w:uiPriority w:val="99"/>
    <w:unhideWhenUsed/>
    <w:rsid w:val="00B94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108"/>
  </w:style>
  <w:style w:type="paragraph" w:styleId="NoSpacing">
    <w:name w:val="No Spacing"/>
    <w:uiPriority w:val="1"/>
    <w:qFormat/>
    <w:rsid w:val="00B94108"/>
    <w:pPr>
      <w:spacing w:after="0" w:line="240" w:lineRule="auto"/>
    </w:pPr>
    <w:rPr>
      <w:rFonts w:eastAsiaTheme="minorEastAsia"/>
      <w:kern w:val="0"/>
      <w:sz w:val="22"/>
      <w:szCs w:val="22"/>
      <w:lang w:eastAsia="zh-CN"/>
      <w14:ligatures w14:val="none"/>
    </w:rPr>
  </w:style>
  <w:style w:type="character" w:styleId="Hyperlink">
    <w:name w:val="Hyperlink"/>
    <w:basedOn w:val="DefaultParagraphFont"/>
    <w:uiPriority w:val="99"/>
    <w:unhideWhenUsed/>
    <w:rsid w:val="00506F1D"/>
    <w:rPr>
      <w:color w:val="467886" w:themeColor="hyperlink"/>
      <w:u w:val="single"/>
    </w:rPr>
  </w:style>
  <w:style w:type="character" w:styleId="UnresolvedMention">
    <w:name w:val="Unresolved Mention"/>
    <w:basedOn w:val="DefaultParagraphFont"/>
    <w:uiPriority w:val="99"/>
    <w:semiHidden/>
    <w:unhideWhenUsed/>
    <w:rsid w:val="00506F1D"/>
    <w:rPr>
      <w:color w:val="605E5C"/>
      <w:shd w:val="clear" w:color="auto" w:fill="E1DFDD"/>
    </w:rPr>
  </w:style>
  <w:style w:type="character" w:styleId="FollowedHyperlink">
    <w:name w:val="FollowedHyperlink"/>
    <w:basedOn w:val="DefaultParagraphFont"/>
    <w:uiPriority w:val="99"/>
    <w:semiHidden/>
    <w:unhideWhenUsed/>
    <w:rsid w:val="000D3B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89739">
      <w:bodyDiv w:val="1"/>
      <w:marLeft w:val="0"/>
      <w:marRight w:val="0"/>
      <w:marTop w:val="0"/>
      <w:marBottom w:val="0"/>
      <w:divBdr>
        <w:top w:val="none" w:sz="0" w:space="0" w:color="auto"/>
        <w:left w:val="none" w:sz="0" w:space="0" w:color="auto"/>
        <w:bottom w:val="none" w:sz="0" w:space="0" w:color="auto"/>
        <w:right w:val="none" w:sz="0" w:space="0" w:color="auto"/>
      </w:divBdr>
      <w:divsChild>
        <w:div w:id="1063217177">
          <w:marLeft w:val="274"/>
          <w:marRight w:val="0"/>
          <w:marTop w:val="0"/>
          <w:marBottom w:val="0"/>
          <w:divBdr>
            <w:top w:val="none" w:sz="0" w:space="0" w:color="auto"/>
            <w:left w:val="none" w:sz="0" w:space="0" w:color="auto"/>
            <w:bottom w:val="none" w:sz="0" w:space="0" w:color="auto"/>
            <w:right w:val="none" w:sz="0" w:space="0" w:color="auto"/>
          </w:divBdr>
        </w:div>
        <w:div w:id="780536090">
          <w:marLeft w:val="274"/>
          <w:marRight w:val="0"/>
          <w:marTop w:val="0"/>
          <w:marBottom w:val="0"/>
          <w:divBdr>
            <w:top w:val="none" w:sz="0" w:space="0" w:color="auto"/>
            <w:left w:val="none" w:sz="0" w:space="0" w:color="auto"/>
            <w:bottom w:val="none" w:sz="0" w:space="0" w:color="auto"/>
            <w:right w:val="none" w:sz="0" w:space="0" w:color="auto"/>
          </w:divBdr>
        </w:div>
        <w:div w:id="1571428164">
          <w:marLeft w:val="274"/>
          <w:marRight w:val="0"/>
          <w:marTop w:val="0"/>
          <w:marBottom w:val="0"/>
          <w:divBdr>
            <w:top w:val="none" w:sz="0" w:space="0" w:color="auto"/>
            <w:left w:val="none" w:sz="0" w:space="0" w:color="auto"/>
            <w:bottom w:val="none" w:sz="0" w:space="0" w:color="auto"/>
            <w:right w:val="none" w:sz="0" w:space="0" w:color="auto"/>
          </w:divBdr>
        </w:div>
        <w:div w:id="1710447731">
          <w:marLeft w:val="274"/>
          <w:marRight w:val="0"/>
          <w:marTop w:val="0"/>
          <w:marBottom w:val="0"/>
          <w:divBdr>
            <w:top w:val="none" w:sz="0" w:space="0" w:color="auto"/>
            <w:left w:val="none" w:sz="0" w:space="0" w:color="auto"/>
            <w:bottom w:val="none" w:sz="0" w:space="0" w:color="auto"/>
            <w:right w:val="none" w:sz="0" w:space="0" w:color="auto"/>
          </w:divBdr>
        </w:div>
        <w:div w:id="1377045680">
          <w:marLeft w:val="274"/>
          <w:marRight w:val="0"/>
          <w:marTop w:val="0"/>
          <w:marBottom w:val="0"/>
          <w:divBdr>
            <w:top w:val="none" w:sz="0" w:space="0" w:color="auto"/>
            <w:left w:val="none" w:sz="0" w:space="0" w:color="auto"/>
            <w:bottom w:val="none" w:sz="0" w:space="0" w:color="auto"/>
            <w:right w:val="none" w:sz="0" w:space="0" w:color="auto"/>
          </w:divBdr>
        </w:div>
        <w:div w:id="400494203">
          <w:marLeft w:val="274"/>
          <w:marRight w:val="0"/>
          <w:marTop w:val="0"/>
          <w:marBottom w:val="0"/>
          <w:divBdr>
            <w:top w:val="none" w:sz="0" w:space="0" w:color="auto"/>
            <w:left w:val="none" w:sz="0" w:space="0" w:color="auto"/>
            <w:bottom w:val="none" w:sz="0" w:space="0" w:color="auto"/>
            <w:right w:val="none" w:sz="0" w:space="0" w:color="auto"/>
          </w:divBdr>
        </w:div>
        <w:div w:id="862980999">
          <w:marLeft w:val="274"/>
          <w:marRight w:val="0"/>
          <w:marTop w:val="0"/>
          <w:marBottom w:val="0"/>
          <w:divBdr>
            <w:top w:val="none" w:sz="0" w:space="0" w:color="auto"/>
            <w:left w:val="none" w:sz="0" w:space="0" w:color="auto"/>
            <w:bottom w:val="none" w:sz="0" w:space="0" w:color="auto"/>
            <w:right w:val="none" w:sz="0" w:space="0" w:color="auto"/>
          </w:divBdr>
        </w:div>
        <w:div w:id="1491100687">
          <w:marLeft w:val="274"/>
          <w:marRight w:val="0"/>
          <w:marTop w:val="0"/>
          <w:marBottom w:val="0"/>
          <w:divBdr>
            <w:top w:val="none" w:sz="0" w:space="0" w:color="auto"/>
            <w:left w:val="none" w:sz="0" w:space="0" w:color="auto"/>
            <w:bottom w:val="none" w:sz="0" w:space="0" w:color="auto"/>
            <w:right w:val="none" w:sz="0" w:space="0" w:color="auto"/>
          </w:divBdr>
        </w:div>
        <w:div w:id="566187270">
          <w:marLeft w:val="274"/>
          <w:marRight w:val="0"/>
          <w:marTop w:val="0"/>
          <w:marBottom w:val="0"/>
          <w:divBdr>
            <w:top w:val="none" w:sz="0" w:space="0" w:color="auto"/>
            <w:left w:val="none" w:sz="0" w:space="0" w:color="auto"/>
            <w:bottom w:val="none" w:sz="0" w:space="0" w:color="auto"/>
            <w:right w:val="none" w:sz="0" w:space="0" w:color="auto"/>
          </w:divBdr>
        </w:div>
        <w:div w:id="1823498721">
          <w:marLeft w:val="274"/>
          <w:marRight w:val="0"/>
          <w:marTop w:val="0"/>
          <w:marBottom w:val="0"/>
          <w:divBdr>
            <w:top w:val="none" w:sz="0" w:space="0" w:color="auto"/>
            <w:left w:val="none" w:sz="0" w:space="0" w:color="auto"/>
            <w:bottom w:val="none" w:sz="0" w:space="0" w:color="auto"/>
            <w:right w:val="none" w:sz="0" w:space="0" w:color="auto"/>
          </w:divBdr>
        </w:div>
        <w:div w:id="876893021">
          <w:marLeft w:val="274"/>
          <w:marRight w:val="0"/>
          <w:marTop w:val="0"/>
          <w:marBottom w:val="0"/>
          <w:divBdr>
            <w:top w:val="none" w:sz="0" w:space="0" w:color="auto"/>
            <w:left w:val="none" w:sz="0" w:space="0" w:color="auto"/>
            <w:bottom w:val="none" w:sz="0" w:space="0" w:color="auto"/>
            <w:right w:val="none" w:sz="0" w:space="0" w:color="auto"/>
          </w:divBdr>
        </w:div>
        <w:div w:id="2143111147">
          <w:marLeft w:val="274"/>
          <w:marRight w:val="0"/>
          <w:marTop w:val="0"/>
          <w:marBottom w:val="0"/>
          <w:divBdr>
            <w:top w:val="none" w:sz="0" w:space="0" w:color="auto"/>
            <w:left w:val="none" w:sz="0" w:space="0" w:color="auto"/>
            <w:bottom w:val="none" w:sz="0" w:space="0" w:color="auto"/>
            <w:right w:val="none" w:sz="0" w:space="0" w:color="auto"/>
          </w:divBdr>
        </w:div>
        <w:div w:id="1358432906">
          <w:marLeft w:val="274"/>
          <w:marRight w:val="0"/>
          <w:marTop w:val="0"/>
          <w:marBottom w:val="0"/>
          <w:divBdr>
            <w:top w:val="none" w:sz="0" w:space="0" w:color="auto"/>
            <w:left w:val="none" w:sz="0" w:space="0" w:color="auto"/>
            <w:bottom w:val="none" w:sz="0" w:space="0" w:color="auto"/>
            <w:right w:val="none" w:sz="0" w:space="0" w:color="auto"/>
          </w:divBdr>
        </w:div>
        <w:div w:id="2015377434">
          <w:marLeft w:val="274"/>
          <w:marRight w:val="0"/>
          <w:marTop w:val="0"/>
          <w:marBottom w:val="0"/>
          <w:divBdr>
            <w:top w:val="none" w:sz="0" w:space="0" w:color="auto"/>
            <w:left w:val="none" w:sz="0" w:space="0" w:color="auto"/>
            <w:bottom w:val="none" w:sz="0" w:space="0" w:color="auto"/>
            <w:right w:val="none" w:sz="0" w:space="0" w:color="auto"/>
          </w:divBdr>
        </w:div>
        <w:div w:id="940646935">
          <w:marLeft w:val="274"/>
          <w:marRight w:val="0"/>
          <w:marTop w:val="0"/>
          <w:marBottom w:val="0"/>
          <w:divBdr>
            <w:top w:val="none" w:sz="0" w:space="0" w:color="auto"/>
            <w:left w:val="none" w:sz="0" w:space="0" w:color="auto"/>
            <w:bottom w:val="none" w:sz="0" w:space="0" w:color="auto"/>
            <w:right w:val="none" w:sz="0" w:space="0" w:color="auto"/>
          </w:divBdr>
        </w:div>
        <w:div w:id="2100905110">
          <w:marLeft w:val="274"/>
          <w:marRight w:val="0"/>
          <w:marTop w:val="0"/>
          <w:marBottom w:val="0"/>
          <w:divBdr>
            <w:top w:val="none" w:sz="0" w:space="0" w:color="auto"/>
            <w:left w:val="none" w:sz="0" w:space="0" w:color="auto"/>
            <w:bottom w:val="none" w:sz="0" w:space="0" w:color="auto"/>
            <w:right w:val="none" w:sz="0" w:space="0" w:color="auto"/>
          </w:divBdr>
        </w:div>
        <w:div w:id="234977612">
          <w:marLeft w:val="274"/>
          <w:marRight w:val="0"/>
          <w:marTop w:val="0"/>
          <w:marBottom w:val="0"/>
          <w:divBdr>
            <w:top w:val="none" w:sz="0" w:space="0" w:color="auto"/>
            <w:left w:val="none" w:sz="0" w:space="0" w:color="auto"/>
            <w:bottom w:val="none" w:sz="0" w:space="0" w:color="auto"/>
            <w:right w:val="none" w:sz="0" w:space="0" w:color="auto"/>
          </w:divBdr>
        </w:div>
        <w:div w:id="998315803">
          <w:marLeft w:val="274"/>
          <w:marRight w:val="0"/>
          <w:marTop w:val="0"/>
          <w:marBottom w:val="0"/>
          <w:divBdr>
            <w:top w:val="none" w:sz="0" w:space="0" w:color="auto"/>
            <w:left w:val="none" w:sz="0" w:space="0" w:color="auto"/>
            <w:bottom w:val="none" w:sz="0" w:space="0" w:color="auto"/>
            <w:right w:val="none" w:sz="0" w:space="0" w:color="auto"/>
          </w:divBdr>
        </w:div>
        <w:div w:id="1966042109">
          <w:marLeft w:val="274"/>
          <w:marRight w:val="0"/>
          <w:marTop w:val="0"/>
          <w:marBottom w:val="0"/>
          <w:divBdr>
            <w:top w:val="none" w:sz="0" w:space="0" w:color="auto"/>
            <w:left w:val="none" w:sz="0" w:space="0" w:color="auto"/>
            <w:bottom w:val="none" w:sz="0" w:space="0" w:color="auto"/>
            <w:right w:val="none" w:sz="0" w:space="0" w:color="auto"/>
          </w:divBdr>
        </w:div>
        <w:div w:id="1903321022">
          <w:marLeft w:val="274"/>
          <w:marRight w:val="0"/>
          <w:marTop w:val="0"/>
          <w:marBottom w:val="0"/>
          <w:divBdr>
            <w:top w:val="none" w:sz="0" w:space="0" w:color="auto"/>
            <w:left w:val="none" w:sz="0" w:space="0" w:color="auto"/>
            <w:bottom w:val="none" w:sz="0" w:space="0" w:color="auto"/>
            <w:right w:val="none" w:sz="0" w:space="0" w:color="auto"/>
          </w:divBdr>
        </w:div>
        <w:div w:id="1354572531">
          <w:marLeft w:val="274"/>
          <w:marRight w:val="0"/>
          <w:marTop w:val="0"/>
          <w:marBottom w:val="0"/>
          <w:divBdr>
            <w:top w:val="none" w:sz="0" w:space="0" w:color="auto"/>
            <w:left w:val="none" w:sz="0" w:space="0" w:color="auto"/>
            <w:bottom w:val="none" w:sz="0" w:space="0" w:color="auto"/>
            <w:right w:val="none" w:sz="0" w:space="0" w:color="auto"/>
          </w:divBdr>
        </w:div>
        <w:div w:id="111167159">
          <w:marLeft w:val="274"/>
          <w:marRight w:val="0"/>
          <w:marTop w:val="0"/>
          <w:marBottom w:val="0"/>
          <w:divBdr>
            <w:top w:val="none" w:sz="0" w:space="0" w:color="auto"/>
            <w:left w:val="none" w:sz="0" w:space="0" w:color="auto"/>
            <w:bottom w:val="none" w:sz="0" w:space="0" w:color="auto"/>
            <w:right w:val="none" w:sz="0" w:space="0" w:color="auto"/>
          </w:divBdr>
        </w:div>
        <w:div w:id="891580821">
          <w:marLeft w:val="274"/>
          <w:marRight w:val="0"/>
          <w:marTop w:val="0"/>
          <w:marBottom w:val="0"/>
          <w:divBdr>
            <w:top w:val="none" w:sz="0" w:space="0" w:color="auto"/>
            <w:left w:val="none" w:sz="0" w:space="0" w:color="auto"/>
            <w:bottom w:val="none" w:sz="0" w:space="0" w:color="auto"/>
            <w:right w:val="none" w:sz="0" w:space="0" w:color="auto"/>
          </w:divBdr>
        </w:div>
      </w:divsChild>
    </w:div>
    <w:div w:id="1108163684">
      <w:bodyDiv w:val="1"/>
      <w:marLeft w:val="0"/>
      <w:marRight w:val="0"/>
      <w:marTop w:val="0"/>
      <w:marBottom w:val="0"/>
      <w:divBdr>
        <w:top w:val="none" w:sz="0" w:space="0" w:color="auto"/>
        <w:left w:val="none" w:sz="0" w:space="0" w:color="auto"/>
        <w:bottom w:val="none" w:sz="0" w:space="0" w:color="auto"/>
        <w:right w:val="none" w:sz="0" w:space="0" w:color="auto"/>
      </w:divBdr>
      <w:divsChild>
        <w:div w:id="1992899842">
          <w:marLeft w:val="720"/>
          <w:marRight w:val="0"/>
          <w:marTop w:val="0"/>
          <w:marBottom w:val="0"/>
          <w:divBdr>
            <w:top w:val="none" w:sz="0" w:space="0" w:color="auto"/>
            <w:left w:val="none" w:sz="0" w:space="0" w:color="auto"/>
            <w:bottom w:val="none" w:sz="0" w:space="0" w:color="auto"/>
            <w:right w:val="none" w:sz="0" w:space="0" w:color="auto"/>
          </w:divBdr>
        </w:div>
        <w:div w:id="1201088519">
          <w:marLeft w:val="720"/>
          <w:marRight w:val="0"/>
          <w:marTop w:val="0"/>
          <w:marBottom w:val="0"/>
          <w:divBdr>
            <w:top w:val="none" w:sz="0" w:space="0" w:color="auto"/>
            <w:left w:val="none" w:sz="0" w:space="0" w:color="auto"/>
            <w:bottom w:val="none" w:sz="0" w:space="0" w:color="auto"/>
            <w:right w:val="none" w:sz="0" w:space="0" w:color="auto"/>
          </w:divBdr>
        </w:div>
        <w:div w:id="704257191">
          <w:marLeft w:val="720"/>
          <w:marRight w:val="0"/>
          <w:marTop w:val="0"/>
          <w:marBottom w:val="0"/>
          <w:divBdr>
            <w:top w:val="none" w:sz="0" w:space="0" w:color="auto"/>
            <w:left w:val="none" w:sz="0" w:space="0" w:color="auto"/>
            <w:bottom w:val="none" w:sz="0" w:space="0" w:color="auto"/>
            <w:right w:val="none" w:sz="0" w:space="0" w:color="auto"/>
          </w:divBdr>
        </w:div>
        <w:div w:id="321734885">
          <w:marLeft w:val="720"/>
          <w:marRight w:val="0"/>
          <w:marTop w:val="0"/>
          <w:marBottom w:val="0"/>
          <w:divBdr>
            <w:top w:val="none" w:sz="0" w:space="0" w:color="auto"/>
            <w:left w:val="none" w:sz="0" w:space="0" w:color="auto"/>
            <w:bottom w:val="none" w:sz="0" w:space="0" w:color="auto"/>
            <w:right w:val="none" w:sz="0" w:space="0" w:color="auto"/>
          </w:divBdr>
        </w:div>
        <w:div w:id="924146246">
          <w:marLeft w:val="720"/>
          <w:marRight w:val="0"/>
          <w:marTop w:val="0"/>
          <w:marBottom w:val="0"/>
          <w:divBdr>
            <w:top w:val="none" w:sz="0" w:space="0" w:color="auto"/>
            <w:left w:val="none" w:sz="0" w:space="0" w:color="auto"/>
            <w:bottom w:val="none" w:sz="0" w:space="0" w:color="auto"/>
            <w:right w:val="none" w:sz="0" w:space="0" w:color="auto"/>
          </w:divBdr>
        </w:div>
      </w:divsChild>
    </w:div>
    <w:div w:id="1884055710">
      <w:bodyDiv w:val="1"/>
      <w:marLeft w:val="0"/>
      <w:marRight w:val="0"/>
      <w:marTop w:val="0"/>
      <w:marBottom w:val="0"/>
      <w:divBdr>
        <w:top w:val="none" w:sz="0" w:space="0" w:color="auto"/>
        <w:left w:val="none" w:sz="0" w:space="0" w:color="auto"/>
        <w:bottom w:val="none" w:sz="0" w:space="0" w:color="auto"/>
        <w:right w:val="none" w:sz="0" w:space="0" w:color="auto"/>
      </w:divBdr>
      <w:divsChild>
        <w:div w:id="926617832">
          <w:marLeft w:val="446"/>
          <w:marRight w:val="0"/>
          <w:marTop w:val="60"/>
          <w:marBottom w:val="60"/>
          <w:divBdr>
            <w:top w:val="none" w:sz="0" w:space="0" w:color="auto"/>
            <w:left w:val="none" w:sz="0" w:space="0" w:color="auto"/>
            <w:bottom w:val="none" w:sz="0" w:space="0" w:color="auto"/>
            <w:right w:val="none" w:sz="0" w:space="0" w:color="auto"/>
          </w:divBdr>
        </w:div>
        <w:div w:id="53428769">
          <w:marLeft w:val="1166"/>
          <w:marRight w:val="0"/>
          <w:marTop w:val="60"/>
          <w:marBottom w:val="60"/>
          <w:divBdr>
            <w:top w:val="none" w:sz="0" w:space="0" w:color="auto"/>
            <w:left w:val="none" w:sz="0" w:space="0" w:color="auto"/>
            <w:bottom w:val="none" w:sz="0" w:space="0" w:color="auto"/>
            <w:right w:val="none" w:sz="0" w:space="0" w:color="auto"/>
          </w:divBdr>
        </w:div>
        <w:div w:id="328676583">
          <w:marLeft w:val="1886"/>
          <w:marRight w:val="0"/>
          <w:marTop w:val="60"/>
          <w:marBottom w:val="60"/>
          <w:divBdr>
            <w:top w:val="none" w:sz="0" w:space="0" w:color="auto"/>
            <w:left w:val="none" w:sz="0" w:space="0" w:color="auto"/>
            <w:bottom w:val="none" w:sz="0" w:space="0" w:color="auto"/>
            <w:right w:val="none" w:sz="0" w:space="0" w:color="auto"/>
          </w:divBdr>
        </w:div>
        <w:div w:id="1586719768">
          <w:marLeft w:val="1886"/>
          <w:marRight w:val="0"/>
          <w:marTop w:val="60"/>
          <w:marBottom w:val="60"/>
          <w:divBdr>
            <w:top w:val="none" w:sz="0" w:space="0" w:color="auto"/>
            <w:left w:val="none" w:sz="0" w:space="0" w:color="auto"/>
            <w:bottom w:val="none" w:sz="0" w:space="0" w:color="auto"/>
            <w:right w:val="none" w:sz="0" w:space="0" w:color="auto"/>
          </w:divBdr>
        </w:div>
        <w:div w:id="16541465">
          <w:marLeft w:val="1166"/>
          <w:marRight w:val="0"/>
          <w:marTop w:val="60"/>
          <w:marBottom w:val="60"/>
          <w:divBdr>
            <w:top w:val="none" w:sz="0" w:space="0" w:color="auto"/>
            <w:left w:val="none" w:sz="0" w:space="0" w:color="auto"/>
            <w:bottom w:val="none" w:sz="0" w:space="0" w:color="auto"/>
            <w:right w:val="none" w:sz="0" w:space="0" w:color="auto"/>
          </w:divBdr>
        </w:div>
        <w:div w:id="1920870924">
          <w:marLeft w:val="446"/>
          <w:marRight w:val="0"/>
          <w:marTop w:val="60"/>
          <w:marBottom w:val="60"/>
          <w:divBdr>
            <w:top w:val="none" w:sz="0" w:space="0" w:color="auto"/>
            <w:left w:val="none" w:sz="0" w:space="0" w:color="auto"/>
            <w:bottom w:val="none" w:sz="0" w:space="0" w:color="auto"/>
            <w:right w:val="none" w:sz="0" w:space="0" w:color="auto"/>
          </w:divBdr>
        </w:div>
        <w:div w:id="419300472">
          <w:marLeft w:val="1166"/>
          <w:marRight w:val="0"/>
          <w:marTop w:val="60"/>
          <w:marBottom w:val="60"/>
          <w:divBdr>
            <w:top w:val="none" w:sz="0" w:space="0" w:color="auto"/>
            <w:left w:val="none" w:sz="0" w:space="0" w:color="auto"/>
            <w:bottom w:val="none" w:sz="0" w:space="0" w:color="auto"/>
            <w:right w:val="none" w:sz="0" w:space="0" w:color="auto"/>
          </w:divBdr>
        </w:div>
        <w:div w:id="2041391738">
          <w:marLeft w:val="1166"/>
          <w:marRight w:val="0"/>
          <w:marTop w:val="60"/>
          <w:marBottom w:val="60"/>
          <w:divBdr>
            <w:top w:val="none" w:sz="0" w:space="0" w:color="auto"/>
            <w:left w:val="none" w:sz="0" w:space="0" w:color="auto"/>
            <w:bottom w:val="none" w:sz="0" w:space="0" w:color="auto"/>
            <w:right w:val="none" w:sz="0" w:space="0" w:color="auto"/>
          </w:divBdr>
        </w:div>
        <w:div w:id="1790514806">
          <w:marLeft w:val="1166"/>
          <w:marRight w:val="0"/>
          <w:marTop w:val="60"/>
          <w:marBottom w:val="60"/>
          <w:divBdr>
            <w:top w:val="none" w:sz="0" w:space="0" w:color="auto"/>
            <w:left w:val="none" w:sz="0" w:space="0" w:color="auto"/>
            <w:bottom w:val="none" w:sz="0" w:space="0" w:color="auto"/>
            <w:right w:val="none" w:sz="0" w:space="0" w:color="auto"/>
          </w:divBdr>
        </w:div>
        <w:div w:id="148982690">
          <w:marLeft w:val="1166"/>
          <w:marRight w:val="0"/>
          <w:marTop w:val="60"/>
          <w:marBottom w:val="60"/>
          <w:divBdr>
            <w:top w:val="none" w:sz="0" w:space="0" w:color="auto"/>
            <w:left w:val="none" w:sz="0" w:space="0" w:color="auto"/>
            <w:bottom w:val="none" w:sz="0" w:space="0" w:color="auto"/>
            <w:right w:val="none" w:sz="0" w:space="0" w:color="auto"/>
          </w:divBdr>
        </w:div>
        <w:div w:id="1157644741">
          <w:marLeft w:val="1166"/>
          <w:marRight w:val="0"/>
          <w:marTop w:val="60"/>
          <w:marBottom w:val="60"/>
          <w:divBdr>
            <w:top w:val="none" w:sz="0" w:space="0" w:color="auto"/>
            <w:left w:val="none" w:sz="0" w:space="0" w:color="auto"/>
            <w:bottom w:val="none" w:sz="0" w:space="0" w:color="auto"/>
            <w:right w:val="none" w:sz="0" w:space="0" w:color="auto"/>
          </w:divBdr>
        </w:div>
        <w:div w:id="1438406259">
          <w:marLeft w:val="446"/>
          <w:marRight w:val="0"/>
          <w:marTop w:val="60"/>
          <w:marBottom w:val="60"/>
          <w:divBdr>
            <w:top w:val="none" w:sz="0" w:space="0" w:color="auto"/>
            <w:left w:val="none" w:sz="0" w:space="0" w:color="auto"/>
            <w:bottom w:val="none" w:sz="0" w:space="0" w:color="auto"/>
            <w:right w:val="none" w:sz="0" w:space="0" w:color="auto"/>
          </w:divBdr>
        </w:div>
        <w:div w:id="617298200">
          <w:marLeft w:val="446"/>
          <w:marRight w:val="0"/>
          <w:marTop w:val="60"/>
          <w:marBottom w:val="60"/>
          <w:divBdr>
            <w:top w:val="none" w:sz="0" w:space="0" w:color="auto"/>
            <w:left w:val="none" w:sz="0" w:space="0" w:color="auto"/>
            <w:bottom w:val="none" w:sz="0" w:space="0" w:color="auto"/>
            <w:right w:val="none" w:sz="0" w:space="0" w:color="auto"/>
          </w:divBdr>
        </w:div>
        <w:div w:id="294916624">
          <w:marLeft w:val="446"/>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bmsc.my.salesforce.com/analytics/wave/dashboard?assetId=0FK3h000000IrqeGAC&amp;orgId=00D3h000004YkeY&amp;loginHost=na244.salesforce.com&amp;urlType=sharing&amp;pageId=36a7067f-084c-476e-96d7-e1da334e43ff&amp;savedViewId=8wkKa000000pV1vIAE&amp;analyticsContext=analyticsTab" TargetMode="External"/><Relationship Id="rId13" Type="http://schemas.openxmlformats.org/officeDocument/2006/relationships/hyperlink" Target="https://ibm.seismic.com/app" TargetMode="External"/><Relationship Id="rId18" Type="http://schemas.openxmlformats.org/officeDocument/2006/relationships/hyperlink" Target="https://ibm.biz/CZDemos" TargetMode="External"/><Relationship Id="rId3" Type="http://schemas.openxmlformats.org/officeDocument/2006/relationships/settings" Target="settings.xml"/><Relationship Id="rId21" Type="http://schemas.openxmlformats.org/officeDocument/2006/relationships/hyperlink" Target="https://ec.yourlearning.ibm.com/w3/join/event/10501037" TargetMode="External"/><Relationship Id="rId7" Type="http://schemas.openxmlformats.org/officeDocument/2006/relationships/image" Target="media/image1.png"/><Relationship Id="rId12" Type="http://schemas.openxmlformats.org/officeDocument/2006/relationships/hyperlink" Target="https://ibm.ent.box.com/folder/315579962334?s=vqv8cw5ddsvf2qm52vrrn5t7uz0v2s1r" TargetMode="External"/><Relationship Id="rId17" Type="http://schemas.openxmlformats.org/officeDocument/2006/relationships/hyperlink" Target="https://ibm.seismic.com/app" TargetMode="External"/><Relationship Id="rId2" Type="http://schemas.openxmlformats.org/officeDocument/2006/relationships/styles" Target="styles.xml"/><Relationship Id="rId16" Type="http://schemas.openxmlformats.org/officeDocument/2006/relationships/hyperlink" Target="https://ibm.seismic.com/app" TargetMode="External"/><Relationship Id="rId20" Type="http://schemas.openxmlformats.org/officeDocument/2006/relationships/hyperlink" Target="https://ibm.seismic.com/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ibm.seismic.com/app" TargetMode="External"/><Relationship Id="rId23" Type="http://schemas.openxmlformats.org/officeDocument/2006/relationships/fontTable" Target="fontTable.xml"/><Relationship Id="rId10" Type="http://schemas.openxmlformats.org/officeDocument/2006/relationships/hyperlink" Target="https://ibmsc.lightning.force.com/lightning/page/analytics?wave__assetType=dashboard&amp;wave__assetId=0FK3h000000gX4OGAU" TargetMode="External"/><Relationship Id="rId19" Type="http://schemas.openxmlformats.org/officeDocument/2006/relationships/hyperlink" Target="https://ibm.biz/CZDemoInstruction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ibm.seismic.com/Link/Content/DC7b2mW9R2ch48CBPVX6d9WDJfH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watsonx weekly Scorecard – April 14th 2025</dc:title>
  <dc:subject/>
  <dc:creator>MADISON Gooch</dc:creator>
  <cp:keywords/>
  <dc:description/>
  <cp:lastModifiedBy>Kedar Kulkarni</cp:lastModifiedBy>
  <cp:revision>2</cp:revision>
  <dcterms:created xsi:type="dcterms:W3CDTF">2025-04-24T14:35:00Z</dcterms:created>
  <dcterms:modified xsi:type="dcterms:W3CDTF">2025-04-24T14:35:00Z</dcterms:modified>
</cp:coreProperties>
</file>