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Soil</w:t>
      </w:r>
      <w:r>
        <w:t xml:space="preserve"> </w:t>
      </w:r>
      <w:r>
        <w:t xml:space="preserve">Organic</w:t>
      </w:r>
      <w:r>
        <w:t xml:space="preserve"> </w:t>
      </w:r>
      <w:r>
        <w:t xml:space="preserve">Carbon</w:t>
      </w:r>
      <w:r>
        <w:t xml:space="preserve"> </w:t>
      </w:r>
      <w:r>
        <w:t xml:space="preserve">Budget</w:t>
      </w:r>
    </w:p>
    <w:p>
      <w:pPr>
        <w:pStyle w:val="Abstract"/>
      </w:pPr>
      <w:r>
        <w:t xml:space="preserve">SOC</w:t>
      </w:r>
      <w:r>
        <w:t xml:space="preserve"> </w:t>
      </w:r>
      <w:r>
        <w:t xml:space="preserve">one</w:t>
      </w:r>
      <w:r>
        <w:t xml:space="preserve"> </w:t>
      </w:r>
      <w:r>
        <w:t xml:space="preserve">of</w:t>
      </w:r>
      <w:r>
        <w:t xml:space="preserve"> </w:t>
      </w:r>
      <w:r>
        <w:t xml:space="preserve">larges</w:t>
      </w:r>
      <w:r>
        <w:t xml:space="preserve"> </w:t>
      </w:r>
      <w:r>
        <w:t xml:space="preserve">c</w:t>
      </w:r>
      <w:r>
        <w:t xml:space="preserve"> </w:t>
      </w:r>
      <w:r>
        <w:t xml:space="preserve">sinks</w:t>
      </w:r>
      <w:r>
        <w:t xml:space="preserve"> </w:t>
      </w:r>
      <w:r>
        <w:t xml:space="preserve">on</w:t>
      </w:r>
      <w:r>
        <w:t xml:space="preserve"> </w:t>
      </w:r>
      <w:r>
        <w:t xml:space="preserve">earth</w:t>
      </w:r>
      <w:r>
        <w:t xml:space="preserve"> </w:t>
      </w:r>
      <w:r>
        <w:t xml:space="preserve">(3</w:t>
      </w:r>
      <w:r>
        <w:t xml:space="preserve"> </w:t>
      </w:r>
      <w:r>
        <w:t xml:space="preserve">times</w:t>
      </w:r>
      <w:r>
        <w:t xml:space="preserve"> </w:t>
      </w:r>
      <w:r>
        <w:t xml:space="preserve">larger</w:t>
      </w:r>
      <w:r>
        <w:t xml:space="preserve"> </w:t>
      </w:r>
      <w:r>
        <w:t xml:space="preserve">biospehre</w:t>
      </w:r>
      <w:r>
        <w:t xml:space="preserve"> </w:t>
      </w:r>
      <w:r>
        <w:t xml:space="preserve">pool).</w:t>
      </w:r>
      <w:r>
        <w:t xml:space="preserve"> </w:t>
      </w:r>
      <w:r>
        <w:t xml:space="preserve">Agricultural</w:t>
      </w:r>
      <w:r>
        <w:t xml:space="preserve"> </w:t>
      </w:r>
      <w:r>
        <w:t xml:space="preserve">management</w:t>
      </w:r>
      <w:r>
        <w:t xml:space="preserve"> </w:t>
      </w:r>
      <w:r>
        <w:t xml:space="preserve">leads</w:t>
      </w:r>
      <w:r>
        <w:t xml:space="preserve"> </w:t>
      </w:r>
      <w:r>
        <w:t xml:space="preserve">to</w:t>
      </w:r>
      <w:r>
        <w:t xml:space="preserve"> </w:t>
      </w:r>
      <w:r>
        <w:t xml:space="preserve">a</w:t>
      </w:r>
      <w:r>
        <w:t xml:space="preserve"> </w:t>
      </w:r>
      <w:r>
        <w:t xml:space="preserve">depletion</w:t>
      </w:r>
      <w:r>
        <w:t xml:space="preserve"> </w:t>
      </w:r>
      <w:r>
        <w:t xml:space="preserve">of</w:t>
      </w:r>
      <w:r>
        <w:t xml:space="preserve"> </w:t>
      </w:r>
      <w:r>
        <w:t xml:space="preserve">soil</w:t>
      </w:r>
      <w:r>
        <w:t xml:space="preserve"> </w:t>
      </w:r>
      <w:r>
        <w:t xml:space="preserve">organic</w:t>
      </w:r>
      <w:r>
        <w:t xml:space="preserve"> </w:t>
      </w:r>
      <w:r>
        <w:t xml:space="preserve">crabon.</w:t>
      </w:r>
      <w:r>
        <w:t xml:space="preserve"> </w:t>
      </w:r>
      <w:r>
        <w:t xml:space="preserve">However</w:t>
      </w:r>
      <w:r>
        <w:t xml:space="preserve"> </w:t>
      </w:r>
      <w:r>
        <w:t xml:space="preserve">this</w:t>
      </w:r>
      <w:r>
        <w:t xml:space="preserve"> </w:t>
      </w:r>
      <w:r>
        <w:t xml:space="preserve">depletion</w:t>
      </w:r>
      <w:r>
        <w:t xml:space="preserve"> </w:t>
      </w:r>
      <w:r>
        <w:t xml:space="preserve">of</w:t>
      </w:r>
      <w:r>
        <w:t xml:space="preserve"> </w:t>
      </w:r>
      <w:r>
        <w:t xml:space="preserve">soil</w:t>
      </w:r>
      <w:r>
        <w:t xml:space="preserve"> </w:t>
      </w:r>
      <w:r>
        <w:t xml:space="preserve">organic</w:t>
      </w:r>
      <w:r>
        <w:t xml:space="preserve"> </w:t>
      </w:r>
      <w:r>
        <w:t xml:space="preserve">carbon</w:t>
      </w:r>
      <w:r>
        <w:t xml:space="preserve"> </w:t>
      </w:r>
      <w:r>
        <w:t xml:space="preserve">(SOC)</w:t>
      </w:r>
      <w:r>
        <w:t xml:space="preserve"> </w:t>
      </w:r>
      <w:r>
        <w:t xml:space="preserve">pools</w:t>
      </w:r>
      <w:r>
        <w:t xml:space="preserve"> </w:t>
      </w:r>
      <w:r>
        <w:t xml:space="preserve">are</w:t>
      </w:r>
      <w:r>
        <w:t xml:space="preserve"> </w:t>
      </w:r>
      <w:r>
        <w:t xml:space="preserve">so</w:t>
      </w:r>
      <w:r>
        <w:t xml:space="preserve"> </w:t>
      </w:r>
      <w:r>
        <w:t xml:space="preserve">far</w:t>
      </w:r>
      <w:r>
        <w:t xml:space="preserve"> </w:t>
      </w:r>
      <w:r>
        <w:t xml:space="preserve">not</w:t>
      </w:r>
      <w:r>
        <w:t xml:space="preserve"> </w:t>
      </w:r>
      <w:r>
        <w:t xml:space="preserve">well</w:t>
      </w:r>
      <w:r>
        <w:t xml:space="preserve"> </w:t>
      </w:r>
      <w:r>
        <w:t xml:space="preserve">represented</w:t>
      </w:r>
      <w:r>
        <w:t xml:space="preserve"> </w:t>
      </w:r>
      <w:r>
        <w:t xml:space="preserve">in</w:t>
      </w:r>
      <w:r>
        <w:t xml:space="preserve"> </w:t>
      </w:r>
      <w:r>
        <w:t xml:space="preserve">global</w:t>
      </w:r>
      <w:r>
        <w:t xml:space="preserve"> </w:t>
      </w:r>
      <w:r>
        <w:t xml:space="preserve">assessments</w:t>
      </w:r>
      <w:r>
        <w:t xml:space="preserve"> </w:t>
      </w:r>
      <w:r>
        <w:t xml:space="preserve">of</w:t>
      </w:r>
      <w:r>
        <w:t xml:space="preserve"> </w:t>
      </w:r>
      <w:r>
        <w:t xml:space="preserve">historic</w:t>
      </w:r>
      <w:r>
        <w:t xml:space="preserve"> </w:t>
      </w:r>
      <w:r>
        <w:t xml:space="preserve">carbon</w:t>
      </w:r>
      <w:r>
        <w:t xml:space="preserve"> </w:t>
      </w:r>
      <w:r>
        <w:t xml:space="preserve">emissions.</w:t>
      </w:r>
      <w:r>
        <w:t xml:space="preserve"> </w:t>
      </w:r>
      <w:r>
        <w:t xml:space="preserve">While</w:t>
      </w:r>
      <w:r>
        <w:t xml:space="preserve"> </w:t>
      </w:r>
      <w:r>
        <w:t xml:space="preserve">SOC</w:t>
      </w:r>
      <w:r>
        <w:t xml:space="preserve"> </w:t>
      </w:r>
      <w:r>
        <w:t xml:space="preserve">models</w:t>
      </w:r>
      <w:r>
        <w:t xml:space="preserve"> </w:t>
      </w:r>
      <w:r>
        <w:t xml:space="preserve">often</w:t>
      </w:r>
      <w:r>
        <w:t xml:space="preserve"> </w:t>
      </w:r>
      <w:r>
        <w:t xml:space="preserve">represent</w:t>
      </w:r>
      <w:r>
        <w:t xml:space="preserve"> </w:t>
      </w:r>
      <w:r>
        <w:t xml:space="preserve">well</w:t>
      </w:r>
      <w:r>
        <w:t xml:space="preserve"> </w:t>
      </w:r>
      <w:r>
        <w:t xml:space="preserve">the</w:t>
      </w:r>
      <w:r>
        <w:t xml:space="preserve"> </w:t>
      </w:r>
      <w:r>
        <w:t xml:space="preserve">biochemical</w:t>
      </w:r>
      <w:r>
        <w:t xml:space="preserve"> </w:t>
      </w:r>
      <w:r>
        <w:t xml:space="preserve">processes</w:t>
      </w:r>
      <w:r>
        <w:t xml:space="preserve"> </w:t>
      </w:r>
      <w:r>
        <w:t xml:space="preserve">that</w:t>
      </w:r>
      <w:r>
        <w:t xml:space="preserve"> </w:t>
      </w:r>
      <w:r>
        <w:t xml:space="preserve">lead</w:t>
      </w:r>
      <w:r>
        <w:t xml:space="preserve"> </w:t>
      </w:r>
      <w:r>
        <w:t xml:space="preserve">to</w:t>
      </w:r>
      <w:r>
        <w:t xml:space="preserve"> </w:t>
      </w:r>
      <w:r>
        <w:t xml:space="preserve">the</w:t>
      </w:r>
      <w:r>
        <w:t xml:space="preserve"> </w:t>
      </w:r>
      <w:r>
        <w:t xml:space="preserve">accumulation</w:t>
      </w:r>
      <w:r>
        <w:t xml:space="preserve"> </w:t>
      </w:r>
      <w:r>
        <w:t xml:space="preserve">and</w:t>
      </w:r>
      <w:r>
        <w:t xml:space="preserve"> </w:t>
      </w:r>
      <w:r>
        <w:t xml:space="preserve">decay</w:t>
      </w:r>
      <w:r>
        <w:t xml:space="preserve"> </w:t>
      </w:r>
      <w:r>
        <w:t xml:space="preserve">of</w:t>
      </w:r>
      <w:r>
        <w:t xml:space="preserve"> </w:t>
      </w:r>
      <w:r>
        <w:t xml:space="preserve">SOC,</w:t>
      </w:r>
      <w:r>
        <w:t xml:space="preserve"> </w:t>
      </w:r>
      <w:r>
        <w:t xml:space="preserve">the</w:t>
      </w:r>
      <w:r>
        <w:t xml:space="preserve"> </w:t>
      </w:r>
      <w:r>
        <w:t xml:space="preserve">management</w:t>
      </w:r>
      <w:r>
        <w:t xml:space="preserve"> </w:t>
      </w:r>
      <w:r>
        <w:t xml:space="preserve">decisions</w:t>
      </w:r>
      <w:r>
        <w:t xml:space="preserve"> </w:t>
      </w:r>
      <w:r>
        <w:t xml:space="preserve">driving</w:t>
      </w:r>
      <w:r>
        <w:t xml:space="preserve"> </w:t>
      </w:r>
      <w:r>
        <w:t xml:space="preserve">these</w:t>
      </w:r>
      <w:r>
        <w:t xml:space="preserve"> </w:t>
      </w:r>
      <w:r>
        <w:t xml:space="preserve">biophysical</w:t>
      </w:r>
      <w:r>
        <w:t xml:space="preserve"> </w:t>
      </w:r>
      <w:r>
        <w:t xml:space="preserve">processes</w:t>
      </w:r>
      <w:r>
        <w:t xml:space="preserve"> </w:t>
      </w:r>
      <w:r>
        <w:t xml:space="preserve">are</w:t>
      </w:r>
      <w:r>
        <w:t xml:space="preserve"> </w:t>
      </w:r>
      <w:r>
        <w:t xml:space="preserve">still</w:t>
      </w:r>
      <w:r>
        <w:t xml:space="preserve"> </w:t>
      </w:r>
      <w:r>
        <w:t xml:space="preserve">little</w:t>
      </w:r>
      <w:r>
        <w:t xml:space="preserve"> </w:t>
      </w:r>
      <w:r>
        <w:t xml:space="preserve">investigated.</w:t>
      </w:r>
      <w:r>
        <w:t xml:space="preserve"> </w:t>
      </w:r>
      <w:r>
        <w:t xml:space="preserve">Here</w:t>
      </w:r>
      <w:r>
        <w:t xml:space="preserve"> </w:t>
      </w:r>
      <w:r>
        <w:t xml:space="preserve">we</w:t>
      </w:r>
      <w:r>
        <w:t xml:space="preserve"> </w:t>
      </w:r>
      <w:r>
        <w:t xml:space="preserve">create</w:t>
      </w:r>
      <w:r>
        <w:t xml:space="preserve"> </w:t>
      </w:r>
      <w:r>
        <w:t xml:space="preserve">a</w:t>
      </w:r>
      <w:r>
        <w:t xml:space="preserve"> </w:t>
      </w:r>
      <w:r>
        <w:t xml:space="preserve">spatial</w:t>
      </w:r>
      <w:r>
        <w:t xml:space="preserve"> </w:t>
      </w:r>
      <w:r>
        <w:t xml:space="preserve">explicit</w:t>
      </w:r>
      <w:r>
        <w:t xml:space="preserve"> </w:t>
      </w:r>
      <w:r>
        <w:t xml:space="preserve">data</w:t>
      </w:r>
      <w:r>
        <w:t xml:space="preserve"> </w:t>
      </w:r>
      <w:r>
        <w:t xml:space="preserve">set</w:t>
      </w:r>
      <w:r>
        <w:t xml:space="preserve"> </w:t>
      </w:r>
      <w:r>
        <w:t xml:space="preserve">for</w:t>
      </w:r>
      <w:r>
        <w:t xml:space="preserve"> </w:t>
      </w:r>
      <w:r>
        <w:t xml:space="preserve">crop</w:t>
      </w:r>
      <w:r>
        <w:t xml:space="preserve"> </w:t>
      </w:r>
      <w:r>
        <w:t xml:space="preserve">residue</w:t>
      </w:r>
      <w:r>
        <w:t xml:space="preserve"> </w:t>
      </w:r>
      <w:r>
        <w:t xml:space="preserve">and</w:t>
      </w:r>
      <w:r>
        <w:t xml:space="preserve"> </w:t>
      </w:r>
      <w:r>
        <w:t xml:space="preserve">manure</w:t>
      </w:r>
      <w:r>
        <w:t xml:space="preserve"> </w:t>
      </w:r>
      <w:r>
        <w:t xml:space="preserve">management</w:t>
      </w:r>
      <w:r>
        <w:t xml:space="preserve"> </w:t>
      </w:r>
      <w:r>
        <w:t xml:space="preserve">on</w:t>
      </w:r>
      <w:r>
        <w:t xml:space="preserve"> </w:t>
      </w:r>
      <w:r>
        <w:t xml:space="preserve">cropland</w:t>
      </w:r>
      <w:r>
        <w:t xml:space="preserve"> </w:t>
      </w:r>
      <w:r>
        <w:t xml:space="preserve">based</w:t>
      </w:r>
      <w:r>
        <w:t xml:space="preserve"> </w:t>
      </w:r>
      <w:r>
        <w:t xml:space="preserve">on</w:t>
      </w:r>
      <w:r>
        <w:t xml:space="preserve"> </w:t>
      </w:r>
      <w:r>
        <w:t xml:space="preserve">global</w:t>
      </w:r>
      <w:r>
        <w:t xml:space="preserve"> </w:t>
      </w:r>
      <w:r>
        <w:t xml:space="preserve">historic</w:t>
      </w:r>
      <w:r>
        <w:t xml:space="preserve"> </w:t>
      </w:r>
      <w:r>
        <w:t xml:space="preserve">production</w:t>
      </w:r>
      <w:r>
        <w:t xml:space="preserve"> </w:t>
      </w:r>
      <w:r>
        <w:t xml:space="preserve">(FAOSTAT)</w:t>
      </w:r>
      <w:r>
        <w:t xml:space="preserve"> </w:t>
      </w:r>
      <w:r>
        <w:t xml:space="preserve">and</w:t>
      </w:r>
      <w:r>
        <w:t xml:space="preserve"> </w:t>
      </w:r>
      <w:r>
        <w:t xml:space="preserve">land-use</w:t>
      </w:r>
      <w:r>
        <w:t xml:space="preserve"> </w:t>
      </w:r>
      <w:r>
        <w:t xml:space="preserve">(LUH2)</w:t>
      </w:r>
      <w:r>
        <w:t xml:space="preserve"> </w:t>
      </w:r>
      <w:r>
        <w:t xml:space="preserve">data</w:t>
      </w:r>
      <w:r>
        <w:t xml:space="preserve"> </w:t>
      </w:r>
      <w:r>
        <w:t xml:space="preserve">and</w:t>
      </w:r>
      <w:r>
        <w:t xml:space="preserve"> </w:t>
      </w:r>
      <w:r>
        <w:t xml:space="preserve">combine</w:t>
      </w:r>
      <w:r>
        <w:t xml:space="preserve"> </w:t>
      </w:r>
      <w:r>
        <w:t xml:space="preserve">it</w:t>
      </w:r>
      <w:r>
        <w:t xml:space="preserve"> </w:t>
      </w:r>
      <w:r>
        <w:t xml:space="preserve">with</w:t>
      </w:r>
      <w:r>
        <w:t xml:space="preserve"> </w:t>
      </w:r>
      <w:r>
        <w:t xml:space="preserve">the</w:t>
      </w:r>
      <w:r>
        <w:t xml:space="preserve"> </w:t>
      </w:r>
      <w:r>
        <w:t xml:space="preserve">IPCC</w:t>
      </w:r>
      <w:r>
        <w:t xml:space="preserve"> </w:t>
      </w:r>
      <w:r>
        <w:t xml:space="preserve">Tier</w:t>
      </w:r>
      <w:r>
        <w:t xml:space="preserve"> </w:t>
      </w:r>
      <w:r>
        <w:t xml:space="preserve">2</w:t>
      </w:r>
      <w:r>
        <w:t xml:space="preserve"> </w:t>
      </w:r>
      <w:r>
        <w:t xml:space="preserve">approach</w:t>
      </w:r>
      <w:r>
        <w:t xml:space="preserve"> </w:t>
      </w:r>
      <w:r>
        <w:t xml:space="preserve">to</w:t>
      </w:r>
      <w:r>
        <w:t xml:space="preserve"> </w:t>
      </w:r>
      <w:r>
        <w:t xml:space="preserve">create</w:t>
      </w:r>
      <w:r>
        <w:t xml:space="preserve"> </w:t>
      </w:r>
      <w:r>
        <w:t xml:space="preserve">a</w:t>
      </w:r>
      <w:r>
        <w:t xml:space="preserve"> </w:t>
      </w:r>
      <w:r>
        <w:t xml:space="preserve">half-degree</w:t>
      </w:r>
      <w:r>
        <w:t xml:space="preserve"> </w:t>
      </w:r>
      <w:r>
        <w:t xml:space="preserve">resolution</w:t>
      </w:r>
      <w:r>
        <w:t xml:space="preserve"> </w:t>
      </w:r>
      <w:r>
        <w:t xml:space="preserve">soil</w:t>
      </w:r>
      <w:r>
        <w:t xml:space="preserve"> </w:t>
      </w:r>
      <w:r>
        <w:t xml:space="preserve">organic</w:t>
      </w:r>
      <w:r>
        <w:t xml:space="preserve"> </w:t>
      </w:r>
      <w:r>
        <w:t xml:space="preserve">carbon</w:t>
      </w:r>
      <w:r>
        <w:t xml:space="preserve"> </w:t>
      </w:r>
      <w:r>
        <w:t xml:space="preserve">budget</w:t>
      </w:r>
      <w:r>
        <w:t xml:space="preserve"> </w:t>
      </w:r>
      <w:r>
        <w:t xml:space="preserve">on</w:t>
      </w:r>
      <w:r>
        <w:t xml:space="preserve"> </w:t>
      </w:r>
      <w:r>
        <w:t xml:space="preserve">mineral</w:t>
      </w:r>
      <w:r>
        <w:t xml:space="preserve"> </w:t>
      </w:r>
      <w:r>
        <w:t xml:space="preserve">soils.</w:t>
      </w:r>
      <w:r>
        <w:t xml:space="preserve"> </w:t>
      </w:r>
      <w:r>
        <w:t xml:space="preserve">We</w:t>
      </w:r>
      <w:r>
        <w:t xml:space="preserve"> </w:t>
      </w:r>
      <w:r>
        <w:t xml:space="preserve">estimate</w:t>
      </w:r>
      <w:r>
        <w:t xml:space="preserve"> </w:t>
      </w:r>
      <w:r>
        <w:t xml:space="preserve">that</w:t>
      </w:r>
      <w:r>
        <w:t xml:space="preserve"> </w:t>
      </w:r>
      <w:r>
        <w:t xml:space="preserve">due</w:t>
      </w:r>
      <w:r>
        <w:t xml:space="preserve"> </w:t>
      </w:r>
      <w:r>
        <w:t xml:space="preserve">to</w:t>
      </w:r>
      <w:r>
        <w:t xml:space="preserve"> </w:t>
      </w:r>
      <w:r>
        <w:t xml:space="preserve">arable</w:t>
      </w:r>
      <w:r>
        <w:t xml:space="preserve"> </w:t>
      </w:r>
      <w:r>
        <w:t xml:space="preserve">farming</w:t>
      </w:r>
      <w:r>
        <w:t xml:space="preserve"> </w:t>
      </w:r>
      <w:r>
        <w:t xml:space="preserve">soils</w:t>
      </w:r>
      <w:r>
        <w:t xml:space="preserve"> </w:t>
      </w:r>
      <w:r>
        <w:t xml:space="preserve">have</w:t>
      </w:r>
      <w:r>
        <w:t xml:space="preserve"> </w:t>
      </w:r>
      <w:r>
        <w:t xml:space="preserve">lost</w:t>
      </w:r>
      <w:r>
        <w:t xml:space="preserve"> </w:t>
      </w:r>
      <w:r>
        <w:t xml:space="preserve">over</w:t>
      </w:r>
      <w:r>
        <w:t xml:space="preserve"> </w:t>
      </w:r>
      <w:r>
        <w:t xml:space="preserve">(?)</w:t>
      </w:r>
      <w:r>
        <w:t xml:space="preserve"> </w:t>
      </w:r>
      <w:r>
        <w:t xml:space="preserve">GtOC</w:t>
      </w:r>
      <w:r>
        <w:t xml:space="preserve"> </w:t>
      </w:r>
      <w:r>
        <w:t xml:space="preserve">of</w:t>
      </w:r>
      <w:r>
        <w:t xml:space="preserve"> </w:t>
      </w:r>
      <w:r>
        <w:t xml:space="preserve">which</w:t>
      </w:r>
      <w:r>
        <w:t xml:space="preserve"> </w:t>
      </w:r>
      <w:r>
        <w:t xml:space="preserve">(??)</w:t>
      </w:r>
      <w:r>
        <w:t xml:space="preserve"> </w:t>
      </w:r>
      <w:r>
        <w:t xml:space="preserve">GtOC</w:t>
      </w:r>
      <w:r>
        <w:t xml:space="preserve"> </w:t>
      </w:r>
      <w:r>
        <w:t xml:space="preserve">have</w:t>
      </w:r>
      <w:r>
        <w:t xml:space="preserve"> </w:t>
      </w:r>
      <w:r>
        <w:t xml:space="preserve">been</w:t>
      </w:r>
      <w:r>
        <w:t xml:space="preserve"> </w:t>
      </w:r>
      <w:r>
        <w:t xml:space="preserve">released</w:t>
      </w:r>
      <w:r>
        <w:t xml:space="preserve"> </w:t>
      </w:r>
      <w:r>
        <w:t xml:space="preserve">within</w:t>
      </w:r>
      <w:r>
        <w:t xml:space="preserve"> </w:t>
      </w:r>
      <w:r>
        <w:t xml:space="preserve">the</w:t>
      </w:r>
      <w:r>
        <w:t xml:space="preserve"> </w:t>
      </w:r>
      <w:r>
        <w:t xml:space="preserve">period</w:t>
      </w:r>
      <w:r>
        <w:t xml:space="preserve"> </w:t>
      </w:r>
      <w:r>
        <w:t xml:space="preserve">1990-2010.</w:t>
      </w:r>
      <w:r>
        <w:t xml:space="preserve"> </w:t>
      </w:r>
      <w:r>
        <w:t xml:space="preserve">Tier</w:t>
      </w:r>
      <w:r>
        <w:t xml:space="preserve"> </w:t>
      </w:r>
      <w:r>
        <w:t xml:space="preserve">2</w:t>
      </w:r>
      <w:r>
        <w:t xml:space="preserve"> </w:t>
      </w:r>
      <w:r>
        <w:t xml:space="preserve">IPCC</w:t>
      </w:r>
      <w:r>
        <w:t xml:space="preserve"> </w:t>
      </w:r>
      <w:r>
        <w:t xml:space="preserve">methodolgy</w:t>
      </w:r>
      <w:r>
        <w:t xml:space="preserve"> </w:t>
      </w:r>
      <w:r>
        <w:t xml:space="preserve">estimates</w:t>
      </w:r>
      <w:r>
        <w:t xml:space="preserve"> </w:t>
      </w:r>
      <w:r>
        <w:t xml:space="preserve">higher</w:t>
      </w:r>
      <w:r>
        <w:t xml:space="preserve"> </w:t>
      </w:r>
      <w:r>
        <w:t xml:space="preserve">soil</w:t>
      </w:r>
      <w:r>
        <w:t xml:space="preserve"> </w:t>
      </w:r>
      <w:r>
        <w:t xml:space="preserve">organic</w:t>
      </w:r>
      <w:r>
        <w:t xml:space="preserve"> </w:t>
      </w:r>
      <w:r>
        <w:t xml:space="preserve">carbon</w:t>
      </w:r>
      <w:r>
        <w:t xml:space="preserve"> </w:t>
      </w:r>
      <w:r>
        <w:t xml:space="preserve">losses</w:t>
      </w:r>
      <w:r>
        <w:t xml:space="preserve"> </w:t>
      </w:r>
      <w:r>
        <w:t xml:space="preserve">than</w:t>
      </w:r>
      <w:r>
        <w:t xml:space="preserve"> </w:t>
      </w:r>
      <w:r>
        <w:t xml:space="preserve">Tier</w:t>
      </w:r>
      <w:r>
        <w:t xml:space="preserve"> </w:t>
      </w:r>
      <w:r>
        <w:t xml:space="preserve">1</w:t>
      </w:r>
      <w:r>
        <w:t xml:space="preserve"> </w:t>
      </w:r>
      <w:r>
        <w:t xml:space="preserve">methods,</w:t>
      </w:r>
      <w:r>
        <w:t xml:space="preserve"> </w:t>
      </w:r>
      <w:r>
        <w:t xml:space="preserve">which</w:t>
      </w:r>
      <w:r>
        <w:t xml:space="preserve"> </w:t>
      </w:r>
      <w:r>
        <w:t xml:space="preserve">may</w:t>
      </w:r>
      <w:r>
        <w:t xml:space="preserve"> </w:t>
      </w:r>
      <w:r>
        <w:t xml:space="preserve">origin</w:t>
      </w:r>
      <w:r>
        <w:t xml:space="preserve"> </w:t>
      </w:r>
      <w:r>
        <w:t xml:space="preserve">from</w:t>
      </w:r>
      <w:r>
        <w:t xml:space="preserve"> </w:t>
      </w:r>
      <w:r>
        <w:t xml:space="preserve">…</w:t>
      </w:r>
      <w:r>
        <w:t xml:space="preserve"> </w:t>
      </w:r>
      <w:r>
        <w:t xml:space="preserve">.</w:t>
      </w:r>
      <w:r>
        <w:t xml:space="preserve"> </w:t>
      </w:r>
      <w:r>
        <w:t xml:space="preserve">We</w:t>
      </w:r>
      <w:r>
        <w:t xml:space="preserve"> </w:t>
      </w:r>
      <w:r>
        <w:t xml:space="preserve">also</w:t>
      </w:r>
      <w:r>
        <w:t xml:space="preserve"> </w:t>
      </w:r>
      <w:r>
        <w:t xml:space="preserve">find</w:t>
      </w:r>
      <w:r>
        <w:t xml:space="preserve"> </w:t>
      </w:r>
      <w:r>
        <w:t xml:space="preserve">that</w:t>
      </w:r>
      <w:r>
        <w:t xml:space="preserve"> </w:t>
      </w:r>
      <w:r>
        <w:t xml:space="preserve">SOC</w:t>
      </w:r>
      <w:r>
        <w:t xml:space="preserve"> </w:t>
      </w:r>
      <w:r>
        <w:t xml:space="preserve">is</w:t>
      </w:r>
      <w:r>
        <w:t xml:space="preserve"> </w:t>
      </w:r>
      <w:r>
        <w:t xml:space="preserve">very</w:t>
      </w:r>
      <w:r>
        <w:t xml:space="preserve"> </w:t>
      </w:r>
      <w:r>
        <w:t xml:space="preserve">sensity</w:t>
      </w:r>
      <w:r>
        <w:t xml:space="preserve"> </w:t>
      </w:r>
      <w:r>
        <w:t xml:space="preserve">to</w:t>
      </w:r>
      <w:r>
        <w:t xml:space="preserve"> </w:t>
      </w:r>
      <w:r>
        <w:t xml:space="preserve">management</w:t>
      </w:r>
      <w:r>
        <w:t xml:space="preserve"> </w:t>
      </w:r>
      <w:r>
        <w:t xml:space="preserve">decision</w:t>
      </w:r>
      <w:r>
        <w:t xml:space="preserve"> </w:t>
      </w:r>
      <w:r>
        <w:t xml:space="preserve">such</w:t>
      </w:r>
      <w:r>
        <w:t xml:space="preserve"> </w:t>
      </w:r>
      <w:r>
        <w:t xml:space="preserve">as</w:t>
      </w:r>
      <w:r>
        <w:t xml:space="preserve"> </w:t>
      </w:r>
      <w:r>
        <w:t xml:space="preserve">residue</w:t>
      </w:r>
      <w:r>
        <w:t xml:space="preserve"> </w:t>
      </w:r>
      <w:r>
        <w:t xml:space="preserve">recycling</w:t>
      </w:r>
      <w:r>
        <w:t xml:space="preserve"> </w:t>
      </w:r>
      <w:r>
        <w:t xml:space="preserve">indicating</w:t>
      </w:r>
      <w:r>
        <w:t xml:space="preserve"> </w:t>
      </w:r>
      <w:r>
        <w:t xml:space="preserve">the</w:t>
      </w:r>
      <w:r>
        <w:t xml:space="preserve"> </w:t>
      </w:r>
      <w:r>
        <w:t xml:space="preserve">nessessity</w:t>
      </w:r>
      <w:r>
        <w:t xml:space="preserve"> </w:t>
      </w:r>
      <w:r>
        <w:t xml:space="preserve">to</w:t>
      </w:r>
      <w:r>
        <w:t xml:space="preserve"> </w:t>
      </w:r>
      <w:r>
        <w:t xml:space="preserve">incorporated</w:t>
      </w:r>
      <w:r>
        <w:t xml:space="preserve"> </w:t>
      </w:r>
      <w:r>
        <w:t xml:space="preserve">better</w:t>
      </w:r>
      <w:r>
        <w:t xml:space="preserve"> </w:t>
      </w:r>
      <w:r>
        <w:t xml:space="preserve">management</w:t>
      </w:r>
      <w:r>
        <w:t xml:space="preserve"> </w:t>
      </w:r>
      <w:r>
        <w:t xml:space="preserve">data</w:t>
      </w:r>
      <w:r>
        <w:t xml:space="preserve"> </w:t>
      </w:r>
      <w:r>
        <w:t xml:space="preserve">in</w:t>
      </w:r>
      <w:r>
        <w:t xml:space="preserve"> </w:t>
      </w:r>
      <w:r>
        <w:t xml:space="preserve">soil</w:t>
      </w:r>
      <w:r>
        <w:t xml:space="preserve"> </w:t>
      </w:r>
      <w:r>
        <w:t xml:space="preserve">models.</w:t>
      </w:r>
    </w:p>
    <w:p>
      <w:r>
        <w:br w:type="page"/>
      </w:r>
    </w:p>
    <w:p>
      <w:pPr>
        <w:pStyle w:val="FirstParagraph"/>
      </w:pPr>
      <w:r>
        <w:t xml:space="preserve">Introduction text goes here.</w:t>
      </w:r>
      <w:r>
        <w:t xml:space="preserve"> </w:t>
      </w:r>
      <w:r>
        <w:t xml:space="preserve">You can change the name of the section if neccessary using</w:t>
      </w:r>
      <w:r>
        <w:t xml:space="preserve"> </w:t>
      </w:r>
      <w:r>
        <w:rPr>
          <w:rStyle w:val="VerbatimChar"/>
        </w:rPr>
        <w:t xml:space="preserve">\introduction[modified heading]</w:t>
      </w:r>
      <w:r>
        <w:t xml:space="preserve">.</w:t>
      </w:r>
      <w:r>
        <w:t xml:space="preserve"> </w:t>
      </w:r>
    </w:p>
    <w:p>
      <w:pPr>
        <w:pStyle w:val="Heading1"/>
      </w:pPr>
      <w:bookmarkStart w:id="20" w:name="method-50"/>
      <w:r>
        <w:t xml:space="preserve">Method (50)</w:t>
      </w:r>
      <w:bookmarkEnd w:id="20"/>
    </w:p>
    <w:p>
      <w:pPr>
        <w:pStyle w:val="Heading2"/>
      </w:pPr>
      <w:bookmarkStart w:id="21" w:name="sec:carbonbudget"/>
      <w:r>
        <w:t xml:space="preserve">Carbon Stocks following (new) Tier 2 method (50)</w:t>
      </w:r>
      <w:bookmarkEnd w:id="21"/>
    </w:p>
    <w:p>
      <w:pPr>
        <w:pStyle w:val="FirstParagraph"/>
      </w:pPr>
      <w:r>
        <w:t xml:space="preserve">We calculate annual land use type specific soil organic carbon stocks for cropland, pastures and natural vegetation on half-degree resolution for the period of 1965 to 2010 based on the following three steps: (1) Calculating the land use (sub-)type specific steady-states and decay rates for SOC stocks given the current biophysical, climatic and agronomic conditions, (2) accounting for land conversation effects by transferring SOC between land use types and (3) updating SOC stocks based on the previous stock, the steady-state and the decay rate.</w:t>
      </w:r>
    </w:p>
    <w:p>
      <w:pPr>
        <w:pStyle w:val="Heading3"/>
      </w:pPr>
      <w:bookmarkStart w:id="22" w:name="steady-state-soc-stocks-and-decay-rates"/>
      <w:r>
        <w:t xml:space="preserve">Steady-state SOC stocks and decay rates</w:t>
      </w:r>
      <w:bookmarkEnd w:id="22"/>
    </w:p>
    <w:p>
      <w:pPr>
        <w:pStyle w:val="FirstParagraph"/>
      </w:pPr>
      <w:r>
        <w:t xml:space="preserve">In a simple first order kinetic approach the steady-state soil organic carbon stocks</w:t>
      </w:r>
      <w:r>
        <w:t xml:space="preserve"> </w:t>
      </w:r>
      <m:oMath>
        <m:r>
          <m:t>S</m:t>
        </m:r>
        <m:r>
          <m:t>O</m:t>
        </m:r>
        <m:sSup>
          <m:e>
            <m:r>
              <m:t>C</m:t>
            </m:r>
          </m:e>
          <m:sup>
            <m:r>
              <m:t>e</m:t>
            </m:r>
            <m:r>
              <m:t>q</m:t>
            </m:r>
          </m:sup>
        </m:sSup>
      </m:oMath>
      <w:r>
        <w:t xml:space="preserve"> </w:t>
      </w:r>
      <w:r>
        <w:t xml:space="preserve">are given by</w:t>
      </w:r>
    </w:p>
    <w:p>
      <w:pPr>
        <w:pStyle w:val="BodyText"/>
      </w:pPr>
      <m:oMathPara>
        <m:oMathParaPr>
          <m:jc m:val="center"/>
        </m:oMathParaPr>
        <m:oMath>
          <m:r>
            <m:t>S</m:t>
          </m:r>
          <m:r>
            <m:t>O</m:t>
          </m:r>
          <m:sSup>
            <m:e>
              <m:r>
                <m:t>C</m:t>
              </m:r>
            </m:e>
            <m:sup>
              <m:r>
                <m:t>e</m:t>
              </m:r>
              <m:r>
                <m:t>q</m:t>
              </m:r>
            </m:sup>
          </m:sSup>
          <m:r>
            <m:t>=</m:t>
          </m:r>
          <m:f>
            <m:fPr>
              <m:type m:val="bar"/>
            </m:fPr>
            <m:num>
              <m:sSup>
                <m:e>
                  <m:r>
                    <m:t>C</m:t>
                  </m:r>
                </m:e>
                <m:sup>
                  <m:r>
                    <m:rPr>
                      <m:nor/>
                      <m:sty m:val="p"/>
                    </m:rPr>
                    <m:t>in</m:t>
                  </m:r>
                </m:sup>
              </m:sSup>
            </m:num>
            <m:den>
              <m:r>
                <m:t>k</m:t>
              </m:r>
            </m:den>
          </m:f>
        </m:oMath>
      </m:oMathPara>
    </w:p>
    <w:p>
      <w:pPr>
        <w:pStyle w:val="FirstParagraph"/>
      </w:pPr>
      <w:r>
        <w:t xml:space="preserve">with</w:t>
      </w:r>
      <w:r>
        <w:t xml:space="preserve"> </w:t>
      </w:r>
      <m:oMath>
        <m:sSup>
          <m:e>
            <m:r>
              <m:t>C</m:t>
            </m:r>
          </m:e>
          <m:sup>
            <m:r>
              <m:rPr>
                <m:nor/>
                <m:sty m:val="p"/>
              </m:rPr>
              <m:t>in</m:t>
            </m:r>
          </m:sup>
        </m:sSup>
      </m:oMath>
      <w:r>
        <w:t xml:space="preserve"> </w:t>
      </w:r>
      <w:r>
        <w:t xml:space="preserve">being carbon inputs to the soil and</w:t>
      </w:r>
      <w:r>
        <w:t xml:space="preserve"> </w:t>
      </w:r>
      <m:oMath>
        <m:r>
          <m:t>k</m:t>
        </m:r>
      </m:oMath>
      <w:r>
        <w:t xml:space="preserve"> </w:t>
      </w:r>
      <w:r>
        <w:t xml:space="preserve">denoting the soil organic carbon decay rate. We use for our calculations the steady-state method of the refinement of the IPCC guidelines vol. 4 (</w:t>
      </w:r>
      <w:r>
        <w:t xml:space="preserve">IPCC (2019)</w:t>
      </w:r>
      <w:r>
        <w:t xml:space="preserve">) for mineral soils, which assume three soil carbon sub-pools (active, slow and passive) and entangled dynamics between them. Carbon inflow to each sub-pool (see</w:t>
      </w:r>
      <w:r>
        <w:t xml:space="preserve"> </w:t>
      </w:r>
      <w:r>
        <w:t xml:space="preserve">1.1.2</w:t>
      </w:r>
      <w:r>
        <w:t xml:space="preserve">) and decay rates (see</w:t>
      </w:r>
      <w:r>
        <w:t xml:space="preserve"> </w:t>
      </w:r>
      <w:r>
        <w:t xml:space="preserve">1.1.3</w:t>
      </w:r>
      <w:r>
        <w:t xml:space="preserve">) of each sub-pool are still the key components to determining steady-state SOC stocks.</w:t>
      </w:r>
    </w:p>
    <w:p>
      <w:pPr>
        <w:pStyle w:val="Heading3"/>
      </w:pPr>
      <w:bookmarkStart w:id="23" w:name="sec:carboninputs"/>
      <w:r>
        <w:t xml:space="preserve">Carbon Inputs to the Soil</w:t>
      </w:r>
      <w:bookmarkEnd w:id="23"/>
    </w:p>
    <w:p>
      <w:pPr>
        <w:pStyle w:val="FirstParagraph"/>
      </w:pPr>
      <w:r>
        <w:t xml:space="preserve">We account for different carbon inputs sources depending on the land use type (see table</w:t>
      </w:r>
      <w:r>
        <w:t xml:space="preserve"> </w:t>
      </w:r>
      <w:r>
        <w:t xml:space="preserve">??</w:t>
      </w:r>
      <w:r>
        <w:t xml:space="preserve">). Following the IPCC methodology carbon inputs are disaggregated into different structural components depending on their lignin and nitrogen content (see @ref(ipcc_2019_2019)). For each structural components the sum over all carbon inputs sources is allocated to the respective SOC sub-pools. This implies that not only the amount of carbon, but also their structural composition is determining the effective inflow. Data sources for all considered carbon inputs as well as for lignin and nitrogen content can be found in table</w:t>
      </w:r>
      <w:r>
        <w:t xml:space="preserve"> </w:t>
      </w:r>
      <w:r>
        <w:t xml:space="preserve">??</w:t>
      </w:r>
      <w:r>
        <w:t xml:space="preserve">.</w:t>
      </w:r>
    </w:p>
    <w:p>
      <w:pPr>
        <w:pStyle w:val="Heading3"/>
      </w:pPr>
      <w:bookmarkStart w:id="24" w:name="sec:tier2"/>
      <w:r>
        <w:t xml:space="preserve">Soil Organic Carbon decay (300)</w:t>
      </w:r>
      <w:bookmarkEnd w:id="24"/>
    </w:p>
    <w:p>
      <w:pPr>
        <w:pStyle w:val="FirstParagraph"/>
      </w:pPr>
      <w:r>
        <w:t xml:space="preserve">Decay rates are influenced by climatic conditions, biophysical and biochemical soil properties as well as management factors that vary over time (t) and space (i). Following the steady-state method of the refinement of the IPCC guidelines vol. 4 (</w:t>
      </w:r>
      <w:r>
        <w:t xml:space="preserve">IPCC (2019)</w:t>
      </w:r>
      <w:r>
        <w:t xml:space="preserve">) for mineral soils we consider temperature (temp), water (wat), sand fraction (sf) and tillage (till) effects to spatially disaggregate default global decay rates. Since the three different SOC sub-pools represent different SOC characteristics, the global decay rates and the associated drivers differ. Thus</w:t>
      </w:r>
      <w:r>
        <w:t xml:space="preserve"> </w:t>
      </w:r>
      <m:oMath>
        <m:sSub>
          <m:e>
            <m:r>
              <m:t>k</m:t>
            </m:r>
          </m:e>
          <m:sub>
            <m:r>
              <m:t>s</m:t>
            </m:r>
            <m:r>
              <m:t>u</m:t>
            </m:r>
            <m:r>
              <m:t>b</m:t>
            </m:r>
          </m:sub>
        </m:sSub>
      </m:oMath>
      <w:r>
        <w:t xml:space="preserve"> </w:t>
      </w:r>
      <w:r>
        <w:t xml:space="preserve">is given by</w:t>
      </w:r>
    </w:p>
    <w:p>
      <w:pPr>
        <w:pStyle w:val="BodyText"/>
      </w:pPr>
      <w:r>
        <w:t xml:space="preserve">$$</w:t>
      </w:r>
      <w:r>
        <w:t xml:space="preserve">$$</w:t>
      </w:r>
    </w:p>
    <w:p>
      <w:pPr>
        <w:pStyle w:val="BodyText"/>
      </w:pPr>
      <w:r>
        <w:t xml:space="preserve">For cropland we performed an assessment of tillage types and irrigation conditions, whereas on pastures and natural vegetation, we assume rainfed and non-tilled conditions. Data sources as well as considered effects for each land use types are shown in table</w:t>
      </w:r>
      <w:r>
        <w:t xml:space="preserve"> </w:t>
      </w:r>
      <w:r>
        <w:t xml:space="preserve">??</w:t>
      </w:r>
      <w:r>
        <w:t xml:space="preserve">. To account for variations of decay rates within grid cells based on different tillage and irrigation regimes, average rates based on area shares are calculated.</w:t>
      </w:r>
    </w:p>
    <w:p>
      <w:pPr>
        <w:pStyle w:val="Heading3"/>
      </w:pPr>
      <w:bookmarkStart w:id="25" w:name="soc-transfer-between-land-use-types"/>
      <w:r>
        <w:t xml:space="preserve">SOC transfer between land use types</w:t>
      </w:r>
      <w:bookmarkEnd w:id="25"/>
    </w:p>
    <w:p>
      <w:pPr>
        <w:pStyle w:val="FirstParagraph"/>
      </w:pPr>
      <w:r>
        <w:t xml:space="preserve">We calculate SOC stocks based on the area shares of land use types (lut) within the half-degree grid cells (i). If land is converted from one land use type into another, a respective share of the SOC stocks have to be reallocated as well. We account for land conversion at the beginning of each time step</w:t>
      </w:r>
      <w:r>
        <w:t xml:space="preserve"> </w:t>
      </w:r>
      <m:oMath>
        <m:r>
          <m:t>t</m:t>
        </m:r>
      </m:oMath>
      <w:r>
        <w:t xml:space="preserve"> </w:t>
      </w:r>
      <w:r>
        <w:t xml:space="preserve">by calculating a preliminary stock</w:t>
      </w:r>
      <w:r>
        <w:t xml:space="preserve"> </w:t>
      </w:r>
      <m:oMath>
        <m:r>
          <m:t>S</m:t>
        </m:r>
        <m:r>
          <m:t>O</m:t>
        </m:r>
        <m:sSub>
          <m:e>
            <m:r>
              <m:t>C</m:t>
            </m:r>
          </m:e>
          <m:sub>
            <m:r>
              <m:t>l</m:t>
            </m:r>
            <m:r>
              <m:t>u</m:t>
            </m:r>
            <m:r>
              <m:t>t</m:t>
            </m:r>
            <m:r>
              <m:t>,</m:t>
            </m:r>
            <m:r>
              <m:t>t</m:t>
            </m:r>
            <m:r>
              <m:t>*</m:t>
            </m:r>
          </m:sub>
        </m:sSub>
      </m:oMath>
      <w:r>
        <w:t xml:space="preserve"> </w:t>
      </w:r>
      <w:r>
        <w:t xml:space="preserve">via</w:t>
      </w:r>
    </w:p>
    <w:p>
      <w:pPr>
        <w:pStyle w:val="BodyText"/>
      </w:pPr>
      <m:oMathPara>
        <m:oMathParaPr>
          <m:jc m:val="center"/>
        </m:oMathParaPr>
        <m:oMath>
          <m:r>
            <m:t>S</m:t>
          </m:r>
          <m:r>
            <m:t>O</m:t>
          </m:r>
          <m:sSub>
            <m:e>
              <m:r>
                <m:t>C</m:t>
              </m:r>
            </m:e>
            <m:sub>
              <m:r>
                <m:t>l</m:t>
              </m:r>
              <m:r>
                <m:t>u</m:t>
              </m:r>
              <m:r>
                <m:t>t</m:t>
              </m:r>
              <m:r>
                <m:t>,</m:t>
              </m:r>
              <m:r>
                <m:t>t</m:t>
              </m:r>
              <m:r>
                <m:t>*</m:t>
              </m:r>
            </m:sub>
          </m:sSub>
          <m:r>
            <m:t>=</m:t>
          </m:r>
          <m:r>
            <m:t>S</m:t>
          </m:r>
          <m:r>
            <m:t>O</m:t>
          </m:r>
          <m:sSub>
            <m:e>
              <m:r>
                <m:t>C</m:t>
              </m:r>
            </m:e>
            <m:sub>
              <m:r>
                <m:t>l</m:t>
              </m:r>
              <m:r>
                <m:t>u</m:t>
              </m:r>
              <m:r>
                <m:t>t</m:t>
              </m:r>
              <m:r>
                <m:t>,</m:t>
              </m:r>
              <m:r>
                <m:t>t</m:t>
              </m:r>
              <m:r>
                <m:t>−</m:t>
              </m:r>
              <m:r>
                <m:t>1</m:t>
              </m:r>
            </m:sub>
          </m:sSub>
          <m:r>
            <m:t>−</m:t>
          </m:r>
          <m:f>
            <m:fPr>
              <m:type m:val="bar"/>
            </m:fPr>
            <m:num>
              <m:r>
                <m:t>S</m:t>
              </m:r>
              <m:r>
                <m:t>O</m:t>
              </m:r>
              <m:sSub>
                <m:e>
                  <m:r>
                    <m:t>C</m:t>
                  </m:r>
                </m:e>
                <m:sub>
                  <m:r>
                    <m:t>l</m:t>
                  </m:r>
                  <m:r>
                    <m:t>u</m:t>
                  </m:r>
                  <m:r>
                    <m:t>t</m:t>
                  </m:r>
                  <m:r>
                    <m:t>,</m:t>
                  </m:r>
                  <m:r>
                    <m:t>t</m:t>
                  </m:r>
                  <m:r>
                    <m:t>−</m:t>
                  </m:r>
                  <m:r>
                    <m:t>1</m:t>
                  </m:r>
                </m:sub>
              </m:sSub>
            </m:num>
            <m:den>
              <m:sSub>
                <m:e>
                  <m:r>
                    <m:t>A</m:t>
                  </m:r>
                </m:e>
                <m:sub>
                  <m:r>
                    <m:t>l</m:t>
                  </m:r>
                  <m:r>
                    <m:t>u</m:t>
                  </m:r>
                  <m:r>
                    <m:t>t</m:t>
                  </m:r>
                  <m:r>
                    <m:t>,</m:t>
                  </m:r>
                  <m:r>
                    <m:t>t</m:t>
                  </m:r>
                  <m:r>
                    <m:t>−</m:t>
                  </m:r>
                  <m:r>
                    <m:t>1</m:t>
                  </m:r>
                </m:sub>
              </m:sSub>
            </m:den>
          </m:f>
          <m:r>
            <m:t>⋅</m:t>
          </m:r>
          <m:r>
            <m:t>A</m:t>
          </m:r>
          <m:sSub>
            <m:e>
              <m:r>
                <m:t>R</m:t>
              </m:r>
            </m:e>
            <m:sub>
              <m:r>
                <m:t>l</m:t>
              </m:r>
              <m:r>
                <m:t>u</m:t>
              </m:r>
              <m:r>
                <m:t>t</m:t>
              </m:r>
              <m:r>
                <m:t>,</m:t>
              </m:r>
              <m:r>
                <m:t>t</m:t>
              </m:r>
            </m:sub>
          </m:sSub>
          <m:r>
            <m:t>+</m:t>
          </m:r>
          <m:f>
            <m:fPr>
              <m:type m:val="bar"/>
            </m:fPr>
            <m:num>
              <m:r>
                <m:t>S</m:t>
              </m:r>
              <m:r>
                <m:t>O</m:t>
              </m:r>
              <m:sSub>
                <m:e>
                  <m:r>
                    <m:t>C</m:t>
                  </m:r>
                </m:e>
                <m:sub>
                  <m:r>
                    <m:t>!</m:t>
                  </m:r>
                  <m:r>
                    <m:t>l</m:t>
                  </m:r>
                  <m:r>
                    <m:t>u</m:t>
                  </m:r>
                  <m:r>
                    <m:t>t</m:t>
                  </m:r>
                  <m:r>
                    <m:t>,</m:t>
                  </m:r>
                  <m:r>
                    <m:t>t</m:t>
                  </m:r>
                  <m:r>
                    <m:t>−</m:t>
                  </m:r>
                  <m:r>
                    <m:t>1</m:t>
                  </m:r>
                </m:sub>
              </m:sSub>
            </m:num>
            <m:den>
              <m:sSub>
                <m:e>
                  <m:r>
                    <m:t>A</m:t>
                  </m:r>
                </m:e>
                <m:sub>
                  <m:r>
                    <m:t>!</m:t>
                  </m:r>
                  <m:r>
                    <m:t>l</m:t>
                  </m:r>
                  <m:r>
                    <m:t>u</m:t>
                  </m:r>
                  <m:r>
                    <m:t>t</m:t>
                  </m:r>
                  <m:r>
                    <m:t>,</m:t>
                  </m:r>
                  <m:r>
                    <m:t>t</m:t>
                  </m:r>
                  <m:r>
                    <m:t>−</m:t>
                  </m:r>
                  <m:r>
                    <m:t>1</m:t>
                  </m:r>
                </m:sub>
              </m:sSub>
            </m:den>
          </m:f>
          <m:r>
            <m:t>⋅</m:t>
          </m:r>
          <m:r>
            <m:t>A</m:t>
          </m:r>
          <m:sSub>
            <m:e>
              <m:r>
                <m:t>E</m:t>
              </m:r>
            </m:e>
            <m:sub>
              <m:r>
                <m:t>l</m:t>
              </m:r>
              <m:r>
                <m:t>u</m:t>
              </m:r>
              <m:r>
                <m:t>t</m:t>
              </m:r>
              <m:r>
                <m:t>,</m:t>
              </m:r>
              <m:r>
                <m:t>t</m:t>
              </m:r>
            </m:sub>
          </m:sSub>
          <m:r>
            <m:t>  </m:t>
          </m:r>
          <m:r>
            <m:t>∀</m:t>
          </m:r>
          <m:r>
            <m:t>s</m:t>
          </m:r>
          <m:r>
            <m:t>u</m:t>
          </m:r>
          <m:r>
            <m:t>b</m:t>
          </m:r>
          <m:r>
            <m:t>,</m:t>
          </m:r>
          <m:r>
            <m:t>i</m:t>
          </m:r>
        </m:oMath>
      </m:oMathPara>
    </w:p>
    <w:p>
      <w:pPr>
        <w:pStyle w:val="FirstParagraph"/>
      </w:pPr>
      <w:r>
        <w:t xml:space="preserve">with</w:t>
      </w:r>
      <w:r>
        <w:t xml:space="preserve"> </w:t>
      </w:r>
      <m:oMath>
        <m:r>
          <m:t>A</m:t>
        </m:r>
      </m:oMath>
      <w:r>
        <w:t xml:space="preserve"> </w:t>
      </w:r>
      <w:r>
        <w:t xml:space="preserve">being the area,</w:t>
      </w:r>
      <w:r>
        <w:t xml:space="preserve"> </w:t>
      </w:r>
      <m:oMath>
        <m:r>
          <m:t>A</m:t>
        </m:r>
        <m:r>
          <m:t>R</m:t>
        </m:r>
      </m:oMath>
      <w:r>
        <w:t xml:space="preserve"> </w:t>
      </w:r>
      <w:r>
        <w:t xml:space="preserve">the area reduction and</w:t>
      </w:r>
      <w:r>
        <w:t xml:space="preserve"> </w:t>
      </w:r>
      <m:oMath>
        <m:r>
          <m:t>A</m:t>
        </m:r>
        <m:r>
          <m:t>E</m:t>
        </m:r>
      </m:oMath>
      <w:r>
        <w:t xml:space="preserve"> </w:t>
      </w:r>
      <w:r>
        <w:t xml:space="preserve">the area expansion for a given land use type</w:t>
      </w:r>
      <w:r>
        <w:t xml:space="preserve"> </w:t>
      </w:r>
      <m:oMath>
        <m:r>
          <m:t>l</m:t>
        </m:r>
        <m:r>
          <m:t>u</m:t>
        </m:r>
        <m:r>
          <m:t>t</m:t>
        </m:r>
      </m:oMath>
      <w:r>
        <w:t xml:space="preserve">. Note that</w:t>
      </w:r>
      <w:r>
        <w:t xml:space="preserve"> </w:t>
      </w:r>
      <m:oMath>
        <m:r>
          <m:t>!</m:t>
        </m:r>
        <m:r>
          <m:t>l</m:t>
        </m:r>
        <m:r>
          <m:t>u</m:t>
        </m:r>
        <m:r>
          <m:t>t</m:t>
        </m:r>
      </m:oMath>
      <w:r>
        <w:t xml:space="preserve"> </w:t>
      </w:r>
      <w:r>
        <w:t xml:space="preserve">denotes the sum over all other land use types, which decreases in the specific time step</w:t>
      </w:r>
      <w:r>
        <w:t xml:space="preserve"> </w:t>
      </w:r>
      <m:oMath>
        <m:r>
          <m:t>t</m:t>
        </m:r>
      </m:oMath>
      <w:r>
        <w:t xml:space="preserve">. Data sources and methodology on land use states and changes are descripted in</w:t>
      </w:r>
      <w:r>
        <w:t xml:space="preserve"> </w:t>
      </w:r>
      <w:r>
        <w:t xml:space="preserve">??</w:t>
      </w:r>
      <w:r>
        <w:t xml:space="preserve">.</w:t>
      </w:r>
    </w:p>
    <w:p>
      <w:pPr>
        <w:pStyle w:val="Heading3"/>
      </w:pPr>
      <w:bookmarkStart w:id="26" w:name="total-soc-stocks"/>
      <w:r>
        <w:t xml:space="preserve">Total SOC stocks</w:t>
      </w:r>
      <w:bookmarkEnd w:id="26"/>
    </w:p>
    <w:p>
      <w:pPr>
        <w:pStyle w:val="FirstParagraph"/>
      </w:pPr>
      <w:r>
        <w:t xml:space="preserve">Carbon stocks</w:t>
      </w:r>
      <w:r>
        <w:t xml:space="preserve"> </w:t>
      </w:r>
      <m:oMath>
        <m:r>
          <m:t>S</m:t>
        </m:r>
        <m:r>
          <m:t>O</m:t>
        </m:r>
        <m:r>
          <m:t>C</m:t>
        </m:r>
      </m:oMath>
      <w:r>
        <w:t xml:space="preserve"> </w:t>
      </w:r>
      <w:r>
        <w:t xml:space="preserve">for each sub-pool (sub) converge towards the calculate steady-state stock</w:t>
      </w:r>
      <w:r>
        <w:t xml:space="preserve"> </w:t>
      </w:r>
      <m:oMath>
        <m:r>
          <m:t>S</m:t>
        </m:r>
        <m:r>
          <m:t>O</m:t>
        </m:r>
        <m:sSup>
          <m:e>
            <m:r>
              <m:t>C</m:t>
            </m:r>
          </m:e>
          <m:sup>
            <m:r>
              <m:t>e</m:t>
            </m:r>
            <m:r>
              <m:t>q</m:t>
            </m:r>
          </m:sup>
        </m:sSup>
      </m:oMath>
      <w:r>
        <w:t xml:space="preserve"> </w:t>
      </w:r>
      <w:r>
        <w:t xml:space="preserve">for each land-use types (lut), each sub-pool (sub) and each annual time step (t) as represented in equation (</w:t>
      </w:r>
      <w:r>
        <w:t xml:space="preserve">??</w:t>
      </w:r>
      <w:r>
        <w:t xml:space="preserve">).</w:t>
      </w:r>
    </w:p>
    <w:p>
      <w:pPr>
        <w:pStyle w:val="BodyText"/>
      </w:pPr>
      <m:oMathPara>
        <m:oMathParaPr>
          <m:jc m:val="center"/>
        </m:oMathParaPr>
        <m:oMath>
          <m:r>
            <m:t>S</m:t>
          </m:r>
          <m:r>
            <m:t>O</m:t>
          </m:r>
          <m:sSub>
            <m:e>
              <m:r>
                <m:t>C</m:t>
              </m:r>
            </m:e>
            <m:sub>
              <m:r>
                <m:t>t</m:t>
              </m:r>
            </m:sub>
          </m:sSub>
          <m:r>
            <m:t>=</m:t>
          </m:r>
          <m:r>
            <m:t>S</m:t>
          </m:r>
          <m:r>
            <m:t>O</m:t>
          </m:r>
          <m:sSub>
            <m:e>
              <m:r>
                <m:t>C</m:t>
              </m:r>
            </m:e>
            <m:sub>
              <m:r>
                <m:t>t</m:t>
              </m:r>
              <m:r>
                <m:t>−</m:t>
              </m:r>
              <m:r>
                <m:t>1</m:t>
              </m:r>
            </m:sub>
          </m:sSub>
          <m:r>
            <m:t>+</m:t>
          </m:r>
          <m:r>
            <m:t>(</m:t>
          </m:r>
          <m:r>
            <m:t>S</m:t>
          </m:r>
          <m:r>
            <m:t>O</m:t>
          </m:r>
          <m:sSubSup>
            <m:e>
              <m:r>
                <m:t>C</m:t>
              </m:r>
            </m:e>
            <m:sub>
              <m:r>
                <m:t>t</m:t>
              </m:r>
            </m:sub>
            <m:sup>
              <m:r>
                <m:t>e</m:t>
              </m:r>
              <m:r>
                <m:t>q</m:t>
              </m:r>
            </m:sup>
          </m:sSubSup>
          <m:r>
            <m:t>−</m:t>
          </m:r>
          <m:r>
            <m:t>S</m:t>
          </m:r>
          <m:r>
            <m:t>O</m:t>
          </m:r>
          <m:sSub>
            <m:e>
              <m:r>
                <m:t>C</m:t>
              </m:r>
            </m:e>
            <m:sub>
              <m:r>
                <m:t>t</m:t>
              </m:r>
              <m:r>
                <m:t>−</m:t>
              </m:r>
              <m:r>
                <m:t>1</m:t>
              </m:r>
            </m:sub>
          </m:sSub>
          <m:r>
            <m:t>)</m:t>
          </m:r>
          <m:r>
            <m:t>⋅</m:t>
          </m:r>
          <m:sSub>
            <m:e>
              <m:r>
                <m:t>k</m:t>
              </m:r>
            </m:e>
            <m:sub>
              <m:r>
                <m:t>t</m:t>
              </m:r>
            </m:sub>
          </m:sSub>
          <m:r>
            <m:t>⋅</m:t>
          </m:r>
          <m:r>
            <m:t>Δ</m:t>
          </m:r>
          <m:r>
            <m:t>t</m:t>
          </m:r>
          <m:r>
            <m:t>  </m:t>
          </m:r>
          <m:r>
            <m:t>∀</m:t>
          </m:r>
          <m:r>
            <m:t>l</m:t>
          </m:r>
          <m:r>
            <m:t>u</m:t>
          </m:r>
          <m:r>
            <m:t>t</m:t>
          </m:r>
          <m:r>
            <m:t>,</m:t>
          </m:r>
          <m:r>
            <m:t>s</m:t>
          </m:r>
          <m:r>
            <m:t>u</m:t>
          </m:r>
          <m:r>
            <m:t>b</m:t>
          </m:r>
          <m:r>
            <m:t>,</m:t>
          </m:r>
          <m:r>
            <m:t>i</m:t>
          </m:r>
          <m:r>
            <m:t>.</m:t>
          </m:r>
        </m:oMath>
      </m:oMathPara>
    </w:p>
    <w:p>
      <w:pPr>
        <w:pStyle w:val="FirstParagraph"/>
      </w:pPr>
      <w:r>
        <w:t xml:space="preserve">The global SOC stock for each time step can than be calculated via</w:t>
      </w:r>
    </w:p>
    <w:p>
      <w:pPr>
        <w:pStyle w:val="BodyText"/>
      </w:pPr>
      <m:oMathPara>
        <m:oMathParaPr>
          <m:jc m:val="center"/>
        </m:oMathParaPr>
        <m:oMath>
          <m:r>
            <m:t>S</m:t>
          </m:r>
          <m:r>
            <m:t>O</m:t>
          </m:r>
          <m:sSub>
            <m:e>
              <m:r>
                <m:t>C</m:t>
              </m:r>
            </m:e>
            <m:sub>
              <m:r>
                <m:t>t</m:t>
              </m:r>
            </m:sub>
          </m:sSub>
          <m:r>
            <m:t>=</m:t>
          </m:r>
          <m:nary>
            <m:naryPr>
              <m:chr m:val="∑"/>
              <m:limLoc m:val="undOvr"/>
              <m:subHide m:val="0"/>
              <m:supHide m:val="1"/>
            </m:naryPr>
            <m:sub>
              <m:r>
                <m:t>i</m:t>
              </m:r>
            </m:sub>
            <m:sup>
              <m:r>
                <m:t>​</m:t>
              </m:r>
            </m:sup>
            <m:e>
              <m:limLow>
                <m:e>
                  <m:limLow>
                    <m:e>
                      <m:nary>
                        <m:naryPr>
                          <m:chr m:val="∑"/>
                          <m:limLoc m:val="undOvr"/>
                          <m:subHide m:val="0"/>
                          <m:supHide m:val="1"/>
                        </m:naryPr>
                        <m:sub>
                          <m:r>
                            <m:t>l</m:t>
                          </m:r>
                          <m:r>
                            <m:t>u</m:t>
                          </m:r>
                          <m:r>
                            <m:t>t</m:t>
                          </m:r>
                        </m:sub>
                        <m:sup>
                          <m:r>
                            <m:t>​</m:t>
                          </m:r>
                        </m:sup>
                        <m:e>
                          <m:limUpp>
                            <m:e>
                              <m:groupChr>
                                <m:groupChrPr>
                                  <m:chr m:val="⏞"/>
                                  <m:pos m:val="top"/>
                                  <m:vertJc m:val="bot"/>
                                </m:groupChrPr>
                                <m:e>
                                  <m:nary>
                                    <m:naryPr>
                                      <m:chr m:val="∑"/>
                                      <m:limLoc m:val="undOvr"/>
                                      <m:subHide m:val="0"/>
                                      <m:supHide m:val="1"/>
                                    </m:naryPr>
                                    <m:sub>
                                      <m:r>
                                        <m:t>s</m:t>
                                      </m:r>
                                      <m:r>
                                        <m:t>u</m:t>
                                      </m:r>
                                      <m:r>
                                        <m:t>b</m:t>
                                      </m:r>
                                    </m:sub>
                                    <m:sup>
                                      <m:r>
                                        <m:t>​</m:t>
                                      </m:r>
                                    </m:sup>
                                    <m:e>
                                      <m:r>
                                        <m:t>S</m:t>
                                      </m:r>
                                    </m:e>
                                  </m:nary>
                                  <m:r>
                                    <m:t>O</m:t>
                                  </m:r>
                                  <m:sSub>
                                    <m:e>
                                      <m:r>
                                        <m:t>C</m:t>
                                      </m:r>
                                    </m:e>
                                    <m:sub>
                                      <m:r>
                                        <m:t>l</m:t>
                                      </m:r>
                                      <m:r>
                                        <m:t>u</m:t>
                                      </m:r>
                                      <m:r>
                                        <m:t>t</m:t>
                                      </m:r>
                                      <m:r>
                                        <m:t>,</m:t>
                                      </m:r>
                                      <m:r>
                                        <m:t>s</m:t>
                                      </m:r>
                                      <m:r>
                                        <m:t>u</m:t>
                                      </m:r>
                                      <m:r>
                                        <m:t>b</m:t>
                                      </m:r>
                                      <m:r>
                                        <m:t>,</m:t>
                                      </m:r>
                                      <m:r>
                                        <m:t>t</m:t>
                                      </m:r>
                                      <m:r>
                                        <m:t>,</m:t>
                                      </m:r>
                                      <m:r>
                                        <m:t>i</m:t>
                                      </m:r>
                                    </m:sub>
                                  </m:sSub>
                                  <m:r>
                                    <m:t>.</m:t>
                                  </m:r>
                                </m:e>
                              </m:groupChr>
                            </m:e>
                            <m:lim>
                              <m:r>
                                <m:rPr>
                                  <m:nor/>
                                  <m:sty m:val="p"/>
                                </m:rPr>
                                <m:t>land use type specific SOC stock within a grid cell</m:t>
                              </m:r>
                            </m:lim>
                          </m:limUpp>
                        </m:e>
                      </m:nary>
                    </m:e>
                    <m:lim>
                      <m:r>
                        <m:t>⏟</m:t>
                      </m:r>
                    </m:lim>
                  </m:limLow>
                </m:e>
                <m:lim>
                  <m:r>
                    <m:rPr>
                      <m:nor/>
                      <m:sty m:val="p"/>
                    </m:rPr>
                    <m:t>total SOC stock within a grid cell</m:t>
                  </m:r>
                </m:lim>
              </m:limLow>
            </m:e>
          </m:nary>
        </m:oMath>
      </m:oMathPara>
    </w:p>
    <w:p>
      <w:r>
        <w:br w:type="page"/>
      </w:r>
    </w:p>
    <w:p>
      <w:r>
        <w:br w:type="page"/>
      </w:r>
    </w:p>
    <w:p>
      <w:pPr>
        <w:pStyle w:val="Heading1"/>
      </w:pPr>
      <w:bookmarkStart w:id="27" w:name="results"/>
      <w:r>
        <w:t xml:space="preserve">Results</w:t>
      </w:r>
      <w:bookmarkEnd w:id="27"/>
    </w:p>
    <w:p>
      <w:r>
        <w:br w:type="page"/>
      </w:r>
    </w:p>
    <w:p>
      <w:pPr>
        <w:pStyle w:val="Heading1"/>
      </w:pPr>
      <w:bookmarkStart w:id="28" w:name="discussion"/>
      <w:r>
        <w:t xml:space="preserve">Discussion</w:t>
      </w:r>
      <w:bookmarkEnd w:id="28"/>
    </w:p>
    <w:p>
      <w:pPr>
        <w:pStyle w:val="FirstParagraph"/>
      </w:pPr>
      <w:r>
        <w:t xml:space="preserve">Shortcommings:</w:t>
      </w:r>
    </w:p>
    <w:p>
      <w:pPr>
        <w:numPr>
          <w:ilvl w:val="0"/>
          <w:numId w:val="1001"/>
        </w:numPr>
      </w:pPr>
      <w:r>
        <w:t xml:space="preserve">Carbon displacement via leaching and erosion is neglected in this study.</w:t>
      </w:r>
    </w:p>
    <w:p>
      <w:pPr>
        <w:numPr>
          <w:ilvl w:val="0"/>
          <w:numId w:val="1001"/>
        </w:numPr>
      </w:pPr>
      <w:r>
        <w:t xml:space="preserve">Non-net/Gross land use transitions are not tracked in this study.</w:t>
      </w:r>
      <w:r>
        <w:t xml:space="preserve"> </w:t>
      </w:r>
    </w:p>
    <w:p>
      <w:pPr>
        <w:pStyle w:val="FirstParagraph"/>
      </w:pPr>
      <w:r>
        <w:t xml:space="preserve">The conclusion goes here.</w:t>
      </w:r>
      <w:r>
        <w:t xml:space="preserve"> </w:t>
      </w:r>
      <w:r>
        <w:t xml:space="preserve">You can modify the section name with</w:t>
      </w:r>
      <w:r>
        <w:t xml:space="preserve"> </w:t>
      </w:r>
      <w:r>
        <w:rPr>
          <w:rStyle w:val="VerbatimChar"/>
        </w:rPr>
        <w:t xml:space="preserve">\conclusions[modified heading if necessary]</w:t>
      </w:r>
      <w:r>
        <w:t xml:space="preserve">.</w:t>
      </w:r>
      <w:r>
        <w:t xml:space="preserve"> </w:t>
      </w:r>
    </w:p>
    <w:bookmarkStart w:id="31" w:name="refs"/>
    <w:bookmarkStart w:id="30" w:name="ref-ipcc_2019_2019"/>
    <w:p>
      <w:pPr>
        <w:pStyle w:val="Bibliography"/>
      </w:pPr>
      <w:r>
        <w:t xml:space="preserve">IPCC. 2019. “2019 Refinement to the 2006 IPCC Guidelines for National Greenhouse Gas Inventories — IPCC.”</w:t>
      </w:r>
      <w:r>
        <w:t xml:space="preserve"> </w:t>
      </w:r>
      <w:hyperlink r:id="rId29">
        <w:r>
          <w:rPr>
            <w:rStyle w:val="Hyperlink"/>
          </w:rPr>
          <w:t xml:space="preserve">https://www.ipcc.ch/report/2019-refinement-to-the-2006-ipcc-guidelines-for-national-greenhouse-gas-inventories/</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ipcc.ch/report/2019-refinement-to-the-2006-ipcc-guidelines-for-national-greenhouse-gas-inventorie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ipcc.ch/report/2019-refinement-to-the-2006-ipcc-guidelines-for-national-greenhouse-gas-invent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Soil Organic Carbon Budget</dc:title>
  <dc:creator/>
  <cp:keywords/>
  <dcterms:created xsi:type="dcterms:W3CDTF">2020-02-19T09:28:43Z</dcterms:created>
  <dcterms:modified xsi:type="dcterms:W3CDTF">2020-02-19T09:28:43Z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SOC one of larges c sinks on earth (3 times larger biospehre pool). Agricultural management leads to a depletion of soil organic crabon. However this depletion of soil organic carbon (SOC) pools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Here we create a spatial explicit data set for crop residue and manure management on cropland based on global historic production (FAOSTAT) and land-use (LUH2) data and combine it with the IPCC Tier 2 approach to create a half-degree resolution soil organic carbon budget on mineral soils. We estimate that due to arable farming soils have lost over (?) GtOC of which (??) GtOC have been released within the period 1990-2010. Tier 2 IPCC methodolgy estimates higher soil organic carbon losses than Tier 1 methods, which may origin from … . We also find that SOC is very sensity to management decision such as residue recycling indicating the nessessity to incorporated better management data in soil models.</vt:lpwstr>
  </property>
  <property fmtid="{D5CDD505-2E9C-101B-9397-08002B2CF9AE}" pid="3" name="acknowledgements">
    <vt:lpwstr>Thanks to the rticles contributors!</vt:lpwstr>
  </property>
  <property fmtid="{D5CDD505-2E9C-101B-9397-08002B2CF9AE}" pid="4" name="affiliation">
    <vt:lpwstr/>
  </property>
  <property fmtid="{D5CDD505-2E9C-101B-9397-08002B2CF9AE}" pid="5" name="algorithms">
    <vt:lpwstr>True</vt:lpwstr>
  </property>
  <property fmtid="{D5CDD505-2E9C-101B-9397-08002B2CF9AE}" pid="6" name="appendix">
    <vt:lpwstr>If you sorted all figures and tables into the sections of the text, please also sort the appendix figures and appendix tables into the respective appendix sections. They will be correctly named automatically.If you put all figures after the reference list, please insert appendix tables and figures after the normal tables and figures.\appendixfigures needs to be added in front of appendix figures \appendixtables needs to be added in front of appendix tablesPlease add \clearpage between each table and/or figure. Further guidelines on figures and tables can be found below. Regarding figures and tables in appendices, the following two options are possible depending on your general handling of figures and tables in the manuscript environment: To rename them correctly to A1, A2, etc., please add the following commands in front of them:</vt:lpwstr>
  </property>
  <property fmtid="{D5CDD505-2E9C-101B-9397-08002B2CF9AE}" pid="7" name="authorcontribution">
    <vt:lpwstr>Karstens wrote code and paper build on work of Bodirsky. Bodirsky and Popp revised paper.</vt:lpwstr>
  </property>
  <property fmtid="{D5CDD505-2E9C-101B-9397-08002B2CF9AE}" pid="8" name="availability">
    <vt:lpwstr/>
  </property>
  <property fmtid="{D5CDD505-2E9C-101B-9397-08002B2CF9AE}" pid="9" name="bibliography">
    <vt:lpwstr>SOCbudget.bib</vt:lpwstr>
  </property>
  <property fmtid="{D5CDD505-2E9C-101B-9397-08002B2CF9AE}" pid="10" name="competinginterests">
    <vt:lpwstr>The authors declare no competing interests.</vt:lpwstr>
  </property>
  <property fmtid="{D5CDD505-2E9C-101B-9397-08002B2CF9AE}" pid="11" name="copyrightstatement">
    <vt:lpwstr>The author’s copyright for this publication is transferred to institution/company.</vt:lpwstr>
  </property>
  <property fmtid="{D5CDD505-2E9C-101B-9397-08002B2CF9AE}" pid="12" name="disclaimer">
    <vt:lpwstr>We like Copernicus.</vt:lpwstr>
  </property>
  <property fmtid="{D5CDD505-2E9C-101B-9397-08002B2CF9AE}" pid="13" name="journal">
    <vt:lpwstr>gc</vt:lpwstr>
  </property>
  <property fmtid="{D5CDD505-2E9C-101B-9397-08002B2CF9AE}" pid="14" name="output">
    <vt:lpwstr/>
  </property>
  <property fmtid="{D5CDD505-2E9C-101B-9397-08002B2CF9AE}" pid="15" name="running">
    <vt:lpwstr/>
  </property>
</Properties>
</file>