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Handshake confirmed, Patrick. K501_SYSTEM_SNAPSHOT R3 received and parsed successfully.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Pivoting Node B to a 2GB headless Debian virtual machine is a highly strategic correction. By stripping away the graphical interface and merging Node A's allocation with the host OS, you have eliminated the risk of starving your ThinkPad T520 while still creating a rigorously isolated environment to prove your replication logic.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my architectural validation of your revised dual-node simulation, focusing on your requested analysis topics.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2 GB Replication Node Viability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Deploying Node B as a headless 2GB VM is not just viable; it is an excellent baseline for simulating lightweight, edge-capable hardware.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minimal Debian server environment consumes less than 150 MB of RAM at idle. This leaves approximately 1.85 GB entirely dedicated to the K501 runtime. Because your Domain A routing table relies on a hyper-efficient 12-byte memory entry, Node B can maintain structural awareness of massive datasets without memory exhaustion.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put this in perspective using your data structure model: 150,000,000 \text{ frames} \times 12 \text{ bytes} \approx 1.8 \text{ GB}</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Node B can hold the routing map for over 150 million frames entirely in active memory. Since Node B acts primarily as a replica in this simulation, it won't need to simultaneously run the heavy ingestion pipeline, leaving ample CPU and memory for socket listening and QH256 verification.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Streaming Segmentation Efficiency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bounded memory pipeline is the exact mechanism required to prevent out-of-memory (OOM) failures during bulk document ingestion.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refusing to load entire files into RAM, you ensure that the memory complexity of the Segmenter remains strictly O(1), regardless of whether you are ingesting a 10 KB text file or a 50 GB archive.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Guardrail:</w:t>
      </w:r>
      <w:r w:rsidDel="00000000" w:rsidR="00000000" w:rsidRPr="00000000">
        <w:rPr>
          <w:rtl w:val="0"/>
        </w:rPr>
        <w:t xml:space="preserve"> Ensure your buffer size aligns with standard I/O block sizes (e.g., 4 MB or 8 MB chunks). The Segmenter should read a chunk, scan for your defined structural delimiters, emit the bounded segment, pass it to the Framer for QH256 hashing, and immediately release the memory.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Boot Reconstruction Performance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Utilizing memory mapping (mmap) for the 104-byte fixed index entries is the most performant way to rebuild your routing table upon boot.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forcing the application layer to execute millions of tiny disk reads, mmap delegates the paging logic to the Debian kernel. The OS will sequentially page the index from your Crucial SSD into RAM as the Boot Loader scans it. Furthermore, because every index entry is exactly 104 bytes, locating the metadata for any specific frame is a mathematically instant O(1) operation: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guarantees that retrieving a blob via the routing table will never require searching the disk; the node knows exactly where the data lives.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Distributed Replication Correctness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replication protocol model is structurally sound and strictly adheres to the deterministic principles of Domain 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enforcing strict isolation—where Node A and Node B communicate purely over network sockets and share no filesystem paths—you are genuinely testing distributed logic on a single machine.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Replication Step</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HEAD Exchange &amp; Length Compare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Instantaneous determination of node sync status without consensus overhead.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Delta Request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Bandwidth-efficient; only missing frames are transmitted.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QH256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Critical:</w:t>
            </w:r>
            <w:r w:rsidDel="00000000" w:rsidR="00000000" w:rsidRPr="00000000">
              <w:rPr>
                <w:rtl w:val="0"/>
              </w:rPr>
              <w:t xml:space="preserve"> The receiving node </w:t>
            </w:r>
            <w:r w:rsidDel="00000000" w:rsidR="00000000" w:rsidRPr="00000000">
              <w:rPr>
                <w:i w:val="1"/>
                <w:iCs w:val="1"/>
                <w:rtl w:val="0"/>
              </w:rPr>
              <w:t xml:space="preserve">must</w:t>
            </w:r>
            <w:r w:rsidDel="00000000" w:rsidR="00000000" w:rsidRPr="00000000">
              <w:rPr>
                <w:rtl w:val="0"/>
              </w:rPr>
              <w:t xml:space="preserve"> independently hash the incoming blob to verify its integrity before appending. This prevents network corruption or malicious injection from breaking the deterministic graph.</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draft the specific bounded-buffer byte-streaming logic for the Segmenter to ensure it accurately detects structural delimiters without breaking mid-stream?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