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Handshake confirmed, Patrick. K501_SYSTEM_SNAPSHOT received.</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Transitioning from the Structural Core Freeze into a dual-node deterministic runtime simulation is a massive step. As an AI analyzing your payload, I can tell you that simulating distributed logic on a single physical host is the ultimate crucible for your architecture. It forces you to confront resource constraints head-on before you introduce network latency via your planned LTE modem.</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Here is an architectural exchange validating your stress-test design, grounded in the physical realities of your ThinkPad T520 setup.</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Dual-Node Deterministic Runtime Feasibility</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Your plan to partition the T520 into an 8GB primary node and a 4GB stress-test node is conceptually sound for testing replication, but structurally dangerous for your host operating system.</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Your T520 has 12 GB of RAM total. Allocating 8 \text{ GB} + 4 \text{ GB} = 12 \text{ GB} leaves strictly zero memory for Debian 13, LXQT, or the Linux page cache. If the host OS is starved of memory, it will begin aggressively swapping to your disk. This will cause catastrophic I/O bottlenecks, destroying the deterministic performance metrics you are trying to measure.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Recommendation:</w:t>
      </w:r>
      <w:r w:rsidDel="00000000" w:rsidR="00000000" w:rsidRPr="00000000">
        <w:rPr>
          <w:rtl w:val="0"/>
        </w:rPr>
        <w:t xml:space="preserve"> Adjust your memory boundaries to protect the host.</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Component</w:t>
            </w:r>
          </w:p>
        </w:tc>
        <w:tc>
          <w:tcPr>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Planned RAM</w:t>
            </w:r>
          </w:p>
        </w:tc>
        <w:tc>
          <w:tcPr>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Recommended RAM</w:t>
            </w:r>
          </w:p>
        </w:tc>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Rationale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Node A (Primary)</w:t>
            </w:r>
          </w:p>
        </w:tc>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GB</w:t>
            </w:r>
          </w:p>
        </w:tc>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GB</w:t>
            </w:r>
          </w:p>
        </w:tc>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Highly sufficient for the main ingestion pipeline.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Node B (Stress)</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GB</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GB</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Accurately simulates a deeply constrained environment.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Host OS (Debian)</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 GB (Implicit)</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GB</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Prevents swapping and allows the OS to cache SSD reads/writes.</w:t>
            </w:r>
          </w:p>
        </w:tc>
      </w:tr>
    </w:tbl>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Memory-Constrained Node Behavior</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Node B on heavily constrained RAM (e.g., 3 to 4 GB) will successfully validate your data structure choices. Specifically, it will prove that your routing table is virtually immune to memory exhaustion.</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Because your memory routing entry is exactly 12 bytes, the memory footprint M for N total frames is strictly linear:</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Even if your test ingestion creates 10,000,000 frames, the routing table will consume only \approx 114.4 \text{ MB} of RAM.</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real stress on Node B will not be the index; it will be the </w:t>
      </w:r>
      <w:r w:rsidDel="00000000" w:rsidR="00000000" w:rsidRPr="00000000">
        <w:rPr>
          <w:b w:val="1"/>
          <w:bCs w:val="1"/>
          <w:rtl w:val="0"/>
        </w:rPr>
        <w:t xml:space="preserve">Normalizer</w:t>
      </w:r>
      <w:r w:rsidDel="00000000" w:rsidR="00000000" w:rsidRPr="00000000">
        <w:rPr>
          <w:rtl w:val="0"/>
        </w:rPr>
        <w:t xml:space="preserve"> and </w:t>
      </w:r>
      <w:r w:rsidDel="00000000" w:rsidR="00000000" w:rsidRPr="00000000">
        <w:rPr>
          <w:b w:val="1"/>
          <w:bCs w:val="1"/>
          <w:rtl w:val="0"/>
        </w:rPr>
        <w:t xml:space="preserve">Segmenter</w:t>
      </w:r>
      <w:r w:rsidDel="00000000" w:rsidR="00000000" w:rsidRPr="00000000">
        <w:rPr>
          <w:rtl w:val="0"/>
        </w:rPr>
        <w:t xml:space="preserve"> pipelines. During bulk document ingestion, memory pressure spikes if the system attempts to load entire large files into RAM before segmentation. To ensure stability on Node B, your pipeline must stream bytes sequentially from the Crucial SSD, hashing and framing chunks in a bounded buffer, rather than holding whole documents in active memory.</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Boot Reconstruction Loader Efficiency</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Your 104-byte hard index entries are beautifully designed for rapid state reconstruction. Because the index is an append-only flat file, the boot process is a pure sequential read.</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Your Crucial SSD over USB 3 can easily sustain sequential read speeds of hundreds of megabytes per second. Therefore, I/O will not be the bottleneck during boot. The friction point will be CPU-bound: how fast the T520's processor can parse 104-byte chunks and extract the 12-byte routing data into active RAM.</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maximize this efficiency, rely on memory-mapping (mmap) the hard index file upon boot rather than executing millions of tiny read() syscalls. This allows the Debian kernel to page the index into memory exactly as the Boot Loader iterates over it.</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Index Replication Mechanics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Your synchronization model—relying on HEAD exchange and delta transfers without a consensus algorithm—is the exact right choice for deterministic, append-only architecture.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Because past frames are immutable, nodes do not need to vote on the state of the network. If Node A has an index length of L_A and Node B has an index length of L_B, and L_A &gt; L_B, the delta calculation is instantaneous. Node B simply requests the sequence from (L_B + 1) to L_A.</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Crucial Guardrail for the Simulation:</w:t>
      </w:r>
      <w:r w:rsidDel="00000000" w:rsidR="00000000" w:rsidRPr="00000000">
        <w:rPr>
          <w:rtl w:val="0"/>
        </w:rPr>
        <w:t xml:space="preserve"> Even though your simulation runs on the same physical machine, you must enforce strict process isolation. Node B must request the delta via a simulated network socket, and Node A must serve the blob bytes over that socket. Node B must then independently verify the QH256 hash of the received blob before appending it to its local hard index. Do not let the nodes cheat by sharing file paths on the host OS.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Would you like me to map out the specific byte-streaming logic for the Segmenter module so we can ensure Node B survives the 4GB memory constraint during a bulk ingestion test?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