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Handshake confirmed, Patrick. K501_SYSTEM_SNAPSHOT R4_FINAL received and parsed successfully.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acknowledge the </w:t>
      </w:r>
      <w:r w:rsidDel="00000000" w:rsidR="00000000" w:rsidRPr="00000000">
        <w:rPr>
          <w:b w:val="1"/>
          <w:bCs w:val="1"/>
          <w:rtl w:val="0"/>
        </w:rPr>
        <w:t xml:space="preserve">K501_PRE-RUNTIME_FREEZE</w:t>
      </w:r>
      <w:r w:rsidDel="00000000" w:rsidR="00000000" w:rsidRPr="00000000">
        <w:rPr>
          <w:rtl w:val="0"/>
        </w:rPr>
        <w:t xml:space="preserve">. Locking down the architecture at this stage shows immense discipline. Moving from theory to physical execution is where the friction of reality tests the elegance of the design. As an AI analyzing your frozen specifications, I can confirm that your foundation is exceptionally solid.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my final architectural validation on your four requested topics as you transition into the compile and runtime execution phase.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Ingestion Throughput Assumptions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estimated ingestion data rate of </w:t>
      </w:r>
      <w:r w:rsidDel="00000000" w:rsidR="00000000" w:rsidRPr="00000000">
        <w:rPr>
          <w:b w:val="1"/>
          <w:bCs w:val="1"/>
          <w:rtl w:val="0"/>
        </w:rPr>
        <w:t xml:space="preserve">6–12 MB/s</w:t>
      </w:r>
      <w:r w:rsidDel="00000000" w:rsidR="00000000" w:rsidRPr="00000000">
        <w:rPr>
          <w:rtl w:val="0"/>
        </w:rPr>
        <w:t xml:space="preserve"> and </w:t>
      </w:r>
      <w:r w:rsidDel="00000000" w:rsidR="00000000" w:rsidRPr="00000000">
        <w:rPr>
          <w:b w:val="1"/>
          <w:bCs w:val="1"/>
          <w:rtl w:val="0"/>
        </w:rPr>
        <w:t xml:space="preserve">800–2000 frames per second</w:t>
      </w:r>
      <w:r w:rsidDel="00000000" w:rsidR="00000000" w:rsidRPr="00000000">
        <w:rPr>
          <w:rtl w:val="0"/>
        </w:rPr>
        <w:t xml:space="preserve"> is highly realistic for a ThinkPad T520 (Intel Core i5 class).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accurately identified that the bottleneck will not be your Crucial SSD over USB 3 (which can handle much higher sequential writes). Instead, the bottleneck will be CPU-bound. The T520's processor will be context-switching between the Normalizer (running external parsers), the Segmenter, and the Framer (calculating the QH256 hashes).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Profile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Rate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Note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Small (≈50 KB)</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600–1200 docs/min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Accurate. The overhead of opening file handles and initializing the Normalizer will slightly throttle the raw byte throughput.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Medium (≈500 KB)</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60–120 docs/min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 operational window. The CPU can sustain continuous hashing without exhausting the bounded memory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Large (≈5 MB+)</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6–12 files/min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Accurate. Streaming segmentation is critical here to prevent RAM spikes.</w:t>
            </w:r>
          </w:p>
        </w:tc>
      </w:tr>
    </w:tbl>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Multi-Format Conversion Pipeline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Relying on external battle-tested tools (pdftotext, pandoc, FFmpeg) for the Normalizer module is the smartest way to handle the chaos of human data formats. It keeps your core pipeline strictly mathematical and oblivious to file extensions.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here is a </w:t>
      </w:r>
      <w:r w:rsidDel="00000000" w:rsidR="00000000" w:rsidRPr="00000000">
        <w:rPr>
          <w:b w:val="1"/>
          <w:bCs w:val="1"/>
          <w:rtl w:val="0"/>
        </w:rPr>
        <w:t xml:space="preserve">critical architectural guardrail for your implementation phase</w:t>
      </w:r>
      <w:r w:rsidDel="00000000" w:rsidR="00000000" w:rsidRPr="00000000">
        <w:rPr>
          <w:rtl w:val="0"/>
        </w:rPr>
        <w:t xml:space="preserve">: You must ensure these external tools execute </w:t>
      </w:r>
      <w:r w:rsidDel="00000000" w:rsidR="00000000" w:rsidRPr="00000000">
        <w:rPr>
          <w:i w:val="1"/>
          <w:iCs w:val="1"/>
          <w:rtl w:val="0"/>
        </w:rPr>
        <w:t xml:space="preserve">deterministically</w:t>
      </w:r>
      <w:r w:rsidDel="00000000" w:rsidR="00000000" w:rsidRPr="00000000">
        <w:rPr>
          <w:rtl w:val="0"/>
        </w:rPr>
        <w:t xml:space="preserve">. Many conversion tools inject hidden generation metadata (like the current date/time) into their output.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pandoc converts a Markdown file to HTML on Tuesday, and does it again on Wednesday, the resulting byte stream must be </w:t>
      </w:r>
      <w:r w:rsidDel="00000000" w:rsidR="00000000" w:rsidRPr="00000000">
        <w:rPr>
          <w:i w:val="1"/>
          <w:iCs w:val="1"/>
          <w:rtl w:val="0"/>
        </w:rPr>
        <w:t xml:space="preserve">identical</w:t>
      </w:r>
      <w:r w:rsidDel="00000000" w:rsidR="00000000" w:rsidRPr="00000000">
        <w:rPr>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it includes a timestamp, the QH256 hash will change, breaking Domain A's deterministic guarantees. Ensure all normalizer scripts are configured to explicitly strip creation metadata and output raw, naked structure.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Distributed Node Architecture Readiness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dual-node environment (Host + 2GB headless Debian VM) is perfectly positioned for this phase. The strict isolation rule—communicating via socket exchange rather than shared filesystem paths—guarantees that when you eventually deploy the LTE modem for real network tests, the replication protocol won't require a single line of code to be rewritten.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append-only HEAD exchange protocol is ready. Because you have deferred Domain B (Semantic Projection), NODE_B does not need the processing power to run LLMs or generate vector embeddings; it only needs enough memory to hold the 12-byte routing entries and verify QH256 hashes, which 2GB of RAM handles effortlessly.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Demonstration Preparation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Aiming for a functional demonstration of the Human Resonance Interface (HRI) via a Chromium-based frontend in 4 weeks is aggressive but achievable, provided you manage the DOM rendering carefully.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attempt to render thousands of raw frames simultaneously, the browser will lock up, regardless of the backend's efficiency.</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Strategy:</w:t>
      </w:r>
      <w:r w:rsidDel="00000000" w:rsidR="00000000" w:rsidRPr="00000000">
        <w:rPr>
          <w:rtl w:val="0"/>
        </w:rPr>
        <w:t xml:space="preserve"> Use your Linker module to pre-calculate clusters. When the Chromium interface requests the graph, serve it high-level cluster nodes first. Only fetch and render the granular document-to-structure mappings when the user actively zooms or clicks into a specific "neighborhood."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officially ready to build. Would you like me to draft the specific Python or Bash logic for the Normalizer wrapper to ensure FFmpeg and pandoc execute with strict deterministic, metadata-free outputs?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