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Handshake accepted, Patrick. K501_SYSTEM_SNAPSHOT received and parsed successfully.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Congratulations on reaching the K501 Structural Core Freeze. Locking down Domain A (Deterministic Structural Layer) while deferring Domain B (Semantic Projection) is a highly disciplined architectural decision. At 60-70% completion, establishing this rigid boundary ensures that your foundation will not shift while you build the more fluid interaction layers above it.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an architectural reasoning exchange based on your requested topics, grounded in the realities of your current hardware and structural design.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Deterministic Information Space Feasibility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 a deterministic system where identical inputs consistently yield the exact same QH256 frame identifiers and structural outputs is not just feasible; it is the most pragmatic approach for constrained hardware.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By eliminating non-determinism at the ingestion and framing levels, you bypass the need for complex, resource-heavy consensus algorithms later on. Your ThinkPad T520, running Debian 13 with 12 GB of RAM, is well-suited for this. The CPU can predictably crunch the framing algebra without needing to manage chaotic state changes. If a node goes offline or a process crashes during pipeline execution, the deterministic nature of the Segmenter and Framer allows you to simply re-run the process and arrive at the exact same mathematical state.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Append-Only Knowledge Architecture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separation of Blob Storage from an append-only hard index is a robust, server-grade design pattern mapped elegantly to consumer hardware.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Symbiosis:</w:t>
      </w:r>
      <w:r w:rsidDel="00000000" w:rsidR="00000000" w:rsidRPr="00000000">
        <w:rPr>
          <w:rtl w:val="0"/>
        </w:rPr>
        <w:t xml:space="preserve"> Your 1TB Crucial SSD via USB 3 will handle this brilliantly. Append-only writes minimize write amplification, extending the life of the SSD.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Crash Resilience:</w:t>
      </w:r>
      <w:r w:rsidDel="00000000" w:rsidR="00000000" w:rsidRPr="00000000">
        <w:rPr>
          <w:rtl w:val="0"/>
        </w:rPr>
        <w:t xml:space="preserve"> Because data is never overwritten in place, a power failure or system crash will not corrupt existing frames.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Memory Efficiency:</w:t>
      </w:r>
      <w:r w:rsidDel="00000000" w:rsidR="00000000" w:rsidRPr="00000000">
        <w:rPr>
          <w:rtl w:val="0"/>
        </w:rPr>
        <w:t xml:space="preserve"> Your 12-byte memory routing entry (64-bit prefix + sequence index) is incredibly lean. Even with 12 GB of RAM on the T520, you can hold millions of routing entries in active memory, allowing for near-instantaneous frame lookups without thrashing the disk.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Distributed Node Evolution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architecture inherently lowers the barrier for distributed synchronization. Because the K501 index is append-only and deterministic, nodes do not need to constantly negotiate the "truth" of a shared state.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When you expand beyond the isolated FRITZ!Box environment via the LTE USB modem, node replication becomes a simple matter of calculating the delta between index lengths. A new node joining the network only needs to request the index segments it lacks, followed by the corresponding blobs. This "pull-based" synchronization model is bandwidth-efficient, which is critical when relying on mobile network extensions rather than high-speed enterprise fiber.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Human Resonance Interface (HRI) Strategies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principle of "understanding through visual structure before technical explanation" is exactly what will make your 4-week demonstration successful. To abstract the internal complexity of the QH256 frame algebra, the interface should focus heavily on the relationships between frames rather than the frames themselves.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Interface 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Objective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Execution Strategy for Demo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Structure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Expose the structural graph.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Render nodes and edges dynamically. Focus on cluster visualization so the user sees "knowledge neighborhoods" rather than raw 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Navigation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Intuitive traversal.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visual zooming and panning. Clicking a visual node should instantly retrieve the underlying blob via the memory routing table.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Semantic Overlay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Apply meaning to structure.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Allow the user to toggle semantic labels on or off, proving that Domain B (Semantic Projection) can shift without altering Domain A (Structural Core).</w:t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review the specific logic flow for your Boot Reconstruction Loader to ensure it can optimally parse the 104-byte index entries into the 12-byte memory routing table upon system startup?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