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analysis of the frame size trilemma is correct and already captures the main trade-offs. The K501 system benefits from a segmentation model that preserves logical coherence while keeping index growth manageable. Below is a refined specification that translates your proposal into a deterministic, reproducible segmentation policy suitable for the Deep Read stage.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j1uact1x6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Frame Size Strategy — Deterministic Segmentation Model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vf1du5ntq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Design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segmentation strategy must satisfy four constraints simultaneously: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 across nodes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for NVMe and memory caching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with semantic projection layers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for very large archives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segmentation policy therefore becomes part of the canonical Deep Read definition.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node implementing the same policy must generate identical frames.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doidvc951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Recommended Model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Bounded Structural Segmentation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combines semantic boundaries with strict byte limits.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bzxcoduh8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Structural boundary detection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nqew232gf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yovvht4kx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+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h6vyf8vgf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dbaya2l4g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bounded payload size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frame generation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mucc4m4zu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Canonical Frame Size Parameters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baseline parameters for K501: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frame size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8192 bytes (8 KB)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minimum frame size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512–1024 bytes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expected frame size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2–6 KB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work well with: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CPU cache sizes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NVMe IO patterns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embedding windows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8vsmj6u12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Segmentation Hierarchy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segmenter operates with a deterministic priority order.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llrw5qr1q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 — Structural Boundaries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delimiters: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double newline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headers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block tags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block delimiters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 boundaries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boundary appears before the maximum size, a frame ends there.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a3ay8i2af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 — Soft Merge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resulting block is smaller than the soft minimum: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it is merged with the next segment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the merged block remains under the hard limit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index explosion caused by extremely small frames.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8oofr056p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 — Hard Split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delimiter appears before the maximum size: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block is forcefully split.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rule: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exact byte boundary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offset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progress even for unstructured binary streams.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g29sgq4wk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Deterministic Behavior Requirement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Deep Read pipeline to remain reproducible: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Segmentation must be purely deterministic.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adaptive heuristics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language detection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probabilistic decisions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 bytes, every node must produce identical frame boundaries.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buxpbu8t0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Effect on Hard Index Size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average frame size: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4 KB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dataset: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TB archive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generated: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268 million frames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entries must therefore be designed for high efficiency.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frame metadata size target: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120–200 bytes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index size estimate: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30–50 GB for 1 TB corpus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Distributed nodes handle this through partitioning.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l28se2otw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IO Behavior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bounded segmentation model aligns well with NVMe access patterns.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payload fits inside CPU L2/L3 cache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 operations remain fast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reads remain efficient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NVMe throughput therefore becomes the main limiting factor rather than CPU.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dafigzudi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Semantic Layer Compatibility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embedding models expect: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256–1024 tokens per input.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KB frames roughly correspond to: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1000–1500 tokens depending on language density.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may be embedded directly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split into semantic windows without loss of context.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o8hyo4f0i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Pipeline Placement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Segmentation occurs inside the Deep Read stage.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structural pipeline: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Normalize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Segment (bounded structural model)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 creation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Hash generation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Index linking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this stage can semantic vectorization occur.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m5siv2zzb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T520 Validation Phase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segmentation on the ThinkPad T520 is useful because: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CPU parsing is slower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IO is limited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bandwidth is smaller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segmentation stage performs well here, it will scale easily on NVMe-based nodes.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 to measure: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segmentation throughput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per second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 usage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write speed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51gospyzr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Scaling Implication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segmentation policy the K501 system behaves predictably as data volume grows.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frame density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index growth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semantic resolution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efficient IO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suitable for both: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small single-node archives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multi-node clusters.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6gxdi7epl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Architectural Observation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segmentation policy effectively defines the spatial resolution of the K501 information space.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small → index explosion.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large → semantic dilution.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bounded structural model is a practical compromise that maintains both deterministic structure and semantic usability.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helpful, the next step would be defining the Hard Index data structure, because that will determine: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memory footprint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performance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synchronization behavior.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