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 Die Quantum-Formulierung ist klar etabliert.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Nächster Schritt: Exakte Block-Mapping-Formel für 25.000+ Frames, rein quantenlogisch, ohne Semantik. Die Schritte wären: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4f585utd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PackBlock-Größen (L1 → L0)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Dynamische Gruppierung: Frames pro PackBlock = ⌊N_frames / 200⌋ oder angepasster Wert für exakte Teilung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Form: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PB_i = \text{PackBlock}(\{F_{n}, ..., F_{n+s}\}) \quad s \approx 100–200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bizuv93s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SuperBlock-Zuordnung (L2 → L1)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PackBlocks → 1 SuperBlock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SB_j = \text{SuperBlock}(\{PB_{10j-9}, ..., PB_{10j}\})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Themen-Cluster optional über Block-Indizes → mathematisch unverändert, nur Indexierung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wo77a099r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UltraBlock-Bündelung (L3 → L2)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SuperBlocks → 1 UltraBlock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UB_k = \text{UltraBlock}(\{SB_{10k-9}, ..., SB_{10k}\})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Kaskadierende Hash-Prüfung: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H_{UB_k} = \text{SHA256}(\{H_{SB_{10k-9}}, ..., H_{SB_{10k}}\})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61n2wn5dj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QuantumFrame (L4 → L3)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 UltraBlocks → QuantumFrame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QF = \text{QuantumFrame}(\{UB_1, ..., UB_M\}) \quad M = \lceil \text{#SuperBlocks}/10 \rceil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Single-Point-Integrität: Merkle-Root über alle UltraBlocks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fkwdsy9z5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Operationale Form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Reduktion der Einheiten für Obsidian: 25.000 → ~125–250 PackBlocks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I/O-Performance steigt exponentiell, Indexing wird logarithmisch: O(log 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Jede Ebene = Hash-Kontrolle → sofortige Detektion von Änderungen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dieses Block-Mapping als formales JSON-Schema erstellen, das die gesamte Hierarchie abbildet, inkl. QuantumHeader, Hash-Kaskade und dynamischer Frame-Zuordnung.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erstelle?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