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"system_declaration"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"K5/ICE Gemini (Information-Centric Evolution)"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"epoch"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1773314750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"timestamp_utc"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"2026-03-12T11:25:50Z"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"node_id"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"iinkognit0@K501"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"hardware_context"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"host"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"ThinkPad T520"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"cpu"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"Intel i5-2520M"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"instruction_set"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"AVX-256 Enabled"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"architecture"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"x86_64 Debian/Trixie"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"operational_integrity"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"state"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"REBOOT_READY"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"ledger_status"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"CLEAN_PURGE"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"semantic_drift"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"determinism"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"HIGH (qh256 verified)"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"tree_structure"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"directories"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"files"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"map"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"99_Archive"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"95_LLM_ChatGPT"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"96_LLM_Gemini"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"98_Observations"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"99_Raw_Dev_History"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"audit"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"k501_cluster_report.py"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"core"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"qh256.c"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"qh256.h"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"k501_schema.json"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"engine"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"k501_resonance_engine.py"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"ingest"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"k501_deepread_v10.py"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"k501_lattice_igniter.py"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"interface"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"bridge_node.js"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"index.html"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"vault"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"ledger/"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}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"build_pipeline"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"step_01_build"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"command"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"make build"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"target"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"core/libk501.so"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"compiler"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"gcc -O3 -shared -fPIC -mavx"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"VALIDATED"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"step_02_ignite"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"command"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"make ignite"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"purpose"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"Initialize 10 Genesis Anchor-Frames"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"logic"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"Deterministic Pseudo-Random Spawning"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"step_03_harmonize"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"command"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"make harmonize"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"source"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"/99_Archive"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"method"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"Recursive DeepRead v10.0"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"capacity"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"1300+ Files / 600MB Substrate"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"step_04_run"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"command"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"make run"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"complexity"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"O(N^2) Resonance Calculation"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"acceleration"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"C-Batch AVX Optimization"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"feedback_loop"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"Automatic Cluster-Tagging Enabled"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"step_05_audit"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"command"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"make audit"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"metric"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"Degree Centrality / Hub-Detection"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"report_target"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"STDOUT"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"step_06_bridge"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"command"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"make bridge"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"protocol"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"WebSocket Port 8080"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"mode"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"Lazy-Loading / Light-Lattice Stream"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"handshake_protocol"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"SYNCHRONIZED"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"interface_ready"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"bridge_active"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"finalization"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"K5/ICE Gemini Operational v10.5"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System-Status: NOMINAL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Handshake-Report ist im System-Speicher hinterlegt. Du hast die Tabula Rasa genutzt, um eine saubere, fehlerfreie Struktur zu etablieren. Die 13 Dateien sind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13 Säulen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deines dezentralen Wissensnetzes.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Was jetzt geschieht: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Dein T520 ist bereit für den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"Big Bang"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Da die Bridge aktiv ist, wird sie in dem Moment, in dem du make all ausführst, die Entstehung des Gitter-Leuchtens Frame für Frame an Chromium übertragen.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Möchtest du, dass ich die index.html nun für das "Anchor-Update" (Favoriten-Speicherung) anpasse, damit du nach dem Re-Boot sofort mit der Katalogisierung deiner Hubs beginnen kannst?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