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Excellent. With both of us fully synchronized on the O-Logik and your hardware reality, we can move seamlessly into the practical implementation phase without any architectural drift. 💎🕊️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physically manifest the K501 Sovereign Toolchain (K501-ST) on your Debian 13 host, we need a directory structure that acts as an impermeable membrane. The host OS must never accidentally use its own apt-installed version of FFmpeg or Pandoc when executing a K501 ingestion run.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deterministic filesystem layout for the ThinkPad T520.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K501-ST Local Filesystem Architecture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recommend anchoring the execution environment in /opt/k501/ on the host, while strictly routing all structural data (blobs and indices) to the 1TB Crucial SSD.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/opt/k501/</w:t>
        <w:br w:type="textWrapping"/>
        <w:t xml:space="preserve">├── st_root/                      # The Sovereign Toolchain (Isolated Execution Environment)</w:t>
        <w:br w:type="textWrapping"/>
        <w:t xml:space="preserve">│   ├── bin/                      # Custom-compiled, bitexact binaries (FFmpeg, Pandoc, Poppler)</w:t>
        <w:br w:type="textWrapping"/>
        <w:t xml:space="preserve">│   ├── lib/                      # Frozen shared/static libraries required by the binaries</w:t>
        <w:br w:type="textWrapping"/>
        <w:t xml:space="preserve">│   ├── interfaces/               # Hybrid-frozen AppImages (VSCodium, Ungoogled Chromium)</w:t>
        <w:br w:type="textWrapping"/>
        <w:t xml:space="preserve">│   ├── comms/                    # Frozen container tarballs (Mastodon stack, PostgreSQL, Redis)</w:t>
        <w:br w:type="textWrapping"/>
        <w:t xml:space="preserve">│   └── genesis_src/              # The raw source code &amp; build scripts used to create 'st_root'</w:t>
        <w:br w:type="textWrapping"/>
        <w:t xml:space="preserve">│</w:t>
        <w:br w:type="textWrapping"/>
        <w:t xml:space="preserve">├── runtime/                      # The K501 Node Logic (Python/Bash execution scripts)</w:t>
        <w:br w:type="textWrapping"/>
        <w:t xml:space="preserve">│   ├── modules/                  # Normalizer, Segmenter, Framer, Quantizer, Linker</w:t>
        <w:br w:type="textWrapping"/>
        <w:t xml:space="preserve">│   ├── boot_loader/              # Memory-mapping (mmap) scripts for routing table reconstruction</w:t>
        <w:br w:type="textWrapping"/>
        <w:t xml:space="preserve">│   ├── node_A_primary/           # Environment config and active memory space for Node A</w:t>
        <w:br w:type="textWrapping"/>
        <w:t xml:space="preserve">│   └── node_B_replica/           # Environment config and active memory space for Node B</w:t>
        <w:br w:type="textWrapping"/>
        <w:t xml:space="preserve">│</w:t>
        <w:br w:type="textWrapping"/>
        <w:t xml:space="preserve">└── data/                         # Symlink pointing to -&gt; /mnt/crucial_1tb/k501_data/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Crucial SSD (Domain A Storage)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external Crucial drive will host the append-only data structures, ensuring your ThinkPad's internal drive isn't subjected to massive write amplification.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/mnt/crucial_1tb/k501_data/</w:t>
        <w:br w:type="textWrapping"/>
        <w:t xml:space="preserve">├── blob_archive/                 # Append-only raw segmented data chunks</w:t>
        <w:br w:type="textWrapping"/>
        <w:t xml:space="preserve">├── hard_index/                   # The continuous append-only file of 104-byte fixed entries</w:t>
        <w:br w:type="textWrapping"/>
        <w:t xml:space="preserve">└── network_deltas/               # Temporary buffer for HEAD exchange and socket transmissions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Architectural Rationale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Genesis Source (st_root/genesis_src/):</w:t>
      </w:r>
      <w:r w:rsidDel="00000000" w:rsidR="00000000" w:rsidRPr="00000000">
        <w:rPr>
          <w:rtl w:val="0"/>
        </w:rPr>
        <w:t xml:space="preserve"> By storing the exact source code (e.g., the FFmpeg .tar.gz and your custom configure flags) right next to the compiled binaries, the environment is self-documenting and entirely offline-reproducible. This directory will be the very first thing you run through the K501 Normalizer.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Symlinked Data (/opt/k501/data/):</w:t>
      </w:r>
      <w:r w:rsidDel="00000000" w:rsidR="00000000" w:rsidRPr="00000000">
        <w:rPr>
          <w:rtl w:val="0"/>
        </w:rPr>
        <w:t xml:space="preserve"> By symlinking the active data directory to the USB 3 SSD, your runtime scripts never have to care where the physical disk is mounted. If you ever move to a new machine, the logic remains identical; you just update the symlink.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Strict Path Execution:</w:t>
      </w:r>
      <w:r w:rsidDel="00000000" w:rsidR="00000000" w:rsidRPr="00000000">
        <w:rPr>
          <w:rtl w:val="0"/>
        </w:rPr>
        <w:t xml:space="preserve"> Your runtime modules will be programmed to explicitly call /opt/k501/st_root/bin/ffmpeg rather than just ffmpeg. This guarantees the host OS's PATH variables can never sabotage your deterministic framing.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write the build_k501_env.sh bash script to automatically generate this directory tree, download the required AppImages for your interfaces, and set up the strict permissions required for the st_root?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