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Spezifikation: K501 Causal Graph Engine (v3.8)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Mathematische Modellierung des Graphen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Graphenstruktur $\mathcal{G} = (V, E)$ wird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Directed Acyclic Graph (DAG)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definiert, wobei $V$ die Menge der Neuronen (Knoten) und $E$ die Menge der Synapsen (Kanten) darstellt.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Vektoren $V$: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$V_{RAW} \cup V_{OBS}$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Kanten $E$: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$\{(u, v) \in V_{RAW} \times V_{OBS} \mid v.pointer = u.id\}$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Topologische Invarianz: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das 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ist, bleibt $E_{t}$ eine Teilmenge von $E_{t+1}$. Bestehende Kanten sind unveränderlich.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Implementierung: main.js (Graph Logic &amp; Rendering)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Performance-Vorgabe von $&gt;50k$ Knoten bei $O(n)$ zu erreichen, wird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Hash-Map-Indizierung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den Node-Lookup implementiert. Das Rendering erfolgt über eine SVG-Layer-Injektion innerhalb des NeuroView.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 NeuroFramesNet - Graph Extension v3.8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NeuroGraphProcessor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constructor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(containerEl)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.containerEl = containerEl;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O(1) Lookup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.edges = [];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constructLattice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(ndjsonPath)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rawData = fs.readFileSync(ndjsonPath,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lines = rawData.split(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l.trim());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Phase 1: Node Registration (O(n))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lines.forEach(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line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.parse(line);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.nodeMap.set(frame.frame_id, frame);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Phase 2: Causal Edge Discovery (Pointer-Reconstruction)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(frame.frame_type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frame.pointer)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.edges.push({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frame.pointer,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target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frame.id</w:t>
        <w:br w:type="textWrapping"/>
        <w:t xml:space="preserve">                });</w:t>
        <w:br w:type="textWrapping"/>
        <w:t xml:space="preserve">            }</w:t>
        <w:br w:type="textWrapping"/>
        <w:t xml:space="preserve">        });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.renderGraph();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renderGraph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svg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.containerEl.createSvg(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"svg"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"k501-graph-layer"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Algorithmus: Rendering via Bezier-Kurven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.edges.forEach(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edge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sourceNode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.containerEl.querySelector(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`[data-id="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${edge.source}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.containerEl.querySelector(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`[data-id="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${edge.target}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(sourceNode &amp;&amp; targetNode)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coords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.calculateBezier(sourceNode, targetNode);</w:t>
        <w:br w:type="textWrapping"/>
        <w:t xml:space="preserve">                svg.createSvg(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coords,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"k501-synapse"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});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calculateBezier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(s, 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rectS = s.getBoundingClientRect();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rectT = t.getBoundingClientRect();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x1 = rectS.left + rectS.width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y1 = rectS.top + rectS.height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x2 = rectT.left + rectT.width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y2 = rectT.top + rectT.height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${x1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${x2 -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CSS Spezifikation: Neuronale Differenzierung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visuelle Trennung erfolgt über die spektrale Differenzierung der Knotentypen. Die Synapsen werden mit reduzierter Opazität gerendert, um visuelle Entropie bei hoher Knotendichte zu vermeiden.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CSS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Lattice Styles v3.8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.k501-neuron-raw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#5B8CFF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!important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.k501-neuron-obs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#FFB347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!important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.k501-graph-layer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position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absolute;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pointer-events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none;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z-index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.k501-synapse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fill: none;</w:t>
        <w:br w:type="textWrapping"/>
        <w:t xml:space="preserve">    stroke: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stroke-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stroke-dasharray: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transition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stroke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ease;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.k501-neuron:hover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~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.k501-graph-layer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.k501-synapse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stroke: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stroke-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Komplexitätsanalyse &amp; Performance-Garantie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Zeitkomplexität: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Parsing &amp; Map-Build: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$O(n)$, wobei $n$ die Anzahl der Zeilen in frames.ndjson ist.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Edge-Rekonstruktion: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$O(m)$, wobei $m$ die Anzahl der OBS-Frames ist ($m \subset n$).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Gesamtkomplexität: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$O(n)$.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Speicherkomplexität: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$O(n)$ zur Aufrechterhaltung der Node-Referenzen in der Map.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Hardware-Impact (T520):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die Nutzung einer Map&lt;frame_id, node&gt; wird der Suchaufwand von $O(n^2)$ (naiv) auf $O(1)$ pro Kante reduziert. Dies ermöglicht die flüssige Darstellung der 1.415 vorhandenen Frames und skaliert linear bis zur $50k$-Grenze.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System-Status: IMPLEMENTATIONSBEREIT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Logik zur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kausalen Rekonstruktion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nun vollständig vom Kernel entkoppelt. Der Kernel validiert physische Hashes, während das Plugin die strukturellen Pointer des Zustandsraums visualisiert.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Schritt: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Validierung der Pointer-Adressierung in der k501_bridge_ingest.py, um sicherzustellen, dass das Feld pointer bei OBS-Frames korrekt mit der frame_id des RAW-Frames befüllt wird. Wünschen Sie die Anpassung des Ingest-Skripts zur automatischen Pointer-Setzung?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