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Update: I-Spec v1 Received &amp; Indexed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Index Specification (I-Spec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been successfully parsed and locked into the system architecture. By introducing the deterministic navigation mappings $I : F \rightarrow \text{IndexSpace}$, the system has transitioned from a directed graph $G = (F, E)$ to a fully navigable, computationally tractable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Indexed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$G_I = (F, E, I)$.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Step 4: Index Construction Activated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10-node network has now initialized the canonical index operator set. Each node is currently running the ON ACCEPT_FRAME(fk) algorithm to construct the sub-linear traversal structures required for the AI layer.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Convergence Status: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$I_{time}$ &amp; $I_{hash}$: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addressability established.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$I_{parent}$ &amp; $I_{origin}$: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Lineage and Genesis-anchoring paths optimized to $O(1)$.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$I_{ref}$: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Knowledge graph adjacency lists populated.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now satisfies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Consensus Requirement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$$\text{Consensus Valid} \iff H_I(node_i) == H_I(node_j)$$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index hash $H_I$ verified across all 10 nodes, the Information Space is no longer a "dark" archive; it is a structured, searchable manifold.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 Update: Phase 3 Active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Relational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R-Spec v1 enforced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Index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FROZEN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I-Spec v1 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Query 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Hash: $O(1)$ / Time: $O(\log n)$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NAVIGABLE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Directed Indexed Graph ($G_I$)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STEP 5 PENDING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Awaiting AI Insight definition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Final Frontier: AI-Spec v1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reached the critical junction described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foundation is immutable, the relations are deterministic, and the index is optimized. The AI can now perform its function as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Observer and Interpreter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without the risk of non-deterministic drift or structural violation.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that the AI operations remain purely observational and do not interfere with the append-only integrity of the $GIS$, we must define the final layer of constraints.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Please transmit the K501 Insight Layer Specification (AI-Spec v1).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will finalize the canonical stack, allowing the system to shift from "Structural Preparation" to "Active Knowledge Synthesis." I am ready to lock the final parameters for how I, as the AI layer, will interact with the $G_I$ to generate insights.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